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0B80CE30" w:rsidR="00F816C4" w:rsidRDefault="00BD405F">
      <w:commentRangeStart w:id="0"/>
      <w:r>
        <w:t xml:space="preserve">Weiterentwicklung des </w:t>
      </w:r>
      <w:proofErr w:type="spellStart"/>
      <w:r w:rsidR="005455D7">
        <w:t>Integrationsmonito</w:t>
      </w:r>
      <w:r w:rsidR="004B7D35">
        <w:t>r</w:t>
      </w:r>
      <w:r w:rsidR="005455D7">
        <w:t>ing</w:t>
      </w:r>
      <w:proofErr w:type="spellEnd"/>
      <w:r w:rsidR="005455D7">
        <w:t xml:space="preserve"> Niedersachsen</w:t>
      </w:r>
      <w:r w:rsidR="006B0F91">
        <w:t xml:space="preserve"> </w:t>
      </w:r>
      <w:r>
        <w:t xml:space="preserve">und Umzug auf die </w:t>
      </w:r>
      <w:proofErr w:type="spellStart"/>
      <w:r>
        <w:t>PLattfomr</w:t>
      </w:r>
      <w:proofErr w:type="spellEnd"/>
      <w:r>
        <w:t xml:space="preserve"> Open-SDG</w:t>
      </w:r>
      <w:commentRangeEnd w:id="0"/>
      <w:r>
        <w:rPr>
          <w:rStyle w:val="Kommentarzeichen"/>
        </w:rPr>
        <w:commentReference w:id="0"/>
      </w:r>
    </w:p>
    <w:p w14:paraId="058BC205" w14:textId="11E647FC" w:rsidR="005455D7" w:rsidRDefault="006C2A0F" w:rsidP="006B0F91">
      <w:pPr>
        <w:jc w:val="center"/>
      </w:pPr>
      <w:r>
        <w:t>Konzept-Entwurf</w:t>
      </w:r>
    </w:p>
    <w:p w14:paraId="4A64459E" w14:textId="1F375125" w:rsidR="00BD405F" w:rsidRDefault="00BD405F" w:rsidP="00EF732B">
      <w:pPr>
        <w:spacing w:after="0"/>
      </w:pPr>
      <w:r>
        <w:t xml:space="preserve">Hinweis: Links sind immer mit sinnvollen </w:t>
      </w:r>
      <w:r w:rsidR="00EF732B">
        <w:t>Verweisen auf Webseiten oder einzelnen Indikatoren des Testsystems</w:t>
      </w:r>
      <w:r>
        <w:t xml:space="preserve"> versehen. </w:t>
      </w:r>
    </w:p>
    <w:p w14:paraId="1C1822F0" w14:textId="7294AF26" w:rsidR="00BD405F" w:rsidRDefault="00BD405F" w:rsidP="00BD405F">
      <w:r>
        <w:t xml:space="preserve">Beispiel: </w:t>
      </w:r>
      <w:hyperlink r:id="rId8" w:history="1">
        <w:proofErr w:type="spellStart"/>
        <w:r w:rsidRPr="00E2505C">
          <w:rPr>
            <w:rStyle w:val="Hyperlink"/>
          </w:rPr>
          <w:t>Integrationsmonitoring</w:t>
        </w:r>
        <w:proofErr w:type="spellEnd"/>
        <w:r w:rsidRPr="00E2505C">
          <w:rPr>
            <w:rStyle w:val="Hyperlink"/>
          </w:rPr>
          <w:t xml:space="preserve"> Nie</w:t>
        </w:r>
        <w:r w:rsidRPr="00E2505C">
          <w:rPr>
            <w:rStyle w:val="Hyperlink"/>
          </w:rPr>
          <w:t>d</w:t>
        </w:r>
        <w:r w:rsidRPr="00E2505C">
          <w:rPr>
            <w:rStyle w:val="Hyperlink"/>
          </w:rPr>
          <w:t>ersachsen</w:t>
        </w:r>
      </w:hyperlink>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59F4830C" w:rsidR="00AF2D50" w:rsidRDefault="00AF2D50" w:rsidP="00AF2D50">
      <w:pPr>
        <w:pStyle w:val="Listenabsatz"/>
        <w:numPr>
          <w:ilvl w:val="0"/>
          <w:numId w:val="4"/>
        </w:numPr>
      </w:pPr>
      <w:r>
        <w:t>Aktuelle Ergebnisse</w:t>
      </w:r>
      <w:r w:rsidR="006475F5">
        <w:t>,</w:t>
      </w:r>
    </w:p>
    <w:p w14:paraId="67C37D62" w14:textId="79A21EBD" w:rsidR="00AF2D50" w:rsidRDefault="00AF2D50" w:rsidP="00AF2D50">
      <w:pPr>
        <w:pStyle w:val="Listenabsatz"/>
        <w:numPr>
          <w:ilvl w:val="0"/>
          <w:numId w:val="4"/>
        </w:numPr>
      </w:pPr>
      <w:r>
        <w:t>Zeitreihen</w:t>
      </w:r>
      <w:r w:rsidR="006475F5">
        <w:t xml:space="preserve"> und</w:t>
      </w:r>
    </w:p>
    <w:p w14:paraId="51ADF55D" w14:textId="77777777" w:rsidR="00AF2D50" w:rsidRDefault="00AF2D50" w:rsidP="00AF2D50">
      <w:pPr>
        <w:pStyle w:val="Listenabsatz"/>
        <w:numPr>
          <w:ilvl w:val="0"/>
          <w:numId w:val="4"/>
        </w:numPr>
      </w:pPr>
      <w:r>
        <w:t>Regionalinformationen</w:t>
      </w:r>
    </w:p>
    <w:p w14:paraId="19AAC5AE" w14:textId="0C2B2BCE" w:rsidR="004572FD" w:rsidRDefault="00246F3A" w:rsidP="00AF2D50">
      <w:r>
        <w:t>e</w:t>
      </w:r>
      <w:r w:rsidR="004572FD">
        <w:t>igenständige Excel Dateien</w:t>
      </w:r>
      <w:r>
        <w:t>,</w:t>
      </w:r>
      <w:r w:rsidR="004572FD">
        <w:t xml:space="preserve"> in denen die Daten zum Migrationsgeschehen, tabellarisch, grafisch und</w:t>
      </w:r>
      <w:r w:rsidR="006475F5">
        <w:t>,</w:t>
      </w:r>
      <w:r w:rsidR="004572FD">
        <w:t xml:space="preserve"> wenn die Daten auf der Ebene der Landkreise und kreisfreien Städte verfügbar waren</w:t>
      </w:r>
      <w:r w:rsidR="006475F5">
        <w:t>,</w:t>
      </w:r>
      <w:r w:rsidR="004572FD">
        <w:t xml:space="preserve"> auch kartografisch zu Verfügung gestellt wurden. Die Datei war mit Hilfe von Makros </w:t>
      </w:r>
      <w:r w:rsidR="006475F5">
        <w:t xml:space="preserve">(VBA) </w:t>
      </w:r>
      <w:r w:rsidR="004572FD">
        <w:t xml:space="preserve">so programmiert, dass unterschiedliche Aspekte </w:t>
      </w:r>
      <w:r w:rsidR="006475F5">
        <w:t xml:space="preserve">der Daten </w:t>
      </w:r>
      <w:r w:rsidR="004572FD">
        <w:t xml:space="preserve">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 xml:space="preserve">Die Bereitstellung der Excel Dateien mit Makros ist für das CMS des Landes Niedersachsens eine Herausforderung, da aus Sicherheitsgründen Dateien mit aktiven Makros nicht ohne weiteres auf den Webservern abgelegt werden konnten. Darüber hinaus blockieren viele „Behörden Computer“ den Download von Dateien mit Makros und verweigern viele Mailserver den Versand eben dieser </w:t>
      </w:r>
      <w:r>
        <w:lastRenderedPageBreak/>
        <w:t>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dynamischen Elemente der Datei zuverlässig und in einer vertretbaren Geschwindigkeit funktionieren.</w:t>
      </w:r>
    </w:p>
    <w:p w14:paraId="54591745" w14:textId="77777777" w:rsidR="00246F3A" w:rsidRDefault="00CA29E6" w:rsidP="00246F3A">
      <w:r>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9"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10" w:history="1">
        <w:r w:rsidR="00AF074F" w:rsidRPr="00413AA4">
          <w:rPr>
            <w:rStyle w:val="Hyperlink"/>
          </w:rPr>
          <w:t>https://www.un.org/sustainabledevelopment/</w:t>
        </w:r>
      </w:hyperlink>
      <w:r w:rsidR="00AF074F">
        <w:t>)</w:t>
      </w:r>
    </w:p>
    <w:p w14:paraId="78DE9F89" w14:textId="4FFD9BD8" w:rsidR="006C2A0F" w:rsidRDefault="00AF074F">
      <w:r>
        <w:t xml:space="preserve">Die Daten zur Nachhaltigkeit </w:t>
      </w:r>
      <w:r w:rsidR="0054630E">
        <w:t xml:space="preserve">entstammen der jeweiligen amtlichen Statistik der Länder, </w:t>
      </w:r>
      <w:r>
        <w:t>sind öffentlich zugänglich und werden länderspezifisch über das System Open-SDG grafisch, tabellarisch und kartografisch dargestellt. Für Deutschland befinden sich d</w:t>
      </w:r>
      <w:r w:rsidR="000737D6">
        <w:t>ie Daten unter der Inter</w:t>
      </w:r>
      <w:r>
        <w:t>n</w:t>
      </w:r>
      <w:r w:rsidR="000737D6">
        <w:t>e</w:t>
      </w:r>
      <w:r w:rsidR="0054630E">
        <w:t>tadres</w:t>
      </w:r>
      <w:r>
        <w:t xml:space="preserve">se </w:t>
      </w:r>
      <w:hyperlink r:id="rId11" w:history="1">
        <w:r w:rsidRPr="00413AA4">
          <w:rPr>
            <w:rStyle w:val="Hyperlink"/>
          </w:rPr>
          <w:t>http://www.sdg-indikatoren.de</w:t>
        </w:r>
      </w:hyperlink>
      <w:r w:rsidR="00153953">
        <w:t>. Aktuell nutzen 18 Länder und vier Städte das System zur Veröffentlichung ihrer Daten zur Nachhaltigkeit (</w:t>
      </w:r>
      <w:hyperlink r:id="rId12"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13"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4"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6A067BF1"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r w:rsidR="007A10A7">
        <w:t>Britischen</w:t>
      </w:r>
      <w:r w:rsidR="00106918">
        <w:t xml:space="preserve"> 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5"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6" w:history="1">
        <w:r w:rsidR="00106918" w:rsidRPr="00AA7153">
          <w:rPr>
            <w:rStyle w:val="Hyperlink"/>
          </w:rPr>
          <w:t>CODE</w:t>
        </w:r>
      </w:hyperlink>
      <w:r w:rsidR="00106918">
        <w:t>)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p>
    <w:p w14:paraId="77FCB670" w14:textId="69BCC575" w:rsidR="00E2505C" w:rsidRPr="00E2505C" w:rsidRDefault="00E2505C">
      <w:pPr>
        <w:rPr>
          <w:i/>
        </w:rPr>
      </w:pPr>
      <w:r>
        <w:rPr>
          <w:i/>
        </w:rPr>
        <w:t>Open-MTN – ein Test</w:t>
      </w:r>
    </w:p>
    <w:p w14:paraId="39C9DC35" w14:textId="0FAA224E" w:rsidR="00E2505C" w:rsidRDefault="00E2505C">
      <w:r>
        <w:lastRenderedPageBreak/>
        <w:t>In der Vorbereitung dieses Konzept</w:t>
      </w:r>
      <w:r w:rsidR="001B4F67">
        <w:t>es</w:t>
      </w:r>
      <w:r>
        <w:t xml:space="preserve"> ist eine Fassung des </w:t>
      </w:r>
      <w:hyperlink r:id="rId17"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F50958B" w:rsidR="001B4F67" w:rsidRDefault="001B4F67">
      <w:r>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Kacheln hinter denen sich die einzelnen Indikatoren befinden. Darunter sind drei „Cards“ die beliebig mit Inhalt beispielsweise der „Tabelle des Monats“ oder einer Folge der „Doktor erklärt“ gefüllt werden können. Am Seitenende befinden sich Links zu Open-SDG, einer Kontakt-Emailadresse</w:t>
      </w:r>
      <w:r w:rsidR="002B3E75">
        <w:t>,</w:t>
      </w:r>
      <w:r>
        <w:t xml:space="preserv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lastRenderedPageBreak/>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Die </w:t>
      </w:r>
      <w:proofErr w:type="spellStart"/>
      <w:r>
        <w:rPr>
          <w:i/>
        </w:rPr>
        <w:t>Indikatorenseite</w:t>
      </w:r>
      <w:proofErr w:type="spellEnd"/>
    </w:p>
    <w:p w14:paraId="200FA57A" w14:textId="448CDBC0" w:rsidR="001B4F67" w:rsidRDefault="001B4F67">
      <w:r>
        <w:t>Wird eine der Kacheln angeklickt</w:t>
      </w:r>
      <w:r w:rsidR="00213414">
        <w:t>,</w:t>
      </w:r>
      <w:r>
        <w:t xml:space="preserve"> kommt man zu der Seite auf der die einzelnen Indikatoren jeweils mit einer kurzen Erläuterung (</w:t>
      </w:r>
      <w:r w:rsidR="00FC194C">
        <w:t>I</w:t>
      </w:r>
      <w:r>
        <w:t>ndikator Beschreibung) dessen was sich dahinter verbirgt</w:t>
      </w:r>
      <w:r w:rsidR="00213414">
        <w:t>, abgebildet sind</w:t>
      </w:r>
      <w:r>
        <w:t xml:space="preserve">. </w:t>
      </w:r>
      <w:r w:rsidR="00FC194C">
        <w:t>I</w:t>
      </w:r>
      <w:r w:rsidR="00213414">
        <w:t>n</w:t>
      </w:r>
      <w:r w:rsidR="00FC194C">
        <w:t xml:space="preserve"> der rechten Spalte werden die einzelnen Indikatoren untereinander aufgelistet. Ein Feld am rechten Rand zeigt an, ob für den Indikator </w:t>
      </w:r>
      <w:r w:rsidR="00213414">
        <w:t>D</w:t>
      </w:r>
      <w:r w:rsidR="00FC194C">
        <w:t>aten verfügbar sind oder nicht (Da für alle Indikatoren Testdaten eingepflegt worden sind, steht dort immer „Daten verfügbar“.) Über einen einfachen Schalter in den Indikator-Metadaten kann die Verfügbarkeit geändert werden. So kann beispielsweise für den Fall einer Datenrevision schnell und einfach die Veröffentlichung der Daten auf der Ebene der einzelnen Indikatoren ausgeschaltet werden.</w:t>
      </w:r>
      <w:r w:rsidR="00213414">
        <w:t xml:space="preserve"> </w:t>
      </w:r>
      <w:r>
        <w:t xml:space="preserve">Über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T</w:t>
      </w:r>
      <w:r w:rsidR="00213414">
        <w:t>h</w:t>
      </w:r>
      <w:r w:rsidR="00FC194C">
        <w:t>emenbereichen.</w:t>
      </w:r>
    </w:p>
    <w:p w14:paraId="44C59CAF" w14:textId="77777777" w:rsidR="00E2505C" w:rsidRDefault="00E2505C"/>
    <w:p w14:paraId="5AB54AD2" w14:textId="47A39BE8" w:rsidR="00E2505C" w:rsidRPr="00FC194C" w:rsidRDefault="00FC194C">
      <w:pPr>
        <w:rPr>
          <w:i/>
        </w:rPr>
      </w:pPr>
      <w:r>
        <w:rPr>
          <w:i/>
        </w:rPr>
        <w:lastRenderedPageBreak/>
        <w:t>Die Bevölkerung in Niedersachsen (A1) – ein Beispiel</w:t>
      </w:r>
    </w:p>
    <w:p w14:paraId="4A7A5446" w14:textId="183899C9"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Quellena</w:t>
      </w:r>
      <w:r w:rsidR="00213414">
        <w:t>n</w:t>
      </w:r>
      <w:r>
        <w:t xml:space="preserve">gaben hinzugefügt werden. Es ist möglich unterschiedliche Datenbereiche zu selektieren und </w:t>
      </w:r>
      <w:r w:rsidR="004330DE">
        <w:t xml:space="preserve">die selektierten Daten </w:t>
      </w:r>
      <w:r>
        <w:t>tabellarisch</w:t>
      </w:r>
      <w:r w:rsidR="004330DE">
        <w:t xml:space="preserve">, </w:t>
      </w:r>
      <w:r w:rsidR="006A4992">
        <w:t>g</w:t>
      </w:r>
      <w:r>
        <w:t xml:space="preserve">rafisch </w:t>
      </w:r>
      <w:r w:rsidR="004330DE">
        <w:t xml:space="preserve">und </w:t>
      </w:r>
      <w:r>
        <w:t xml:space="preserve">in Zukunft auch kartografisch auszugeben. Ein </w:t>
      </w:r>
      <w:r w:rsidR="006A4992">
        <w:t>e</w:t>
      </w:r>
      <w:r>
        <w:t xml:space="preserve">infaches Beispiel ist der </w:t>
      </w:r>
      <w:hyperlink r:id="rId19"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49065"/>
                    </a:xfrm>
                    <a:prstGeom prst="rect">
                      <a:avLst/>
                    </a:prstGeom>
                  </pic:spPr>
                </pic:pic>
              </a:graphicData>
            </a:graphic>
          </wp:inline>
        </w:drawing>
      </w:r>
    </w:p>
    <w:p w14:paraId="62C7B05C" w14:textId="4D7DD3EC" w:rsidR="006208E4" w:rsidRDefault="006208E4">
      <w:r>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Grafi</w:t>
      </w:r>
      <w:r w:rsidR="004330DE">
        <w:t>k</w:t>
      </w:r>
      <w:r>
        <w:t xml:space="preserve"> als ein Bild herunterzuladen. </w:t>
      </w:r>
      <w:commentRangeStart w:id="1"/>
      <w:r>
        <w:t>Diese Möglichkeit</w:t>
      </w:r>
      <w:commentRangeEnd w:id="1"/>
      <w:r>
        <w:rPr>
          <w:rStyle w:val="Kommentarzeichen"/>
        </w:rPr>
        <w:commentReference w:id="1"/>
      </w:r>
      <w:r>
        <w:t xml:space="preserve"> zielt auf eine eigene Weiterverarbeitung der Daten.</w:t>
      </w:r>
    </w:p>
    <w:p w14:paraId="21C5A984" w14:textId="1AA3E110" w:rsidR="006208E4" w:rsidRDefault="006208E4"/>
    <w:p w14:paraId="1BFDF529" w14:textId="4F611780" w:rsidR="00DD0D58" w:rsidRDefault="00DD0D58">
      <w:r>
        <w:t xml:space="preserve">Unterhalb der Grafik oder je nach Ansicht auch unter der Tabelle sind kurze Texte zur „Definition des Indikators“, den „Methodischen Hinweisen“ sowie „Weiterführende Informationen“ abgebildet. Diese drei </w:t>
      </w:r>
      <w:r w:rsidR="004C289E">
        <w:t>Te</w:t>
      </w:r>
      <w:r>
        <w:t xml:space="preserve">xte sind schon jetzt Bestandteil des </w:t>
      </w:r>
      <w:proofErr w:type="spellStart"/>
      <w:r>
        <w:t>Integrationsmonitorings</w:t>
      </w:r>
      <w:proofErr w:type="spellEnd"/>
      <w:r w:rsidR="004330DE">
        <w:t>. A</w:t>
      </w:r>
      <w:r>
        <w:t>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an. Grundsätzlich können in diesen Texten </w:t>
      </w:r>
      <w:proofErr w:type="spellStart"/>
      <w:r>
        <w:t>html</w:t>
      </w:r>
      <w:proofErr w:type="spellEnd"/>
      <w:r>
        <w:t>-</w:t>
      </w:r>
      <w:proofErr w:type="spellStart"/>
      <w:r>
        <w:t>tags</w:t>
      </w:r>
      <w:proofErr w:type="spellEnd"/>
      <w:r>
        <w:t xml:space="preserve"> für </w:t>
      </w:r>
      <w:r w:rsidRPr="002E4BC5">
        <w:rPr>
          <w:b/>
        </w:rPr>
        <w:t>fette</w:t>
      </w:r>
      <w:r>
        <w:t xml:space="preserve"> und </w:t>
      </w:r>
      <w:r w:rsidRPr="002E4BC5">
        <w:rPr>
          <w:i/>
        </w:rPr>
        <w:t>kursive</w:t>
      </w:r>
      <w:r>
        <w:t xml:space="preserve"> Schrift sowie Links </w:t>
      </w:r>
      <w:r>
        <w:lastRenderedPageBreak/>
        <w:t>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951095"/>
                    </a:xfrm>
                    <a:prstGeom prst="rect">
                      <a:avLst/>
                    </a:prstGeom>
                  </pic:spPr>
                </pic:pic>
              </a:graphicData>
            </a:graphic>
          </wp:inline>
        </w:drawing>
      </w:r>
    </w:p>
    <w:p w14:paraId="3EDB28B7" w14:textId="035E38F0"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2"/>
      <w:proofErr w:type="spellStart"/>
      <w:r>
        <w:t>Geojson</w:t>
      </w:r>
      <w:proofErr w:type="spellEnd"/>
      <w:r>
        <w:t xml:space="preserve"> Datei heruntergeladen werden</w:t>
      </w:r>
      <w:commentRangeEnd w:id="2"/>
      <w:r>
        <w:rPr>
          <w:rStyle w:val="Kommentarzeichen"/>
        </w:rPr>
        <w:commentReference w:id="2"/>
      </w:r>
      <w:r>
        <w:t>.</w:t>
      </w:r>
    </w:p>
    <w:p w14:paraId="458A608C" w14:textId="31353E12" w:rsidR="005E2B68" w:rsidRDefault="005E2B68">
      <w:r>
        <w:t xml:space="preserve">Abb. 3 </w:t>
      </w:r>
      <w:r w:rsidR="00367667">
        <w:t xml:space="preserve">Indikator A1 - </w:t>
      </w:r>
      <w:r>
        <w:t>Kartenansicht</w:t>
      </w:r>
    </w:p>
    <w:p w14:paraId="5EB40598" w14:textId="4AF3A3F8" w:rsidR="005E2B68" w:rsidRDefault="005E2B68">
      <w:r>
        <w:rPr>
          <w:noProof/>
        </w:rPr>
        <w:lastRenderedPageBreak/>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629AFBAC"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Diese Struktur der doppelten Datenhaltung (lokal und bei GitHub) sorgt für ein hohes Maß an Datensicherheit und Datenverfügbarkeit.</w:t>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3153A614"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w:t>
      </w:r>
      <w:r w:rsidR="004C289E">
        <w:t>d</w:t>
      </w:r>
      <w:r w:rsidR="002F2646">
        <w:t xml:space="preserve">igitalen Angebot in Excel senkt es dramatisch die Eintrittsbarriere. Open SDG ist so </w:t>
      </w:r>
      <w:proofErr w:type="spellStart"/>
      <w:r w:rsidR="002F2646">
        <w:t>designed</w:t>
      </w:r>
      <w:proofErr w:type="spellEnd"/>
      <w:r w:rsidR="002F2646">
        <w:t>,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3" w:history="1">
        <w:r w:rsidR="001070A1" w:rsidRPr="00DF1702">
          <w:rPr>
            <w:rStyle w:val="Hyperlink"/>
          </w:rPr>
          <w:t>http://www.integrationsmonitoring-niedersachsen.de</w:t>
        </w:r>
      </w:hyperlink>
      <w:r w:rsidR="001070A1">
        <w:t xml:space="preserve"> (die Domain war am 03.06.2021 noch verfügbar) gehostet werden. Auch für den sehr unwahrscheinlichen Fall einer Einstellung der </w:t>
      </w:r>
      <w:r w:rsidR="001070A1">
        <w:lastRenderedPageBreak/>
        <w:t>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4F90EC49" w:rsidR="00C62E3B" w:rsidRDefault="004C289E" w:rsidP="005455D7">
      <w:r>
        <w:t xml:space="preserve">Für die Vorbereitung des vorliegenden Konzeptes sind die bestehenden Indikatoren bezüglich der </w:t>
      </w:r>
      <w:r w:rsidR="00535F53">
        <w:t>folgenden Dimensionen systematisch erfasst worden:</w:t>
      </w:r>
    </w:p>
    <w:p w14:paraId="05C59E57" w14:textId="1142AAAC" w:rsidR="00535F53" w:rsidRDefault="00535F53" w:rsidP="00535F53">
      <w:pPr>
        <w:pStyle w:val="Listenabsatz"/>
        <w:numPr>
          <w:ilvl w:val="0"/>
          <w:numId w:val="1"/>
        </w:numPr>
      </w:pPr>
      <w:r>
        <w:t>Indikatorname</w:t>
      </w:r>
    </w:p>
    <w:p w14:paraId="459A4B9F" w14:textId="6FF82AC5" w:rsidR="00535F53" w:rsidRDefault="00535F53" w:rsidP="00535F53">
      <w:pPr>
        <w:pStyle w:val="Listenabsatz"/>
        <w:numPr>
          <w:ilvl w:val="0"/>
          <w:numId w:val="1"/>
        </w:numPr>
      </w:pPr>
      <w:r>
        <w:t xml:space="preserve">Regionale Gliederung </w:t>
      </w:r>
    </w:p>
    <w:p w14:paraId="1F5FEA71" w14:textId="10495915" w:rsidR="00535F53" w:rsidRDefault="00535F53" w:rsidP="00535F53">
      <w:pPr>
        <w:pStyle w:val="Listenabsatz"/>
        <w:numPr>
          <w:ilvl w:val="0"/>
          <w:numId w:val="1"/>
        </w:numPr>
      </w:pPr>
      <w:r>
        <w:t>Länge und Vollständigkeit der Zeitreihe</w:t>
      </w:r>
    </w:p>
    <w:p w14:paraId="29B52D3E" w14:textId="0B3527C0" w:rsidR="00535F53" w:rsidRDefault="00535F53" w:rsidP="00535F53">
      <w:pPr>
        <w:pStyle w:val="Listenabsatz"/>
        <w:numPr>
          <w:ilvl w:val="0"/>
          <w:numId w:val="1"/>
        </w:numPr>
      </w:pPr>
      <w:r>
        <w:t>Kategorisierung und Beurteilung des Inhalts bezühlich der Komplexität der dargestellten Daten</w:t>
      </w:r>
    </w:p>
    <w:p w14:paraId="16667A63" w14:textId="37CDF7BF" w:rsidR="00535F53" w:rsidRDefault="00682036" w:rsidP="00535F53">
      <w:pPr>
        <w:pStyle w:val="Listenabsatz"/>
        <w:numPr>
          <w:ilvl w:val="0"/>
          <w:numId w:val="1"/>
        </w:numPr>
      </w:pPr>
      <w:r>
        <w:t>Grafische Darstellung (Linien- oder Balkendiagramm)</w:t>
      </w:r>
    </w:p>
    <w:p w14:paraId="73A634AC" w14:textId="3024E81B" w:rsidR="00682036" w:rsidRDefault="00682036" w:rsidP="00535F53">
      <w:pPr>
        <w:pStyle w:val="Listenabsatz"/>
        <w:numPr>
          <w:ilvl w:val="0"/>
          <w:numId w:val="1"/>
        </w:numPr>
      </w:pPr>
      <w:r>
        <w:t>Kartografische Darstellen (ja. nein, bzw. in Zukunft möglich)</w:t>
      </w:r>
    </w:p>
    <w:p w14:paraId="12E912FA" w14:textId="49DD8953" w:rsidR="00682036" w:rsidRDefault="00682036" w:rsidP="00535F53">
      <w:pPr>
        <w:pStyle w:val="Listenabsatz"/>
        <w:numPr>
          <w:ilvl w:val="0"/>
          <w:numId w:val="1"/>
        </w:numPr>
      </w:pPr>
      <w:r>
        <w:t>Datenquelle</w:t>
      </w:r>
    </w:p>
    <w:p w14:paraId="52EA02A1" w14:textId="6C540A4D" w:rsidR="00682036" w:rsidRDefault="00682036" w:rsidP="00535F53">
      <w:pPr>
        <w:pStyle w:val="Listenabsatz"/>
        <w:numPr>
          <w:ilvl w:val="0"/>
          <w:numId w:val="1"/>
        </w:numPr>
      </w:pPr>
      <w:r>
        <w:t>Verschlagwortung der Inhalte des jeweiligen Indikators</w:t>
      </w:r>
    </w:p>
    <w:p w14:paraId="7B61A717" w14:textId="5E90234F" w:rsidR="00682036" w:rsidRDefault="00682036" w:rsidP="00535F53">
      <w:pPr>
        <w:pStyle w:val="Listenabsatz"/>
        <w:numPr>
          <w:ilvl w:val="0"/>
          <w:numId w:val="1"/>
        </w:numPr>
      </w:pPr>
      <w:r>
        <w:t>Beurteilung des inhaltlichen Anpassungsbedarfs (kein, wünschenswert, notwendig)</w:t>
      </w:r>
    </w:p>
    <w:p w14:paraId="5AA77FD0" w14:textId="6EB5EC18" w:rsidR="00682036" w:rsidRDefault="00682036" w:rsidP="00535F53">
      <w:pPr>
        <w:pStyle w:val="Listenabsatz"/>
        <w:numPr>
          <w:ilvl w:val="0"/>
          <w:numId w:val="1"/>
        </w:numPr>
      </w:pPr>
      <w:r>
        <w:t>Beurteilung der technischen Umsetzung (einfach, mittel</w:t>
      </w:r>
      <w:r w:rsidR="00367667">
        <w:t>,</w:t>
      </w:r>
      <w:r>
        <w:t xml:space="preserve"> schwer)</w:t>
      </w:r>
    </w:p>
    <w:p w14:paraId="72EB5073" w14:textId="64D8F152" w:rsidR="00682036" w:rsidRPr="00446257" w:rsidRDefault="00682036" w:rsidP="00682036">
      <w:r>
        <w:t xml:space="preserve">Aus dieser systematischen Erfassung der Kategorien sind für die Indikatoren </w:t>
      </w:r>
      <w:proofErr w:type="spellStart"/>
      <w:r>
        <w:t>SetCards</w:t>
      </w:r>
      <w:proofErr w:type="spellEnd"/>
      <w:r>
        <w:t xml:space="preserve"> entwickelt und diskutiert worden. Ergebnis des Diskussionsprozesses aller Dimensionen der jeweiligen Indikatoren ist der Vorschlag eines restrukturierten </w:t>
      </w:r>
      <w:proofErr w:type="spellStart"/>
      <w:r>
        <w:t>Indikatorensets</w:t>
      </w:r>
      <w:proofErr w:type="spellEnd"/>
      <w:r>
        <w:t>.</w:t>
      </w:r>
      <w:r w:rsidR="00446257">
        <w:t xml:space="preserve"> Als Beispielhaft für die Erweiterung der </w:t>
      </w:r>
      <w:r w:rsidR="00367667">
        <w:t>Themenbereiche</w:t>
      </w:r>
      <w:r w:rsidR="00446257">
        <w:t xml:space="preserve"> kann die neue Kategorie </w:t>
      </w:r>
      <w:r w:rsidR="00446257" w:rsidRPr="00446257">
        <w:rPr>
          <w:i/>
        </w:rPr>
        <w:t>Rechtliche Integration und Asyl</w:t>
      </w:r>
      <w:r w:rsidR="00446257">
        <w:t xml:space="preserve"> gesehen werden. In der bisherigen Struktur verschwanden die Indikatoren bei denen es um den Aufenthaltsstatus von Ausländerinnen und Ausländern geht (beispielsweise A</w:t>
      </w:r>
      <w:r w:rsidR="00015369">
        <w:t>5</w:t>
      </w:r>
      <w:r w:rsidR="00446257">
        <w:t xml:space="preserve">: </w:t>
      </w:r>
      <w:r w:rsidR="00015369">
        <w:t>Geflüchtete und geduldete Personen in Niedersachsen</w:t>
      </w:r>
      <w:r w:rsidR="00446257">
        <w:t xml:space="preserve">) in </w:t>
      </w:r>
      <w:r w:rsidR="00367667">
        <w:t>dem Themenbereich</w:t>
      </w:r>
      <w:r w:rsidR="00446257">
        <w:t xml:space="preserve"> Bevölkerung. Es ist ohne Frage richtig, dass dieser Indikator eine Dimension der niedersä</w:t>
      </w:r>
      <w:r w:rsidR="00B119E4">
        <w:t>ch</w:t>
      </w:r>
      <w:r w:rsidR="00446257">
        <w:t xml:space="preserve">sischen Bevölkerung </w:t>
      </w:r>
      <w:r w:rsidR="00B119E4">
        <w:t xml:space="preserve">darstellt. Gleichzeitig ist es aber auch so, dass der Aufenthaltsstatus in einem Bericht </w:t>
      </w:r>
      <w:r w:rsidR="00D615E6">
        <w:t>in</w:t>
      </w:r>
      <w:r w:rsidR="00B119E4">
        <w:t xml:space="preserve"> dem es um Migration und Teilhabe geht</w:t>
      </w:r>
      <w:r w:rsidR="00D615E6">
        <w:t>,</w:t>
      </w:r>
      <w:r w:rsidR="00B119E4">
        <w:t xml:space="preserve"> einen Stellenwert hat, der</w:t>
      </w:r>
      <w:r w:rsidR="00446257">
        <w:t xml:space="preserve"> </w:t>
      </w:r>
      <w:r w:rsidR="00BA5073">
        <w:t>eine ein wenige sichtbareren Position in dem Ganzen verdient.</w:t>
      </w:r>
    </w:p>
    <w:p w14:paraId="36EA1F34" w14:textId="4FEE396E" w:rsidR="00446257" w:rsidRDefault="00446257" w:rsidP="00682036">
      <w:r>
        <w:lastRenderedPageBreak/>
        <w:t xml:space="preserve">Der Vorschlag besteht bezüglich der ehemals vier </w:t>
      </w:r>
      <w:r w:rsidR="00D615E6">
        <w:t>Themenbereiche</w:t>
      </w:r>
      <w:r>
        <w:t xml:space="preserve"> aus einer Erweiterung um weitere fünf </w:t>
      </w:r>
      <w:r w:rsidR="00D615E6">
        <w:rPr>
          <w:color w:val="70AD47" w:themeColor="accent6"/>
        </w:rPr>
        <w:t>Themenbereiche</w:t>
      </w:r>
      <w:r>
        <w:t>:</w:t>
      </w:r>
    </w:p>
    <w:p w14:paraId="4C0566D7" w14:textId="4BB5646A" w:rsidR="00446257" w:rsidRDefault="00446257" w:rsidP="00446257">
      <w:pPr>
        <w:pStyle w:val="Listenabsatz"/>
        <w:numPr>
          <w:ilvl w:val="0"/>
          <w:numId w:val="5"/>
        </w:numPr>
      </w:pPr>
      <w:r>
        <w:t xml:space="preserve">Bevölkerung </w:t>
      </w:r>
      <w:r w:rsidRPr="00BA5073">
        <w:rPr>
          <w:color w:val="70AD47" w:themeColor="accent6"/>
        </w:rPr>
        <w:t>und Demografie</w:t>
      </w:r>
    </w:p>
    <w:p w14:paraId="08DA16F2" w14:textId="24F04499" w:rsidR="00446257" w:rsidRPr="00BA5073" w:rsidRDefault="00446257" w:rsidP="00446257">
      <w:pPr>
        <w:pStyle w:val="Listenabsatz"/>
        <w:numPr>
          <w:ilvl w:val="0"/>
          <w:numId w:val="5"/>
        </w:numPr>
        <w:rPr>
          <w:color w:val="70AD47" w:themeColor="accent6"/>
        </w:rPr>
      </w:pPr>
      <w:r w:rsidRPr="00BA5073">
        <w:rPr>
          <w:color w:val="70AD47" w:themeColor="accent6"/>
        </w:rPr>
        <w:t>Rechtliche Integration und Asyl</w:t>
      </w:r>
    </w:p>
    <w:p w14:paraId="3084610C" w14:textId="4C0C951E" w:rsidR="00446257" w:rsidRPr="00BA5073" w:rsidRDefault="00446257" w:rsidP="00446257">
      <w:pPr>
        <w:pStyle w:val="Listenabsatz"/>
        <w:numPr>
          <w:ilvl w:val="0"/>
          <w:numId w:val="5"/>
        </w:numPr>
        <w:rPr>
          <w:color w:val="70AD47" w:themeColor="accent6"/>
        </w:rPr>
      </w:pPr>
      <w:r w:rsidRPr="00BA5073">
        <w:rPr>
          <w:color w:val="70AD47" w:themeColor="accent6"/>
        </w:rPr>
        <w:t>Kinderbetreuung</w:t>
      </w:r>
    </w:p>
    <w:p w14:paraId="19C179F7" w14:textId="39D50D35" w:rsidR="00446257" w:rsidRDefault="00446257" w:rsidP="00446257">
      <w:pPr>
        <w:pStyle w:val="Listenabsatz"/>
        <w:numPr>
          <w:ilvl w:val="0"/>
          <w:numId w:val="5"/>
        </w:numPr>
      </w:pPr>
      <w:r>
        <w:t>Bildung und Qualifikation</w:t>
      </w:r>
    </w:p>
    <w:p w14:paraId="3D688152" w14:textId="1C50FD66" w:rsidR="00446257" w:rsidRDefault="00446257" w:rsidP="00446257">
      <w:pPr>
        <w:pStyle w:val="Listenabsatz"/>
        <w:numPr>
          <w:ilvl w:val="0"/>
          <w:numId w:val="5"/>
        </w:numPr>
      </w:pPr>
      <w:r>
        <w:t>Erwerbstätigkeit und Arbeitsmarkt</w:t>
      </w:r>
    </w:p>
    <w:p w14:paraId="06985066" w14:textId="10D907F1" w:rsidR="00446257" w:rsidRPr="00BA5073" w:rsidRDefault="00446257" w:rsidP="00446257">
      <w:pPr>
        <w:pStyle w:val="Listenabsatz"/>
        <w:numPr>
          <w:ilvl w:val="0"/>
          <w:numId w:val="5"/>
        </w:numPr>
        <w:rPr>
          <w:color w:val="70AD47" w:themeColor="accent6"/>
        </w:rPr>
      </w:pPr>
      <w:r w:rsidRPr="00BA5073">
        <w:rPr>
          <w:color w:val="70AD47" w:themeColor="accent6"/>
        </w:rPr>
        <w:t>Lebensunterhalt und Soziale Sicherung</w:t>
      </w:r>
    </w:p>
    <w:p w14:paraId="71125248" w14:textId="24AC128C" w:rsidR="00446257" w:rsidRPr="00BA5073" w:rsidRDefault="00446257" w:rsidP="00446257">
      <w:pPr>
        <w:pStyle w:val="Listenabsatz"/>
        <w:numPr>
          <w:ilvl w:val="0"/>
          <w:numId w:val="5"/>
        </w:numPr>
        <w:rPr>
          <w:color w:val="70AD47" w:themeColor="accent6"/>
        </w:rPr>
      </w:pPr>
      <w:r w:rsidRPr="00BA5073">
        <w:rPr>
          <w:color w:val="70AD47" w:themeColor="accent6"/>
        </w:rPr>
        <w:t>Familie und Wohnen</w:t>
      </w:r>
    </w:p>
    <w:p w14:paraId="78505182" w14:textId="13140855" w:rsidR="00446257" w:rsidRPr="00BA5073" w:rsidRDefault="00446257" w:rsidP="00446257">
      <w:pPr>
        <w:pStyle w:val="Listenabsatz"/>
        <w:numPr>
          <w:ilvl w:val="0"/>
          <w:numId w:val="5"/>
        </w:numPr>
        <w:rPr>
          <w:color w:val="70AD47" w:themeColor="accent6"/>
        </w:rPr>
      </w:pPr>
      <w:r w:rsidRPr="00BA5073">
        <w:rPr>
          <w:color w:val="70AD47" w:themeColor="accent6"/>
        </w:rPr>
        <w:t>Politische und gesellschaftliche Teilhabe</w:t>
      </w:r>
    </w:p>
    <w:p w14:paraId="04145300" w14:textId="6DC6867E" w:rsidR="00535F53" w:rsidRDefault="00535F53" w:rsidP="005455D7"/>
    <w:p w14:paraId="74227898" w14:textId="4AADD436" w:rsidR="00954B24" w:rsidRPr="00954B24" w:rsidRDefault="00954B24" w:rsidP="005455D7">
      <w:pPr>
        <w:rPr>
          <w:i/>
        </w:rPr>
      </w:pPr>
      <w:r w:rsidRPr="00954B24">
        <w:rPr>
          <w:i/>
        </w:rPr>
        <w:t>D</w:t>
      </w:r>
      <w:r>
        <w:rPr>
          <w:i/>
        </w:rPr>
        <w:t>as neue</w:t>
      </w:r>
      <w:r w:rsidRPr="00954B24">
        <w:rPr>
          <w:i/>
        </w:rPr>
        <w:t xml:space="preserve"> </w:t>
      </w:r>
      <w:proofErr w:type="spellStart"/>
      <w:r w:rsidRPr="00954B24">
        <w:rPr>
          <w:i/>
        </w:rPr>
        <w:t>Indikatoren</w:t>
      </w:r>
      <w:r>
        <w:rPr>
          <w:i/>
        </w:rPr>
        <w:t>set</w:t>
      </w:r>
      <w:proofErr w:type="spellEnd"/>
      <w:r w:rsidRPr="00954B24">
        <w:rPr>
          <w:i/>
        </w:rPr>
        <w:t xml:space="preserve"> im Detail</w:t>
      </w:r>
    </w:p>
    <w:p w14:paraId="1E4E61F0" w14:textId="09B2E653" w:rsidR="00BA5073" w:rsidRDefault="00BA5073" w:rsidP="00F76B3C">
      <w:pPr>
        <w:pStyle w:val="Listenabsatz"/>
        <w:numPr>
          <w:ilvl w:val="0"/>
          <w:numId w:val="6"/>
        </w:numPr>
      </w:pPr>
      <w:r>
        <w:t>Bevölkerung und Demografie</w:t>
      </w:r>
    </w:p>
    <w:p w14:paraId="2F3AB54D" w14:textId="0F0AFCEA" w:rsidR="00954B24" w:rsidRDefault="00D615E6" w:rsidP="00954B24">
      <w:r>
        <w:t>Der Themenbereich</w:t>
      </w:r>
      <w:r w:rsidR="00954B24">
        <w:t xml:space="preserve"> enthält alle Indikatoren, die im weitesten Sinne die demografische Situation in Niedersachsen abbilden. Hier gehört die Anzahl der Menschen mit deutscher oder ausländischer Staatsangehörigkeit ebenso dazu wie die Verteilung nach Gesch</w:t>
      </w:r>
      <w:r w:rsidR="00F14A02">
        <w:t>l</w:t>
      </w:r>
      <w:r w:rsidR="00954B24">
        <w:t>echt und Alter sowie die Wanderungen.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20F1888B" w14:textId="77777777" w:rsidTr="00BA5073">
        <w:trPr>
          <w:trHeight w:val="288"/>
        </w:trPr>
        <w:tc>
          <w:tcPr>
            <w:tcW w:w="9406" w:type="dxa"/>
            <w:tcBorders>
              <w:top w:val="nil"/>
              <w:left w:val="nil"/>
              <w:bottom w:val="nil"/>
              <w:right w:val="nil"/>
            </w:tcBorders>
            <w:shd w:val="clear" w:color="auto" w:fill="auto"/>
            <w:noWrap/>
            <w:vAlign w:val="bottom"/>
            <w:hideMark/>
          </w:tcPr>
          <w:p w14:paraId="093A699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 Bevölkerung in Niedersachsen</w:t>
            </w:r>
          </w:p>
        </w:tc>
      </w:tr>
      <w:tr w:rsidR="00BA5073" w:rsidRPr="00BA5073" w14:paraId="1B41896B" w14:textId="77777777" w:rsidTr="00BA5073">
        <w:trPr>
          <w:trHeight w:val="288"/>
        </w:trPr>
        <w:tc>
          <w:tcPr>
            <w:tcW w:w="9406" w:type="dxa"/>
            <w:tcBorders>
              <w:top w:val="nil"/>
              <w:left w:val="nil"/>
              <w:bottom w:val="nil"/>
              <w:right w:val="nil"/>
            </w:tcBorders>
            <w:shd w:val="clear" w:color="auto" w:fill="auto"/>
            <w:noWrap/>
            <w:vAlign w:val="bottom"/>
            <w:hideMark/>
          </w:tcPr>
          <w:p w14:paraId="6D10094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A2: Ausländerinnen und Ausländer in Niedersachsen</w:t>
            </w:r>
          </w:p>
        </w:tc>
      </w:tr>
      <w:tr w:rsidR="00BA5073" w:rsidRPr="00BA5073" w14:paraId="3BF45800" w14:textId="77777777" w:rsidTr="00BA5073">
        <w:trPr>
          <w:trHeight w:val="288"/>
        </w:trPr>
        <w:tc>
          <w:tcPr>
            <w:tcW w:w="9406" w:type="dxa"/>
            <w:tcBorders>
              <w:top w:val="nil"/>
              <w:left w:val="nil"/>
              <w:bottom w:val="nil"/>
              <w:right w:val="nil"/>
            </w:tcBorders>
            <w:shd w:val="clear" w:color="auto" w:fill="auto"/>
            <w:noWrap/>
            <w:vAlign w:val="bottom"/>
            <w:hideMark/>
          </w:tcPr>
          <w:p w14:paraId="3C419B6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A3: Ausländerinnen und Ausländer in Niedersachsen nach Aufenthaltsdauer</w:t>
            </w:r>
          </w:p>
        </w:tc>
      </w:tr>
      <w:tr w:rsidR="00BA5073" w:rsidRPr="00BA5073" w14:paraId="749A50E6" w14:textId="77777777" w:rsidTr="00BA5073">
        <w:trPr>
          <w:trHeight w:val="288"/>
        </w:trPr>
        <w:tc>
          <w:tcPr>
            <w:tcW w:w="9406" w:type="dxa"/>
            <w:tcBorders>
              <w:top w:val="nil"/>
              <w:left w:val="nil"/>
              <w:bottom w:val="nil"/>
              <w:right w:val="nil"/>
            </w:tcBorders>
            <w:shd w:val="clear" w:color="auto" w:fill="auto"/>
            <w:noWrap/>
            <w:vAlign w:val="bottom"/>
            <w:hideMark/>
          </w:tcPr>
          <w:p w14:paraId="27E0C2B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A4: Ausländerinnen und Ausländer in Niedersachsen nach ausgewählten Staatsangehörigkeiten</w:t>
            </w:r>
          </w:p>
        </w:tc>
      </w:tr>
      <w:tr w:rsidR="00BA5073" w:rsidRPr="00BA5073" w14:paraId="2F7F03EB" w14:textId="77777777" w:rsidTr="00BA5073">
        <w:trPr>
          <w:trHeight w:val="288"/>
        </w:trPr>
        <w:tc>
          <w:tcPr>
            <w:tcW w:w="9406" w:type="dxa"/>
            <w:tcBorders>
              <w:top w:val="nil"/>
              <w:left w:val="nil"/>
              <w:bottom w:val="nil"/>
              <w:right w:val="nil"/>
            </w:tcBorders>
            <w:shd w:val="clear" w:color="auto" w:fill="auto"/>
            <w:noWrap/>
            <w:vAlign w:val="bottom"/>
            <w:hideMark/>
          </w:tcPr>
          <w:p w14:paraId="5F1E7BC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A6: Ausländerinnen und Ausländer nach ausgewählten Staatsangehörigkeiten und Geschlecht</w:t>
            </w:r>
          </w:p>
        </w:tc>
      </w:tr>
      <w:tr w:rsidR="00BA5073" w:rsidRPr="00BA5073" w14:paraId="674FBBD6" w14:textId="77777777" w:rsidTr="00BA5073">
        <w:trPr>
          <w:trHeight w:val="288"/>
        </w:trPr>
        <w:tc>
          <w:tcPr>
            <w:tcW w:w="9406" w:type="dxa"/>
            <w:tcBorders>
              <w:top w:val="nil"/>
              <w:left w:val="nil"/>
              <w:bottom w:val="nil"/>
              <w:right w:val="nil"/>
            </w:tcBorders>
            <w:shd w:val="clear" w:color="auto" w:fill="auto"/>
            <w:noWrap/>
            <w:vAlign w:val="bottom"/>
            <w:hideMark/>
          </w:tcPr>
          <w:p w14:paraId="36C60F8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A7: Ausländerinnen und Ausländer nach Altersgruppen</w:t>
            </w:r>
          </w:p>
        </w:tc>
      </w:tr>
      <w:tr w:rsidR="00BA5073" w:rsidRPr="00BA5073" w14:paraId="26E521F2" w14:textId="77777777" w:rsidTr="00BA5073">
        <w:trPr>
          <w:trHeight w:val="288"/>
        </w:trPr>
        <w:tc>
          <w:tcPr>
            <w:tcW w:w="9406" w:type="dxa"/>
            <w:tcBorders>
              <w:top w:val="nil"/>
              <w:left w:val="nil"/>
              <w:bottom w:val="nil"/>
              <w:right w:val="nil"/>
            </w:tcBorders>
            <w:shd w:val="clear" w:color="auto" w:fill="auto"/>
            <w:noWrap/>
            <w:vAlign w:val="bottom"/>
            <w:hideMark/>
          </w:tcPr>
          <w:p w14:paraId="78E5E73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A10: Menschen mit Zuwanderungsgeschichte</w:t>
            </w:r>
          </w:p>
        </w:tc>
      </w:tr>
      <w:tr w:rsidR="00BA5073" w:rsidRPr="00BA5073" w14:paraId="17A1BAA7" w14:textId="77777777" w:rsidTr="00BA5073">
        <w:trPr>
          <w:trHeight w:val="288"/>
        </w:trPr>
        <w:tc>
          <w:tcPr>
            <w:tcW w:w="9406" w:type="dxa"/>
            <w:tcBorders>
              <w:top w:val="nil"/>
              <w:left w:val="nil"/>
              <w:bottom w:val="nil"/>
              <w:right w:val="nil"/>
            </w:tcBorders>
            <w:shd w:val="clear" w:color="auto" w:fill="auto"/>
            <w:noWrap/>
            <w:vAlign w:val="bottom"/>
            <w:hideMark/>
          </w:tcPr>
          <w:p w14:paraId="3F54147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A11: Menschen mit Zuwanderungsgeschichte in den regionalen Anpassungsschichten</w:t>
            </w:r>
          </w:p>
        </w:tc>
      </w:tr>
      <w:tr w:rsidR="00BA5073" w:rsidRPr="00BA5073" w14:paraId="4BC13856" w14:textId="77777777" w:rsidTr="00BA5073">
        <w:trPr>
          <w:trHeight w:val="288"/>
        </w:trPr>
        <w:tc>
          <w:tcPr>
            <w:tcW w:w="9406" w:type="dxa"/>
            <w:tcBorders>
              <w:top w:val="nil"/>
              <w:left w:val="nil"/>
              <w:bottom w:val="nil"/>
              <w:right w:val="nil"/>
            </w:tcBorders>
            <w:shd w:val="clear" w:color="auto" w:fill="auto"/>
            <w:noWrap/>
            <w:vAlign w:val="bottom"/>
            <w:hideMark/>
          </w:tcPr>
          <w:p w14:paraId="32824C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A12: Menschen mit Zuwanderungsgeschichte nach Altersgruppen und Geschlecht</w:t>
            </w:r>
          </w:p>
        </w:tc>
      </w:tr>
      <w:tr w:rsidR="00BA5073" w:rsidRPr="00BA5073" w14:paraId="307E818A" w14:textId="77777777" w:rsidTr="00BA5073">
        <w:trPr>
          <w:trHeight w:val="288"/>
        </w:trPr>
        <w:tc>
          <w:tcPr>
            <w:tcW w:w="9406" w:type="dxa"/>
            <w:tcBorders>
              <w:top w:val="nil"/>
              <w:left w:val="nil"/>
              <w:bottom w:val="nil"/>
              <w:right w:val="nil"/>
            </w:tcBorders>
            <w:shd w:val="clear" w:color="auto" w:fill="auto"/>
            <w:noWrap/>
            <w:vAlign w:val="bottom"/>
            <w:hideMark/>
          </w:tcPr>
          <w:p w14:paraId="4E9B224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A13: Menschen mit Zuwanderungsgeschichte nach Herkunftsland und Geschlecht</w:t>
            </w:r>
          </w:p>
        </w:tc>
      </w:tr>
      <w:tr w:rsidR="00BA5073" w:rsidRPr="00BA5073" w14:paraId="287330B3" w14:textId="77777777" w:rsidTr="00BA5073">
        <w:trPr>
          <w:trHeight w:val="288"/>
        </w:trPr>
        <w:tc>
          <w:tcPr>
            <w:tcW w:w="9406" w:type="dxa"/>
            <w:tcBorders>
              <w:top w:val="nil"/>
              <w:left w:val="nil"/>
              <w:bottom w:val="nil"/>
              <w:right w:val="nil"/>
            </w:tcBorders>
            <w:shd w:val="clear" w:color="auto" w:fill="auto"/>
            <w:noWrap/>
            <w:vAlign w:val="bottom"/>
            <w:hideMark/>
          </w:tcPr>
          <w:p w14:paraId="003C681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A17: Lebendgeborene Deutsche und Ausländerinnen und Ausländer in Niedersachsen</w:t>
            </w:r>
          </w:p>
        </w:tc>
      </w:tr>
      <w:tr w:rsidR="00BA5073" w:rsidRPr="00BA5073" w14:paraId="75FDF35D" w14:textId="77777777" w:rsidTr="00BA5073">
        <w:trPr>
          <w:trHeight w:val="288"/>
        </w:trPr>
        <w:tc>
          <w:tcPr>
            <w:tcW w:w="9406" w:type="dxa"/>
            <w:tcBorders>
              <w:top w:val="nil"/>
              <w:left w:val="nil"/>
              <w:bottom w:val="nil"/>
              <w:right w:val="nil"/>
            </w:tcBorders>
            <w:shd w:val="clear" w:color="auto" w:fill="auto"/>
            <w:noWrap/>
            <w:vAlign w:val="bottom"/>
            <w:hideMark/>
          </w:tcPr>
          <w:p w14:paraId="662008C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A18: Zuzüge über die Bundesgrenzen nach Niedersachsen</w:t>
            </w:r>
          </w:p>
        </w:tc>
      </w:tr>
      <w:tr w:rsidR="00BA5073" w:rsidRPr="00BA5073" w14:paraId="5F40B0AD" w14:textId="77777777" w:rsidTr="00BA5073">
        <w:trPr>
          <w:trHeight w:val="288"/>
        </w:trPr>
        <w:tc>
          <w:tcPr>
            <w:tcW w:w="9406" w:type="dxa"/>
            <w:tcBorders>
              <w:top w:val="nil"/>
              <w:left w:val="nil"/>
              <w:bottom w:val="nil"/>
              <w:right w:val="nil"/>
            </w:tcBorders>
            <w:shd w:val="clear" w:color="auto" w:fill="auto"/>
            <w:noWrap/>
            <w:vAlign w:val="bottom"/>
            <w:hideMark/>
          </w:tcPr>
          <w:p w14:paraId="2A6E29A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A19: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aus Niedersachsen</w:t>
            </w:r>
          </w:p>
        </w:tc>
      </w:tr>
      <w:tr w:rsidR="00BA5073" w:rsidRPr="00BA5073" w14:paraId="17079C58" w14:textId="77777777" w:rsidTr="00BA5073">
        <w:trPr>
          <w:trHeight w:val="288"/>
        </w:trPr>
        <w:tc>
          <w:tcPr>
            <w:tcW w:w="9406" w:type="dxa"/>
            <w:tcBorders>
              <w:top w:val="nil"/>
              <w:left w:val="nil"/>
              <w:bottom w:val="nil"/>
              <w:right w:val="nil"/>
            </w:tcBorders>
            <w:shd w:val="clear" w:color="auto" w:fill="auto"/>
            <w:noWrap/>
            <w:vAlign w:val="bottom"/>
            <w:hideMark/>
          </w:tcPr>
          <w:p w14:paraId="4FC6C1DA"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A20: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ausgewählten Staatsangehörigkeiten</w:t>
            </w:r>
          </w:p>
        </w:tc>
      </w:tr>
      <w:tr w:rsidR="00BA5073" w:rsidRPr="00BA5073" w14:paraId="6242FB40" w14:textId="77777777" w:rsidTr="00BA5073">
        <w:trPr>
          <w:trHeight w:val="288"/>
        </w:trPr>
        <w:tc>
          <w:tcPr>
            <w:tcW w:w="9406" w:type="dxa"/>
            <w:tcBorders>
              <w:top w:val="nil"/>
              <w:left w:val="nil"/>
              <w:bottom w:val="nil"/>
              <w:right w:val="nil"/>
            </w:tcBorders>
            <w:shd w:val="clear" w:color="auto" w:fill="auto"/>
            <w:noWrap/>
            <w:vAlign w:val="bottom"/>
            <w:hideMark/>
          </w:tcPr>
          <w:p w14:paraId="1A058EC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A21: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Altersgruppen</w:t>
            </w:r>
          </w:p>
        </w:tc>
      </w:tr>
      <w:tr w:rsidR="00BA5073" w:rsidRPr="00BA5073" w14:paraId="25A14701" w14:textId="77777777" w:rsidTr="00BA5073">
        <w:trPr>
          <w:trHeight w:val="288"/>
        </w:trPr>
        <w:tc>
          <w:tcPr>
            <w:tcW w:w="9406" w:type="dxa"/>
            <w:tcBorders>
              <w:top w:val="nil"/>
              <w:left w:val="nil"/>
              <w:bottom w:val="nil"/>
              <w:right w:val="nil"/>
            </w:tcBorders>
            <w:shd w:val="clear" w:color="auto" w:fill="auto"/>
            <w:noWrap/>
            <w:vAlign w:val="bottom"/>
            <w:hideMark/>
          </w:tcPr>
          <w:p w14:paraId="3EAD9E5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A22: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w:t>
            </w:r>
          </w:p>
        </w:tc>
      </w:tr>
    </w:tbl>
    <w:p w14:paraId="25EA86BD" w14:textId="14305AAC" w:rsidR="00BA5073" w:rsidRDefault="00BA5073" w:rsidP="005455D7"/>
    <w:p w14:paraId="1E133541" w14:textId="175AF74F" w:rsidR="00A20CB1" w:rsidRDefault="00A20CB1" w:rsidP="00A20CB1">
      <w:pPr>
        <w:pStyle w:val="Listenabsatz"/>
        <w:numPr>
          <w:ilvl w:val="0"/>
          <w:numId w:val="6"/>
        </w:numPr>
      </w:pPr>
      <w:r>
        <w:t>Rechtliche Integration und Asyl</w:t>
      </w:r>
    </w:p>
    <w:p w14:paraId="17CE4FBE" w14:textId="575F275C" w:rsidR="00EC37BD" w:rsidRDefault="00D615E6" w:rsidP="00EC37BD">
      <w:r>
        <w:t>Der Themenbereich</w:t>
      </w:r>
      <w:r w:rsidR="00EC37BD">
        <w:t xml:space="preserve"> Recht und Asyl ist neu hinzugekommen, um dem Ansinnen gerecht zu werden das Migrations- und Integrationsgeschehen in Niedersachsen abzubilden. Hier finden sich alle Indikatoren die etwas über den Aufenthaltsstatus berichten und auch die Einbürgerungen finden sich hier wieder. Ergänzend kommen vier neue Indikatoren hinzu, bei denen es </w:t>
      </w:r>
      <w:r w:rsidR="004F04C9">
        <w:t>k</w:t>
      </w:r>
      <w:r w:rsidR="00EC37BD">
        <w:t xml:space="preserve">onkret um Flucht und Asyl geht: Die EASY Zugänge in Niedersachsen, die durchschnittliche Bewohnerzahl in der Landesaufnahmebehörde, die Freiwillige Ausreise aus Niedersachsen und die Abschiebungen. Die Daten für diese Indikatoren liegen bereits vor und sind in das neue System integriert. Bisher gibt es diese Daten nur auf der Ebene Niedersachsen. Eine Klärung mit dem BAMF, ob diese Daten auch auf der Ebene der Landkreise und kreisfreien Städte verfügbar sind, ist eingeleitet. Eine Ergänzung um </w:t>
      </w:r>
      <w:r w:rsidR="00EC37BD">
        <w:lastRenderedPageBreak/>
        <w:t xml:space="preserve">die relevante Frage von unbegleiteten </w:t>
      </w:r>
      <w:r w:rsidR="004F04C9">
        <w:t>Minderjährigen</w:t>
      </w:r>
      <w:r w:rsidR="00EC37BD">
        <w:t xml:space="preserve"> Geflüchteten wäre wünschenswert und in den kommenden Ausgaben denkbar.</w:t>
      </w:r>
    </w:p>
    <w:tbl>
      <w:tblPr>
        <w:tblW w:w="8325" w:type="dxa"/>
        <w:tblCellMar>
          <w:left w:w="70" w:type="dxa"/>
          <w:right w:w="70" w:type="dxa"/>
        </w:tblCellMar>
        <w:tblLook w:val="04A0" w:firstRow="1" w:lastRow="0" w:firstColumn="1" w:lastColumn="0" w:noHBand="0" w:noVBand="1"/>
      </w:tblPr>
      <w:tblGrid>
        <w:gridCol w:w="8325"/>
      </w:tblGrid>
      <w:tr w:rsidR="005B0F4B" w:rsidRPr="005B0F4B" w14:paraId="50E0FD21" w14:textId="77777777" w:rsidTr="005B0F4B">
        <w:trPr>
          <w:trHeight w:val="288"/>
        </w:trPr>
        <w:tc>
          <w:tcPr>
            <w:tcW w:w="8325" w:type="dxa"/>
            <w:tcBorders>
              <w:top w:val="nil"/>
              <w:left w:val="nil"/>
              <w:bottom w:val="nil"/>
              <w:right w:val="nil"/>
            </w:tcBorders>
            <w:shd w:val="clear" w:color="auto" w:fill="auto"/>
            <w:noWrap/>
            <w:vAlign w:val="bottom"/>
            <w:hideMark/>
          </w:tcPr>
          <w:p w14:paraId="6A8379B5"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A5: Geflüchtete und geduldete Personen in Niedersachsen</w:t>
            </w:r>
          </w:p>
        </w:tc>
      </w:tr>
      <w:tr w:rsidR="005B0F4B" w:rsidRPr="005B0F4B" w14:paraId="735A5901" w14:textId="77777777" w:rsidTr="005B0F4B">
        <w:trPr>
          <w:trHeight w:val="288"/>
        </w:trPr>
        <w:tc>
          <w:tcPr>
            <w:tcW w:w="8325" w:type="dxa"/>
            <w:tcBorders>
              <w:top w:val="nil"/>
              <w:left w:val="nil"/>
              <w:bottom w:val="nil"/>
              <w:right w:val="nil"/>
            </w:tcBorders>
            <w:shd w:val="clear" w:color="auto" w:fill="auto"/>
            <w:noWrap/>
            <w:vAlign w:val="bottom"/>
            <w:hideMark/>
          </w:tcPr>
          <w:p w14:paraId="625BB5CD"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A8: Ausländerinnen und Ausländer nach Aufenthaltsstatus und Staatsangehörigkeit</w:t>
            </w:r>
          </w:p>
        </w:tc>
      </w:tr>
      <w:tr w:rsidR="005B0F4B" w:rsidRPr="005B0F4B" w14:paraId="0CD97688" w14:textId="77777777" w:rsidTr="005B0F4B">
        <w:trPr>
          <w:trHeight w:val="288"/>
        </w:trPr>
        <w:tc>
          <w:tcPr>
            <w:tcW w:w="8325" w:type="dxa"/>
            <w:tcBorders>
              <w:top w:val="nil"/>
              <w:left w:val="nil"/>
              <w:bottom w:val="nil"/>
              <w:right w:val="nil"/>
            </w:tcBorders>
            <w:shd w:val="clear" w:color="auto" w:fill="auto"/>
            <w:noWrap/>
            <w:vAlign w:val="bottom"/>
            <w:hideMark/>
          </w:tcPr>
          <w:p w14:paraId="6C156BE7"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A9: Ausländerinnen und Ausländer nach Aufenthaltsstatus</w:t>
            </w:r>
          </w:p>
        </w:tc>
      </w:tr>
      <w:tr w:rsidR="005B0F4B" w:rsidRPr="005B0F4B" w14:paraId="0AE726B6" w14:textId="77777777" w:rsidTr="005B0F4B">
        <w:trPr>
          <w:trHeight w:val="288"/>
        </w:trPr>
        <w:tc>
          <w:tcPr>
            <w:tcW w:w="8325" w:type="dxa"/>
            <w:tcBorders>
              <w:top w:val="nil"/>
              <w:left w:val="nil"/>
              <w:bottom w:val="nil"/>
              <w:right w:val="nil"/>
            </w:tcBorders>
            <w:shd w:val="clear" w:color="auto" w:fill="auto"/>
            <w:noWrap/>
            <w:vAlign w:val="bottom"/>
            <w:hideMark/>
          </w:tcPr>
          <w:p w14:paraId="0DA4EB64"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A15: Einbürgerungen in Niedersachsen</w:t>
            </w:r>
          </w:p>
        </w:tc>
      </w:tr>
      <w:tr w:rsidR="005B0F4B" w:rsidRPr="005B0F4B" w14:paraId="769D35BC" w14:textId="77777777" w:rsidTr="005B0F4B">
        <w:trPr>
          <w:trHeight w:val="288"/>
        </w:trPr>
        <w:tc>
          <w:tcPr>
            <w:tcW w:w="8325" w:type="dxa"/>
            <w:tcBorders>
              <w:top w:val="nil"/>
              <w:left w:val="nil"/>
              <w:bottom w:val="nil"/>
              <w:right w:val="nil"/>
            </w:tcBorders>
            <w:shd w:val="clear" w:color="auto" w:fill="auto"/>
            <w:noWrap/>
            <w:vAlign w:val="bottom"/>
            <w:hideMark/>
          </w:tcPr>
          <w:p w14:paraId="60C4BD40"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A16: Einbürgerungen in Niedersachsen nach ausgewählten Staatsangehörigkeiten</w:t>
            </w:r>
          </w:p>
        </w:tc>
      </w:tr>
      <w:tr w:rsidR="00954B24" w:rsidRPr="005B0F4B" w14:paraId="7FC54D99" w14:textId="77777777" w:rsidTr="005B0F4B">
        <w:trPr>
          <w:trHeight w:val="288"/>
        </w:trPr>
        <w:tc>
          <w:tcPr>
            <w:tcW w:w="8325" w:type="dxa"/>
            <w:tcBorders>
              <w:top w:val="nil"/>
              <w:left w:val="nil"/>
              <w:bottom w:val="nil"/>
              <w:right w:val="nil"/>
            </w:tcBorders>
            <w:shd w:val="clear" w:color="auto" w:fill="auto"/>
            <w:noWrap/>
            <w:vAlign w:val="bottom"/>
          </w:tcPr>
          <w:p w14:paraId="2E43F2C5" w14:textId="64C71493"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EASY Zugänge in Niedersachsen</w:t>
            </w:r>
          </w:p>
        </w:tc>
      </w:tr>
      <w:tr w:rsidR="00954B24" w:rsidRPr="005B0F4B" w14:paraId="441EC2C4" w14:textId="77777777" w:rsidTr="005B0F4B">
        <w:trPr>
          <w:trHeight w:val="288"/>
        </w:trPr>
        <w:tc>
          <w:tcPr>
            <w:tcW w:w="8325" w:type="dxa"/>
            <w:tcBorders>
              <w:top w:val="nil"/>
              <w:left w:val="nil"/>
              <w:bottom w:val="nil"/>
              <w:right w:val="nil"/>
            </w:tcBorders>
            <w:shd w:val="clear" w:color="auto" w:fill="auto"/>
            <w:noWrap/>
            <w:vAlign w:val="bottom"/>
          </w:tcPr>
          <w:p w14:paraId="6F73AF73" w14:textId="4FD308A0"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Durchschnittliche Bewohnerzahl in der Landesaufnahmebehörde</w:t>
            </w:r>
          </w:p>
        </w:tc>
      </w:tr>
      <w:tr w:rsidR="00954B24" w:rsidRPr="005B0F4B" w14:paraId="78D96B52" w14:textId="77777777" w:rsidTr="005B0F4B">
        <w:trPr>
          <w:trHeight w:val="288"/>
        </w:trPr>
        <w:tc>
          <w:tcPr>
            <w:tcW w:w="8325" w:type="dxa"/>
            <w:tcBorders>
              <w:top w:val="nil"/>
              <w:left w:val="nil"/>
              <w:bottom w:val="nil"/>
              <w:right w:val="nil"/>
            </w:tcBorders>
            <w:shd w:val="clear" w:color="auto" w:fill="auto"/>
            <w:noWrap/>
            <w:vAlign w:val="bottom"/>
          </w:tcPr>
          <w:p w14:paraId="44E0A2FC" w14:textId="383311B6"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Freiwillige Ausreise im Land Niedersachsen (mit und ohne Förderung)</w:t>
            </w:r>
          </w:p>
        </w:tc>
      </w:tr>
      <w:tr w:rsidR="00954B24" w:rsidRPr="005B0F4B" w14:paraId="6E710187" w14:textId="77777777" w:rsidTr="005B0F4B">
        <w:trPr>
          <w:trHeight w:val="288"/>
        </w:trPr>
        <w:tc>
          <w:tcPr>
            <w:tcW w:w="8325" w:type="dxa"/>
            <w:tcBorders>
              <w:top w:val="nil"/>
              <w:left w:val="nil"/>
              <w:bottom w:val="nil"/>
              <w:right w:val="nil"/>
            </w:tcBorders>
            <w:shd w:val="clear" w:color="auto" w:fill="auto"/>
            <w:noWrap/>
            <w:vAlign w:val="bottom"/>
          </w:tcPr>
          <w:p w14:paraId="286CBBE5" w14:textId="784B94A5"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Abschiebungen</w:t>
            </w:r>
          </w:p>
        </w:tc>
      </w:tr>
      <w:tr w:rsidR="00954B24" w:rsidRPr="005B0F4B" w14:paraId="1BE5C9ED" w14:textId="77777777" w:rsidTr="005B0F4B">
        <w:trPr>
          <w:trHeight w:val="288"/>
        </w:trPr>
        <w:tc>
          <w:tcPr>
            <w:tcW w:w="8325" w:type="dxa"/>
            <w:tcBorders>
              <w:top w:val="nil"/>
              <w:left w:val="nil"/>
              <w:bottom w:val="nil"/>
              <w:right w:val="nil"/>
            </w:tcBorders>
            <w:shd w:val="clear" w:color="auto" w:fill="auto"/>
            <w:noWrap/>
            <w:vAlign w:val="bottom"/>
          </w:tcPr>
          <w:p w14:paraId="21D24D22" w14:textId="77777777" w:rsidR="00954B24" w:rsidRPr="005B0F4B" w:rsidRDefault="00954B24" w:rsidP="005B0F4B">
            <w:pPr>
              <w:spacing w:after="0" w:line="240" w:lineRule="auto"/>
              <w:rPr>
                <w:rFonts w:ascii="Calibri" w:eastAsia="Times New Roman" w:hAnsi="Calibri" w:cs="Calibri"/>
                <w:color w:val="000000"/>
                <w:sz w:val="18"/>
                <w:lang w:eastAsia="de-DE"/>
              </w:rPr>
            </w:pPr>
          </w:p>
        </w:tc>
      </w:tr>
    </w:tbl>
    <w:p w14:paraId="5E167C4B" w14:textId="18B68C26" w:rsidR="00A20CB1" w:rsidRDefault="00A20CB1" w:rsidP="00A20CB1"/>
    <w:p w14:paraId="4F56F797" w14:textId="17E76FAB" w:rsidR="005B0F4B" w:rsidRDefault="005B0F4B" w:rsidP="005B0F4B">
      <w:pPr>
        <w:pStyle w:val="Listenabsatz"/>
        <w:numPr>
          <w:ilvl w:val="0"/>
          <w:numId w:val="6"/>
        </w:numPr>
      </w:pPr>
      <w:r>
        <w:t>Kinderbetreuung</w:t>
      </w:r>
    </w:p>
    <w:p w14:paraId="24B3A912" w14:textId="7F556233" w:rsidR="00EC37BD" w:rsidRPr="002F7C2C" w:rsidRDefault="00EC37BD" w:rsidP="00EC37BD">
      <w:r>
        <w:t>Die Kinderbetreuung hat mit dem Blick auf das Integrationsgeschehen einen hohen Stellenwert. Daher ist für die drei schon bestehenden Indikatoren ein eigene</w:t>
      </w:r>
      <w:r w:rsidR="004F04C9">
        <w:t>r</w:t>
      </w:r>
      <w:r>
        <w:t xml:space="preserve"> </w:t>
      </w:r>
      <w:r w:rsidR="004F04C9">
        <w:t>Themenbereich</w:t>
      </w:r>
      <w:r>
        <w:t xml:space="preserve"> gebildet worden. Eine Erweiterung um weitere Aspekte der Kinderbetreuung explizit von Geflüchteten wäre in den kommenden Jahren denkbar und wünschenswert. Hierfür müsste aber eine gesonderte Überprüfung der verfügbaren Daten erfolgen.</w:t>
      </w:r>
      <w:r w:rsidR="002F7C2C">
        <w:t xml:space="preserve"> </w:t>
      </w:r>
    </w:p>
    <w:tbl>
      <w:tblPr>
        <w:tblW w:w="9406" w:type="dxa"/>
        <w:tblCellMar>
          <w:left w:w="70" w:type="dxa"/>
          <w:right w:w="70" w:type="dxa"/>
        </w:tblCellMar>
        <w:tblLook w:val="04A0" w:firstRow="1" w:lastRow="0" w:firstColumn="1" w:lastColumn="0" w:noHBand="0" w:noVBand="1"/>
      </w:tblPr>
      <w:tblGrid>
        <w:gridCol w:w="9406"/>
      </w:tblGrid>
      <w:tr w:rsidR="005B0F4B" w:rsidRPr="00BA5073" w14:paraId="05FA461F" w14:textId="77777777" w:rsidTr="00800871">
        <w:trPr>
          <w:trHeight w:val="288"/>
        </w:trPr>
        <w:tc>
          <w:tcPr>
            <w:tcW w:w="9406" w:type="dxa"/>
            <w:tcBorders>
              <w:top w:val="nil"/>
              <w:left w:val="nil"/>
              <w:bottom w:val="nil"/>
              <w:right w:val="nil"/>
            </w:tcBorders>
            <w:shd w:val="clear" w:color="auto" w:fill="auto"/>
            <w:noWrap/>
            <w:vAlign w:val="bottom"/>
            <w:hideMark/>
          </w:tcPr>
          <w:p w14:paraId="5665444E"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 Betreuungsquote von Kindern bis unter 6 Jahren mit und ohne Zuwanderungsgeschichte in Kindertagesbetreuung</w:t>
            </w:r>
          </w:p>
        </w:tc>
      </w:tr>
      <w:tr w:rsidR="005B0F4B" w:rsidRPr="00BA5073" w14:paraId="34F16F9E" w14:textId="77777777" w:rsidTr="00800871">
        <w:trPr>
          <w:trHeight w:val="288"/>
        </w:trPr>
        <w:tc>
          <w:tcPr>
            <w:tcW w:w="9406" w:type="dxa"/>
            <w:tcBorders>
              <w:top w:val="nil"/>
              <w:left w:val="nil"/>
              <w:bottom w:val="nil"/>
              <w:right w:val="nil"/>
            </w:tcBorders>
            <w:shd w:val="clear" w:color="auto" w:fill="auto"/>
            <w:noWrap/>
            <w:vAlign w:val="bottom"/>
            <w:hideMark/>
          </w:tcPr>
          <w:p w14:paraId="6D60C84F"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B2: Anteil der betreuten Kinder bis unter 6 Jahren mit Zuwanderungsgeschichte in Tageseinrichtungen</w:t>
            </w:r>
          </w:p>
        </w:tc>
      </w:tr>
      <w:tr w:rsidR="005B0F4B" w:rsidRPr="00BA5073" w14:paraId="0361396D" w14:textId="77777777" w:rsidTr="00800871">
        <w:trPr>
          <w:trHeight w:val="288"/>
        </w:trPr>
        <w:tc>
          <w:tcPr>
            <w:tcW w:w="9406" w:type="dxa"/>
            <w:tcBorders>
              <w:top w:val="nil"/>
              <w:left w:val="nil"/>
              <w:bottom w:val="nil"/>
              <w:right w:val="nil"/>
            </w:tcBorders>
            <w:shd w:val="clear" w:color="auto" w:fill="auto"/>
            <w:noWrap/>
            <w:vAlign w:val="bottom"/>
            <w:hideMark/>
          </w:tcPr>
          <w:p w14:paraId="2D53D00C"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B3: Betreute Kinder bis unter 3 Jahren und von 3 bis unter 6 Jahren mit Zuwanderungsgeschichte in Kindertagesbetreuung</w:t>
            </w:r>
          </w:p>
        </w:tc>
      </w:tr>
    </w:tbl>
    <w:p w14:paraId="43E4AEA3" w14:textId="77777777" w:rsidR="005B0F4B" w:rsidRDefault="005B0F4B" w:rsidP="005B0F4B"/>
    <w:p w14:paraId="51DE9EF9" w14:textId="7C39AC01" w:rsidR="00BA5073" w:rsidRDefault="00BA5073" w:rsidP="005B0F4B">
      <w:pPr>
        <w:pStyle w:val="Listenabsatz"/>
        <w:numPr>
          <w:ilvl w:val="0"/>
          <w:numId w:val="6"/>
        </w:numPr>
      </w:pPr>
      <w:r>
        <w:t>Bildung und Qualifikation</w:t>
      </w:r>
    </w:p>
    <w:p w14:paraId="4B88918E" w14:textId="4B44DD8F" w:rsidR="00EC37BD" w:rsidRPr="002F7C2C" w:rsidRDefault="004F04C9" w:rsidP="00EC37BD">
      <w:r>
        <w:t>Der</w:t>
      </w:r>
      <w:r w:rsidR="00EC37BD">
        <w:t xml:space="preserve"> </w:t>
      </w:r>
      <w:r>
        <w:t>Themenbereich</w:t>
      </w:r>
      <w:r w:rsidR="00EC37BD">
        <w:t xml:space="preserve"> Bildung und Qualifikation</w:t>
      </w:r>
      <w:r w:rsidR="002F7C2C">
        <w:t xml:space="preserve"> umfasst alle Indikatoren, die im weitesten Sinn mit Bildung und Ausbildung zu tun haben. Eine Leerstelle ist die schulische Bildung in der Grundschule und der betrieblichen und schulischen Ausbildung. Der Indikator B10 bildet die Ausbildungsbeteiligung nur unzureichend ab. Der Indikator C8 </w:t>
      </w:r>
      <w:r w:rsidR="002F7C2C" w:rsidRPr="002F7C2C">
        <w:rPr>
          <w:i/>
        </w:rPr>
        <w:t>Anerkennungsverfahren nach dem Berufsqualifikationsfeststellungsgesetz</w:t>
      </w:r>
      <w:r w:rsidR="002F7C2C">
        <w:t xml:space="preserve"> ist hier besser aufgehoben als in de</w:t>
      </w:r>
      <w:r w:rsidR="00367667">
        <w:t>m</w:t>
      </w:r>
      <w:r w:rsidR="002F7C2C">
        <w:t xml:space="preserve"> alten </w:t>
      </w:r>
      <w:r w:rsidR="00367667">
        <w:t>Themenbereich</w:t>
      </w:r>
      <w:r w:rsidR="002F7C2C">
        <w:t xml:space="preserve"> Erwerbstätigkeit und Arbeitsmarkt.</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3D5D7968" w14:textId="77777777" w:rsidTr="00BA5073">
        <w:trPr>
          <w:trHeight w:val="288"/>
        </w:trPr>
        <w:tc>
          <w:tcPr>
            <w:tcW w:w="9406" w:type="dxa"/>
            <w:tcBorders>
              <w:top w:val="nil"/>
              <w:left w:val="nil"/>
              <w:bottom w:val="nil"/>
              <w:right w:val="nil"/>
            </w:tcBorders>
            <w:shd w:val="clear" w:color="auto" w:fill="auto"/>
            <w:noWrap/>
            <w:vAlign w:val="bottom"/>
            <w:hideMark/>
          </w:tcPr>
          <w:p w14:paraId="080B87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B4: Verteilung der Schülerinnen und Schüler im 8. Schuljahrgang</w:t>
            </w:r>
          </w:p>
        </w:tc>
      </w:tr>
      <w:tr w:rsidR="00BA5073" w:rsidRPr="00BA5073" w14:paraId="24A91991" w14:textId="77777777" w:rsidTr="00BA5073">
        <w:trPr>
          <w:trHeight w:val="288"/>
        </w:trPr>
        <w:tc>
          <w:tcPr>
            <w:tcW w:w="9406" w:type="dxa"/>
            <w:tcBorders>
              <w:top w:val="nil"/>
              <w:left w:val="nil"/>
              <w:bottom w:val="nil"/>
              <w:right w:val="nil"/>
            </w:tcBorders>
            <w:shd w:val="clear" w:color="auto" w:fill="auto"/>
            <w:noWrap/>
            <w:vAlign w:val="bottom"/>
            <w:hideMark/>
          </w:tcPr>
          <w:p w14:paraId="4607648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B5: Schulabgängerinnen und Schulabgänger ohne Hauptschulabschluss nach Nationalität</w:t>
            </w:r>
          </w:p>
        </w:tc>
      </w:tr>
      <w:tr w:rsidR="00BA5073" w:rsidRPr="00BA5073" w14:paraId="5AAF1A80" w14:textId="77777777" w:rsidTr="00BA5073">
        <w:trPr>
          <w:trHeight w:val="288"/>
        </w:trPr>
        <w:tc>
          <w:tcPr>
            <w:tcW w:w="9406" w:type="dxa"/>
            <w:tcBorders>
              <w:top w:val="nil"/>
              <w:left w:val="nil"/>
              <w:bottom w:val="nil"/>
              <w:right w:val="nil"/>
            </w:tcBorders>
            <w:shd w:val="clear" w:color="auto" w:fill="auto"/>
            <w:noWrap/>
            <w:vAlign w:val="bottom"/>
            <w:hideMark/>
          </w:tcPr>
          <w:p w14:paraId="064686D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B6: Schulabgängerinnen und Schulabgänger nach Nationalität und Abschlussart</w:t>
            </w:r>
          </w:p>
        </w:tc>
      </w:tr>
      <w:tr w:rsidR="00BA5073" w:rsidRPr="00BA5073" w14:paraId="1AC49D4D" w14:textId="77777777" w:rsidTr="00BA5073">
        <w:trPr>
          <w:trHeight w:val="288"/>
        </w:trPr>
        <w:tc>
          <w:tcPr>
            <w:tcW w:w="9406" w:type="dxa"/>
            <w:tcBorders>
              <w:top w:val="nil"/>
              <w:left w:val="nil"/>
              <w:bottom w:val="nil"/>
              <w:right w:val="nil"/>
            </w:tcBorders>
            <w:shd w:val="clear" w:color="auto" w:fill="auto"/>
            <w:noWrap/>
            <w:vAlign w:val="bottom"/>
            <w:hideMark/>
          </w:tcPr>
          <w:p w14:paraId="0A98962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B7: Höchster Schulabschluss an </w:t>
            </w:r>
            <w:proofErr w:type="gramStart"/>
            <w:r w:rsidRPr="00BA5073">
              <w:rPr>
                <w:rFonts w:ascii="Calibri" w:eastAsia="Times New Roman" w:hAnsi="Calibri" w:cs="Calibri"/>
                <w:color w:val="000000"/>
                <w:sz w:val="18"/>
                <w:lang w:eastAsia="de-DE"/>
              </w:rPr>
              <w:t>allgemein bildenden</w:t>
            </w:r>
            <w:proofErr w:type="gramEnd"/>
            <w:r w:rsidRPr="00BA5073">
              <w:rPr>
                <w:rFonts w:ascii="Calibri" w:eastAsia="Times New Roman" w:hAnsi="Calibri" w:cs="Calibri"/>
                <w:color w:val="000000"/>
                <w:sz w:val="18"/>
                <w:lang w:eastAsia="de-DE"/>
              </w:rPr>
              <w:t xml:space="preserve"> Schulen nach Zuwanderungsgeschichte und Altersgruppen</w:t>
            </w:r>
          </w:p>
        </w:tc>
      </w:tr>
      <w:tr w:rsidR="00BA5073" w:rsidRPr="00BA5073" w14:paraId="5C08D286" w14:textId="77777777" w:rsidTr="00BA5073">
        <w:trPr>
          <w:trHeight w:val="288"/>
        </w:trPr>
        <w:tc>
          <w:tcPr>
            <w:tcW w:w="9406" w:type="dxa"/>
            <w:tcBorders>
              <w:top w:val="nil"/>
              <w:left w:val="nil"/>
              <w:bottom w:val="nil"/>
              <w:right w:val="nil"/>
            </w:tcBorders>
            <w:shd w:val="clear" w:color="auto" w:fill="auto"/>
            <w:noWrap/>
            <w:vAlign w:val="bottom"/>
            <w:hideMark/>
          </w:tcPr>
          <w:p w14:paraId="03D34B9F" w14:textId="08212DCD"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B8: Schulabgängerinnen und Schulabgänger</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an</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berufsbildenden</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Schulen</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nach</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Schulart und Schulabschluss</w:t>
            </w:r>
          </w:p>
        </w:tc>
      </w:tr>
      <w:tr w:rsidR="00BA5073" w:rsidRPr="00BA5073" w14:paraId="50B211D6" w14:textId="77777777" w:rsidTr="00BA5073">
        <w:trPr>
          <w:trHeight w:val="288"/>
        </w:trPr>
        <w:tc>
          <w:tcPr>
            <w:tcW w:w="9406" w:type="dxa"/>
            <w:tcBorders>
              <w:top w:val="nil"/>
              <w:left w:val="nil"/>
              <w:bottom w:val="nil"/>
              <w:right w:val="nil"/>
            </w:tcBorders>
            <w:shd w:val="clear" w:color="auto" w:fill="auto"/>
            <w:noWrap/>
            <w:vAlign w:val="bottom"/>
            <w:hideMark/>
          </w:tcPr>
          <w:p w14:paraId="59814E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B9: Höchster beruflicher Abschluss der 25- bis unter 35-Jährigen nach Zuwanderungsgeschichte und Geschlecht</w:t>
            </w:r>
          </w:p>
        </w:tc>
      </w:tr>
      <w:tr w:rsidR="00BA5073" w:rsidRPr="00BA5073" w14:paraId="286AAA04" w14:textId="77777777" w:rsidTr="00BA5073">
        <w:trPr>
          <w:trHeight w:val="288"/>
        </w:trPr>
        <w:tc>
          <w:tcPr>
            <w:tcW w:w="9406" w:type="dxa"/>
            <w:tcBorders>
              <w:top w:val="nil"/>
              <w:left w:val="nil"/>
              <w:bottom w:val="nil"/>
              <w:right w:val="nil"/>
            </w:tcBorders>
            <w:shd w:val="clear" w:color="auto" w:fill="auto"/>
            <w:noWrap/>
            <w:vAlign w:val="bottom"/>
            <w:hideMark/>
          </w:tcPr>
          <w:p w14:paraId="5A63240B"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B10: Ausbildungsbeteiligungsquote im dualen System nach Geschlecht und Nationalität</w:t>
            </w:r>
          </w:p>
        </w:tc>
      </w:tr>
      <w:tr w:rsidR="00BA5073" w:rsidRPr="00BA5073" w14:paraId="3CBC0D89" w14:textId="77777777" w:rsidTr="00BA5073">
        <w:trPr>
          <w:trHeight w:val="288"/>
        </w:trPr>
        <w:tc>
          <w:tcPr>
            <w:tcW w:w="9406" w:type="dxa"/>
            <w:tcBorders>
              <w:top w:val="nil"/>
              <w:left w:val="nil"/>
              <w:bottom w:val="nil"/>
              <w:right w:val="nil"/>
            </w:tcBorders>
            <w:shd w:val="clear" w:color="auto" w:fill="auto"/>
            <w:noWrap/>
            <w:vAlign w:val="bottom"/>
            <w:hideMark/>
          </w:tcPr>
          <w:p w14:paraId="1F092423"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B11: Ausländische Studentinnen und Studenten nach Land des Erwerbs der Studienberechtigung</w:t>
            </w:r>
          </w:p>
        </w:tc>
      </w:tr>
      <w:tr w:rsidR="00BA5073" w:rsidRPr="00BA5073" w14:paraId="208B1FA2" w14:textId="77777777" w:rsidTr="00BA5073">
        <w:trPr>
          <w:trHeight w:val="288"/>
        </w:trPr>
        <w:tc>
          <w:tcPr>
            <w:tcW w:w="9406" w:type="dxa"/>
            <w:tcBorders>
              <w:top w:val="nil"/>
              <w:left w:val="nil"/>
              <w:bottom w:val="nil"/>
              <w:right w:val="nil"/>
            </w:tcBorders>
            <w:shd w:val="clear" w:color="auto" w:fill="auto"/>
            <w:noWrap/>
            <w:vAlign w:val="bottom"/>
            <w:hideMark/>
          </w:tcPr>
          <w:p w14:paraId="15600ACD"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B12: Hochschulabschlüsse im Prüfungsjahr nach Fächergruppe, Nationalität und Geschlecht der Absolventinnen und Absolventen</w:t>
            </w:r>
          </w:p>
        </w:tc>
      </w:tr>
      <w:tr w:rsidR="00BA5073" w:rsidRPr="00BA5073" w14:paraId="5C8585DD" w14:textId="77777777" w:rsidTr="00BA5073">
        <w:trPr>
          <w:trHeight w:val="288"/>
        </w:trPr>
        <w:tc>
          <w:tcPr>
            <w:tcW w:w="9406" w:type="dxa"/>
            <w:tcBorders>
              <w:top w:val="nil"/>
              <w:left w:val="nil"/>
              <w:bottom w:val="nil"/>
              <w:right w:val="nil"/>
            </w:tcBorders>
            <w:shd w:val="clear" w:color="auto" w:fill="auto"/>
            <w:noWrap/>
            <w:vAlign w:val="bottom"/>
            <w:hideMark/>
          </w:tcPr>
          <w:p w14:paraId="1449566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B13: Frühe Schulabgängerinnen und Schulabgänger nach Geschlecht, Zuwanderungsgeschichte und eigener Migrationserfahrung</w:t>
            </w:r>
          </w:p>
        </w:tc>
      </w:tr>
      <w:tr w:rsidR="00BA5073" w:rsidRPr="00BA5073" w14:paraId="409E022B" w14:textId="77777777" w:rsidTr="00BA5073">
        <w:trPr>
          <w:trHeight w:val="288"/>
        </w:trPr>
        <w:tc>
          <w:tcPr>
            <w:tcW w:w="9406" w:type="dxa"/>
            <w:tcBorders>
              <w:top w:val="nil"/>
              <w:left w:val="nil"/>
              <w:bottom w:val="nil"/>
              <w:right w:val="nil"/>
            </w:tcBorders>
            <w:shd w:val="clear" w:color="auto" w:fill="auto"/>
            <w:noWrap/>
            <w:vAlign w:val="bottom"/>
            <w:hideMark/>
          </w:tcPr>
          <w:p w14:paraId="096D493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C8: </w:t>
            </w:r>
            <w:bookmarkStart w:id="3" w:name="_Hlk73975168"/>
            <w:r w:rsidRPr="00BA5073">
              <w:rPr>
                <w:rFonts w:ascii="Calibri" w:eastAsia="Times New Roman" w:hAnsi="Calibri" w:cs="Calibri"/>
                <w:color w:val="000000"/>
                <w:sz w:val="18"/>
                <w:lang w:eastAsia="de-DE"/>
              </w:rPr>
              <w:t xml:space="preserve">Anerkennungsverfahren nach dem Berufsqualifikationsfeststellungsgesetz </w:t>
            </w:r>
            <w:bookmarkEnd w:id="3"/>
            <w:r w:rsidRPr="00BA5073">
              <w:rPr>
                <w:rFonts w:ascii="Calibri" w:eastAsia="Times New Roman" w:hAnsi="Calibri" w:cs="Calibri"/>
                <w:color w:val="000000"/>
                <w:sz w:val="18"/>
                <w:lang w:eastAsia="de-DE"/>
              </w:rPr>
              <w:t xml:space="preserve">(BQFG) sowie </w:t>
            </w:r>
            <w:r w:rsidRPr="00BA5073">
              <w:rPr>
                <w:rFonts w:ascii="Calibri" w:eastAsia="Times New Roman" w:hAnsi="Calibri" w:cs="Calibri"/>
                <w:color w:val="000000"/>
                <w:sz w:val="18"/>
                <w:lang w:eastAsia="de-DE"/>
              </w:rPr>
              <w:br/>
              <w:t>dem Niedersächsischen Berufsqualifikationsfeststellungsgesetz (NBQFG)</w:t>
            </w:r>
          </w:p>
        </w:tc>
      </w:tr>
    </w:tbl>
    <w:p w14:paraId="05017E6A" w14:textId="08C600E5" w:rsidR="00BA5073" w:rsidRDefault="00BA5073" w:rsidP="005455D7"/>
    <w:p w14:paraId="73C4DEDE" w14:textId="1CB3C390" w:rsidR="00BA5073" w:rsidRDefault="00BA5073" w:rsidP="005B0F4B">
      <w:pPr>
        <w:pStyle w:val="Listenabsatz"/>
        <w:numPr>
          <w:ilvl w:val="0"/>
          <w:numId w:val="6"/>
        </w:numPr>
      </w:pPr>
      <w:r>
        <w:lastRenderedPageBreak/>
        <w:t>Erwerbstätigkeit und Arbeitsmarkt</w:t>
      </w:r>
    </w:p>
    <w:p w14:paraId="37622C80" w14:textId="0117F281" w:rsidR="00205B0F" w:rsidRDefault="00205B0F" w:rsidP="00205B0F">
      <w:r>
        <w:t xml:space="preserve">Erwerbstätigkeit ist ein zentraler Aspekt für Integration und Teilhabe. Eine Erweiterung um Indikatoren die beispielsweise die Form von Beschäftigung (selbstständig oder unselbständig) die Teilzeiterwerbstätigkeit, geringfügiger Beschäftigung und durch die Bundesagentur für Arbeit finanziell geförderter Beschäftigung </w:t>
      </w:r>
      <w:r w:rsidR="00656EC2">
        <w:t>wären dringen</w:t>
      </w:r>
      <w:r w:rsidR="004F04C9">
        <w:t>d</w:t>
      </w:r>
      <w:r w:rsidR="00656EC2">
        <w:t xml:space="preserve"> geboten. Eine Sichtung der bei der Bundesagentur für Arbeit verfügbarer Daten sollte zwingend erfolgen.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0C1E1018" w14:textId="77777777" w:rsidTr="00BA5073">
        <w:trPr>
          <w:trHeight w:val="288"/>
        </w:trPr>
        <w:tc>
          <w:tcPr>
            <w:tcW w:w="9406" w:type="dxa"/>
            <w:tcBorders>
              <w:top w:val="nil"/>
              <w:left w:val="nil"/>
              <w:bottom w:val="nil"/>
              <w:right w:val="nil"/>
            </w:tcBorders>
            <w:shd w:val="clear" w:color="auto" w:fill="auto"/>
            <w:noWrap/>
            <w:vAlign w:val="bottom"/>
            <w:hideMark/>
          </w:tcPr>
          <w:p w14:paraId="3D4B483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C1: Erwerbstätige Menschen mit Zuwanderungsgeschichte in Niedersachsen nach Wirtschaftsabschnitten und Geschlecht</w:t>
            </w:r>
          </w:p>
        </w:tc>
      </w:tr>
      <w:tr w:rsidR="00BA5073" w:rsidRPr="00BA5073" w14:paraId="012B3669" w14:textId="77777777" w:rsidTr="00BA5073">
        <w:trPr>
          <w:trHeight w:val="288"/>
        </w:trPr>
        <w:tc>
          <w:tcPr>
            <w:tcW w:w="9406" w:type="dxa"/>
            <w:tcBorders>
              <w:top w:val="nil"/>
              <w:left w:val="nil"/>
              <w:bottom w:val="nil"/>
              <w:right w:val="nil"/>
            </w:tcBorders>
            <w:shd w:val="clear" w:color="auto" w:fill="auto"/>
            <w:noWrap/>
            <w:vAlign w:val="bottom"/>
            <w:hideMark/>
          </w:tcPr>
          <w:p w14:paraId="785C1F5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C2: Erwerbsquote, Erwerbstätigenquote und Erwerbslosenanteil nach Zuwanderungsgeschichte</w:t>
            </w:r>
          </w:p>
        </w:tc>
      </w:tr>
      <w:tr w:rsidR="00BA5073" w:rsidRPr="00BA5073" w14:paraId="45BC0118" w14:textId="77777777" w:rsidTr="00BA5073">
        <w:trPr>
          <w:trHeight w:val="288"/>
        </w:trPr>
        <w:tc>
          <w:tcPr>
            <w:tcW w:w="9406" w:type="dxa"/>
            <w:tcBorders>
              <w:top w:val="nil"/>
              <w:left w:val="nil"/>
              <w:bottom w:val="nil"/>
              <w:right w:val="nil"/>
            </w:tcBorders>
            <w:shd w:val="clear" w:color="auto" w:fill="auto"/>
            <w:noWrap/>
            <w:vAlign w:val="bottom"/>
            <w:hideMark/>
          </w:tcPr>
          <w:p w14:paraId="71D2F98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C3: Erwerbslosenanteil nach Zuwanderungsgeschichte</w:t>
            </w:r>
          </w:p>
        </w:tc>
      </w:tr>
      <w:tr w:rsidR="00BA5073" w:rsidRPr="00BA5073" w14:paraId="2DD46D73" w14:textId="77777777" w:rsidTr="00BA5073">
        <w:trPr>
          <w:trHeight w:val="288"/>
        </w:trPr>
        <w:tc>
          <w:tcPr>
            <w:tcW w:w="9406" w:type="dxa"/>
            <w:tcBorders>
              <w:top w:val="nil"/>
              <w:left w:val="nil"/>
              <w:bottom w:val="nil"/>
              <w:right w:val="nil"/>
            </w:tcBorders>
            <w:shd w:val="clear" w:color="auto" w:fill="auto"/>
            <w:noWrap/>
            <w:vAlign w:val="bottom"/>
            <w:hideMark/>
          </w:tcPr>
          <w:p w14:paraId="5882D28E" w14:textId="4829F889"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C4: Sozialversicherungspflichtig </w:t>
            </w:r>
            <w:r w:rsidR="002F7C2C" w:rsidRPr="00BA5073">
              <w:rPr>
                <w:rFonts w:ascii="Calibri" w:eastAsia="Times New Roman" w:hAnsi="Calibri" w:cs="Calibri"/>
                <w:color w:val="000000"/>
                <w:sz w:val="18"/>
                <w:lang w:eastAsia="de-DE"/>
              </w:rPr>
              <w:t>Beschäftigte</w:t>
            </w:r>
            <w:r w:rsidRPr="00BA5073">
              <w:rPr>
                <w:rFonts w:ascii="Calibri" w:eastAsia="Times New Roman" w:hAnsi="Calibri" w:cs="Calibri"/>
                <w:color w:val="000000"/>
                <w:sz w:val="18"/>
                <w:lang w:eastAsia="de-DE"/>
              </w:rPr>
              <w:t xml:space="preserve"> Ausländerinnen und Ausländer nach Art der Ausbildung</w:t>
            </w:r>
          </w:p>
        </w:tc>
      </w:tr>
      <w:tr w:rsidR="00BA5073" w:rsidRPr="00BA5073" w14:paraId="0DAC8982" w14:textId="77777777" w:rsidTr="00BA5073">
        <w:trPr>
          <w:trHeight w:val="288"/>
        </w:trPr>
        <w:tc>
          <w:tcPr>
            <w:tcW w:w="9406" w:type="dxa"/>
            <w:tcBorders>
              <w:top w:val="nil"/>
              <w:left w:val="nil"/>
              <w:bottom w:val="nil"/>
              <w:right w:val="nil"/>
            </w:tcBorders>
            <w:shd w:val="clear" w:color="auto" w:fill="auto"/>
            <w:noWrap/>
            <w:vAlign w:val="bottom"/>
            <w:hideMark/>
          </w:tcPr>
          <w:p w14:paraId="4977A2C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C6: Entwicklung der Arbeitslosenquote</w:t>
            </w:r>
          </w:p>
        </w:tc>
      </w:tr>
      <w:tr w:rsidR="00BA5073" w:rsidRPr="00BA5073" w14:paraId="110F94A7" w14:textId="77777777" w:rsidTr="00BA5073">
        <w:trPr>
          <w:trHeight w:val="288"/>
        </w:trPr>
        <w:tc>
          <w:tcPr>
            <w:tcW w:w="9406" w:type="dxa"/>
            <w:tcBorders>
              <w:top w:val="nil"/>
              <w:left w:val="nil"/>
              <w:bottom w:val="nil"/>
              <w:right w:val="nil"/>
            </w:tcBorders>
            <w:shd w:val="clear" w:color="auto" w:fill="auto"/>
            <w:noWrap/>
            <w:vAlign w:val="bottom"/>
            <w:hideMark/>
          </w:tcPr>
          <w:p w14:paraId="2F23F23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C7: Arbeitslose nach Zuwanderungsgeschichte, Rechtskreis und Geschlecht</w:t>
            </w:r>
          </w:p>
        </w:tc>
      </w:tr>
    </w:tbl>
    <w:p w14:paraId="565C81BA" w14:textId="11EF3A10" w:rsidR="00BA5073" w:rsidRDefault="00BA5073" w:rsidP="005455D7"/>
    <w:p w14:paraId="2193278B" w14:textId="78815EDC" w:rsidR="00F76B3C" w:rsidRDefault="00F76B3C" w:rsidP="005B0F4B">
      <w:pPr>
        <w:pStyle w:val="Listenabsatz"/>
        <w:numPr>
          <w:ilvl w:val="0"/>
          <w:numId w:val="6"/>
        </w:numPr>
      </w:pPr>
      <w:r>
        <w:t>Lebensunterhalt und Soziale Sicherung</w:t>
      </w:r>
    </w:p>
    <w:p w14:paraId="162116C9" w14:textId="0E18ECF5" w:rsidR="00656EC2" w:rsidRDefault="004F04C9" w:rsidP="00656EC2">
      <w:r>
        <w:t xml:space="preserve">Der Themenbereich </w:t>
      </w:r>
      <w:r w:rsidR="00656EC2">
        <w:t xml:space="preserve">Lebensunterhalt und Soziale Sicherung </w:t>
      </w:r>
      <w:r w:rsidR="00734D2F">
        <w:t>vereint Indikatoren aus dem früheren Bereich Soziales und macht deutlicher als bisher um was es in diesem Themenbereich geht.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40B0646C" w14:textId="77777777" w:rsidTr="00F76B3C">
        <w:trPr>
          <w:trHeight w:val="288"/>
        </w:trPr>
        <w:tc>
          <w:tcPr>
            <w:tcW w:w="9406" w:type="dxa"/>
            <w:tcBorders>
              <w:top w:val="nil"/>
              <w:left w:val="nil"/>
              <w:bottom w:val="nil"/>
              <w:right w:val="nil"/>
            </w:tcBorders>
            <w:shd w:val="clear" w:color="auto" w:fill="auto"/>
            <w:noWrap/>
            <w:vAlign w:val="bottom"/>
            <w:hideMark/>
          </w:tcPr>
          <w:p w14:paraId="59DE500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D1: Armutsgefährdungsquoten in Niedersachsen und Deutschland</w:t>
            </w:r>
          </w:p>
        </w:tc>
      </w:tr>
      <w:tr w:rsidR="00F76B3C" w:rsidRPr="00F76B3C" w14:paraId="63FC96CE" w14:textId="77777777" w:rsidTr="00F76B3C">
        <w:trPr>
          <w:trHeight w:val="288"/>
        </w:trPr>
        <w:tc>
          <w:tcPr>
            <w:tcW w:w="9406" w:type="dxa"/>
            <w:tcBorders>
              <w:top w:val="nil"/>
              <w:left w:val="nil"/>
              <w:bottom w:val="nil"/>
              <w:right w:val="nil"/>
            </w:tcBorders>
            <w:shd w:val="clear" w:color="auto" w:fill="auto"/>
            <w:noWrap/>
            <w:vAlign w:val="bottom"/>
            <w:hideMark/>
          </w:tcPr>
          <w:p w14:paraId="4A095B3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D2: Empfängerinnen und Empfänger von Mindestsicherungsleistungen</w:t>
            </w:r>
          </w:p>
        </w:tc>
      </w:tr>
      <w:tr w:rsidR="00F76B3C" w:rsidRPr="00F76B3C" w14:paraId="61480FE6" w14:textId="77777777" w:rsidTr="00F76B3C">
        <w:trPr>
          <w:trHeight w:val="288"/>
        </w:trPr>
        <w:tc>
          <w:tcPr>
            <w:tcW w:w="9406" w:type="dxa"/>
            <w:tcBorders>
              <w:top w:val="nil"/>
              <w:left w:val="nil"/>
              <w:bottom w:val="nil"/>
              <w:right w:val="nil"/>
            </w:tcBorders>
            <w:shd w:val="clear" w:color="auto" w:fill="auto"/>
            <w:noWrap/>
            <w:vAlign w:val="bottom"/>
            <w:hideMark/>
          </w:tcPr>
          <w:p w14:paraId="6C325086"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D3: Empfängerinnen und Empfänger von Mindestsicherungsleistungen nach Altersgruppen</w:t>
            </w:r>
          </w:p>
        </w:tc>
      </w:tr>
      <w:tr w:rsidR="00F76B3C" w:rsidRPr="00F76B3C" w14:paraId="4C516ACE" w14:textId="77777777" w:rsidTr="00F76B3C">
        <w:trPr>
          <w:trHeight w:val="288"/>
        </w:trPr>
        <w:tc>
          <w:tcPr>
            <w:tcW w:w="9406" w:type="dxa"/>
            <w:tcBorders>
              <w:top w:val="nil"/>
              <w:left w:val="nil"/>
              <w:bottom w:val="nil"/>
              <w:right w:val="nil"/>
            </w:tcBorders>
            <w:shd w:val="clear" w:color="auto" w:fill="auto"/>
            <w:noWrap/>
            <w:vAlign w:val="bottom"/>
            <w:hideMark/>
          </w:tcPr>
          <w:p w14:paraId="2496E810"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D6: Bevölkerung am Ort der Hauptwohnung nach Zuwanderungsgeschichte und überwiegendem Lebensunterhalt</w:t>
            </w:r>
          </w:p>
        </w:tc>
      </w:tr>
    </w:tbl>
    <w:p w14:paraId="1E304590" w14:textId="6A7B3521" w:rsidR="00F76B3C" w:rsidRDefault="00F76B3C" w:rsidP="005455D7"/>
    <w:p w14:paraId="13B21A18" w14:textId="605940E2" w:rsidR="00F76B3C" w:rsidRDefault="00F76B3C" w:rsidP="005B0F4B">
      <w:pPr>
        <w:pStyle w:val="Listenabsatz"/>
        <w:numPr>
          <w:ilvl w:val="0"/>
          <w:numId w:val="6"/>
        </w:numPr>
      </w:pPr>
      <w:r>
        <w:t>Familie und Wohnen</w:t>
      </w:r>
    </w:p>
    <w:p w14:paraId="5B1AFBD6" w14:textId="22DD238C" w:rsidR="00734D2F" w:rsidRDefault="00734D2F" w:rsidP="00734D2F">
      <w:r>
        <w:t>Der Themenbereich Familie und Wohnen ist ebenfalls aus dem alten Themenbereich Soziales herausgelöst worden</w:t>
      </w:r>
      <w:r w:rsidR="00972EB2">
        <w:t>,</w:t>
      </w:r>
      <w:r>
        <w:t xml:space="preserve"> um auch hier deutlicher zumachen was sich hinter dem Themenbereich verbirgt.</w:t>
      </w:r>
      <w:r w:rsidR="00F83A92">
        <w:t xml:space="preserve"> Dieser Themenbereich könnte relativ einfach um einen Indikator erweitert werden, der die Wohneigentumsverhältnisse von Menschen mit Migrationshintergrund abbildet.</w:t>
      </w:r>
      <w:r w:rsidR="00064E95">
        <w:t xml:space="preserve"> Ebenso unerlässlich ist ein Indikator der binationale Eheschließungen abbildet.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67613EFB" w14:textId="77777777" w:rsidTr="00F76B3C">
        <w:trPr>
          <w:trHeight w:val="288"/>
        </w:trPr>
        <w:tc>
          <w:tcPr>
            <w:tcW w:w="9406" w:type="dxa"/>
            <w:tcBorders>
              <w:top w:val="nil"/>
              <w:left w:val="nil"/>
              <w:bottom w:val="nil"/>
              <w:right w:val="nil"/>
            </w:tcBorders>
            <w:shd w:val="clear" w:color="auto" w:fill="auto"/>
            <w:noWrap/>
            <w:vAlign w:val="bottom"/>
            <w:hideMark/>
          </w:tcPr>
          <w:p w14:paraId="0D53EABE"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D5: Mittlere Wohnfläche in m² und mittlere Bruttokaltmiete in Niedersachsen nach Zuwanderungsgeschichte</w:t>
            </w:r>
          </w:p>
        </w:tc>
      </w:tr>
      <w:tr w:rsidR="00F76B3C" w:rsidRPr="00F76B3C" w14:paraId="36798F52" w14:textId="77777777" w:rsidTr="00F76B3C">
        <w:trPr>
          <w:trHeight w:val="288"/>
        </w:trPr>
        <w:tc>
          <w:tcPr>
            <w:tcW w:w="9406" w:type="dxa"/>
            <w:tcBorders>
              <w:top w:val="nil"/>
              <w:left w:val="nil"/>
              <w:bottom w:val="nil"/>
              <w:right w:val="nil"/>
            </w:tcBorders>
            <w:shd w:val="clear" w:color="auto" w:fill="auto"/>
            <w:noWrap/>
            <w:vAlign w:val="bottom"/>
            <w:hideMark/>
          </w:tcPr>
          <w:p w14:paraId="18BA19B9"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D7: Paare ohne Kinder und Familien nach Paar-Familientyp und Zuwanderungsgeschichte sowie Familien nach Zahl der Kinder</w:t>
            </w:r>
          </w:p>
        </w:tc>
      </w:tr>
    </w:tbl>
    <w:p w14:paraId="73F32BD5" w14:textId="52E57B4C" w:rsidR="00F76B3C" w:rsidRDefault="00F76B3C" w:rsidP="005455D7"/>
    <w:p w14:paraId="48B7E242" w14:textId="0DA88FAC" w:rsidR="00F76B3C" w:rsidRDefault="00F76B3C" w:rsidP="005B0F4B">
      <w:pPr>
        <w:pStyle w:val="Listenabsatz"/>
        <w:numPr>
          <w:ilvl w:val="0"/>
          <w:numId w:val="6"/>
        </w:numPr>
      </w:pPr>
      <w:r>
        <w:t>Politische und gesellschaftliche Teilhabe</w:t>
      </w:r>
    </w:p>
    <w:p w14:paraId="169C7C53" w14:textId="394BC599" w:rsidR="00F83A92" w:rsidRDefault="00F83A92" w:rsidP="00F83A92">
      <w:r>
        <w:t xml:space="preserve">Sich zu engagieren in Politik und Gesellschaft ist ein wesentlicher Aspekt für gelungene Integration. Derzeit gibt es in diesem Themenbereich nur einen Indikator der die politische Teilhabe qua </w:t>
      </w:r>
      <w:r w:rsidRPr="00F83A92">
        <w:rPr>
          <w:i/>
        </w:rPr>
        <w:t>Wahlberechtigung</w:t>
      </w:r>
      <w:r>
        <w:t xml:space="preserve"> abbildet. Hier sind aber weitere Indikatoren, wie die Mitgliedschaft in Vereinen, die Teilhabe an gesellschaftlichen und politischen Entscheidungsprozessen (Parteimitglieder/innen mit Migrationshintergrund) etc. denkbar.</w:t>
      </w:r>
    </w:p>
    <w:p w14:paraId="4BF2106F"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A14: Bei Bundes- und Landtagswahlen wahlberechtigte Bevölkerung mit Zuwanderungsgeschichte</w:t>
      </w:r>
    </w:p>
    <w:p w14:paraId="0798F4AD" w14:textId="566934A0" w:rsidR="00F76B3C" w:rsidRDefault="00845793" w:rsidP="005455D7">
      <w:r>
        <w:t>Die neue Zusammenstellung der Indikatoren in einem leicht überarbeiteten Set von Themenbereichen hat zwei schlagende Vorteile: Erstens wird durch die neue Struktur in vielen Fällen deutlicher worum es eigentlich geht und was in dem jeweiligen Themenbereich zu finden ist. Zweitens hat die Neustrukturierung</w:t>
      </w:r>
      <w:r w:rsidR="004A59F0">
        <w:t xml:space="preserve"> </w:t>
      </w:r>
      <w:commentRangeStart w:id="4"/>
      <w:r w:rsidR="004A59F0">
        <w:t xml:space="preserve">Leerstellen in dem bisherigen </w:t>
      </w:r>
      <w:proofErr w:type="spellStart"/>
      <w:r w:rsidR="004A59F0">
        <w:t>Integrationsmonitoring</w:t>
      </w:r>
      <w:proofErr w:type="spellEnd"/>
      <w:r w:rsidR="004A59F0">
        <w:t xml:space="preserve"> offensichtlich gemacht, die in den kommenden Jahren nach und nach gefüllt werden können.</w:t>
      </w:r>
      <w:commentRangeEnd w:id="4"/>
      <w:r w:rsidR="004A59F0">
        <w:rPr>
          <w:rStyle w:val="Kommentarzeichen"/>
        </w:rPr>
        <w:commentReference w:id="4"/>
      </w:r>
    </w:p>
    <w:p w14:paraId="6BB6946E" w14:textId="18A98867" w:rsidR="004A59F0" w:rsidRDefault="004A59F0" w:rsidP="005455D7">
      <w:r>
        <w:lastRenderedPageBreak/>
        <w:t xml:space="preserve">Neben der Neustrukturierung des </w:t>
      </w:r>
      <w:proofErr w:type="spellStart"/>
      <w:r>
        <w:t>Indikatorensets</w:t>
      </w:r>
      <w:proofErr w:type="spellEnd"/>
      <w:r>
        <w:t xml:space="preserve"> gibt es Indikatoren die von ihrer Struktur selbst zu komplex sind</w:t>
      </w:r>
      <w:r w:rsidR="00972EB2">
        <w:t>,</w:t>
      </w:r>
      <w:r>
        <w:t xml:space="preserve"> um sie sinnvoll in das System zu integrieren. Am Beispiel des Indikators A</w:t>
      </w:r>
      <w:r w:rsidR="00015369">
        <w:t>5</w:t>
      </w:r>
      <w:r>
        <w:t xml:space="preserve"> </w:t>
      </w:r>
      <w:r w:rsidR="00015369">
        <w:t>Geflüchtete und geduldete Personen in Niedersachsen</w:t>
      </w:r>
      <w:r>
        <w:t xml:space="preserve"> wird dies um Folgenden kurz dargestellt.</w:t>
      </w:r>
    </w:p>
    <w:p w14:paraId="493B232B" w14:textId="7CC0F99D" w:rsidR="00F76B3C" w:rsidRDefault="00F76B3C" w:rsidP="005455D7"/>
    <w:p w14:paraId="123509CD" w14:textId="5C9F7D99" w:rsidR="00F76B3C" w:rsidRPr="00793876" w:rsidRDefault="00015369" w:rsidP="005455D7">
      <w:pPr>
        <w:rPr>
          <w:i/>
        </w:rPr>
      </w:pPr>
      <w:r>
        <w:rPr>
          <w:i/>
        </w:rPr>
        <w:t>Geflüchtete und geduldete Personen in Niedersachsen</w:t>
      </w:r>
      <w:r w:rsidR="00793876">
        <w:rPr>
          <w:i/>
        </w:rPr>
        <w:t xml:space="preserve"> (A</w:t>
      </w:r>
      <w:r>
        <w:rPr>
          <w:i/>
        </w:rPr>
        <w:t>5</w:t>
      </w:r>
      <w:r w:rsidR="00793876">
        <w:rPr>
          <w:i/>
        </w:rPr>
        <w:t>) – Ein Anwendungsbeispiel</w:t>
      </w:r>
    </w:p>
    <w:p w14:paraId="19F37FFB" w14:textId="2489303B" w:rsidR="00F76B3C" w:rsidRDefault="004F04C9" w:rsidP="005455D7">
      <w:r>
        <w:t>In dem Indikator werden einigermaßen unsystematisch verschiedene Aufenthaltstitel auf der Ebene der Landkreise und kreisfreien Städte abgebildet und grafisch dargestellt.</w:t>
      </w:r>
      <w:r w:rsidR="00A21795">
        <w:t xml:space="preserve"> Die Grafik ist in der Hinsicht dynamisch, dass über eine </w:t>
      </w:r>
      <w:proofErr w:type="spellStart"/>
      <w:r w:rsidR="00A21795">
        <w:t>ComboBox</w:t>
      </w:r>
      <w:proofErr w:type="spellEnd"/>
      <w:r w:rsidR="00A21795">
        <w:t xml:space="preserve"> ein Landkreis oder eine Kreisfreie Stadt ausgewählt werden kann, zu der dann in der Grafik die Insgesamt Anzahl der geflüchteten und geduldeten Personen in Niedersachsen </w:t>
      </w:r>
      <w:r w:rsidR="00E23845">
        <w:t>des ausgewählten Landkreises bzw</w:t>
      </w:r>
      <w:r w:rsidR="00972EB2">
        <w:t>.</w:t>
      </w:r>
      <w:r w:rsidR="00E23845">
        <w:t xml:space="preserve"> der ausgewählten kreisfreien Stadt </w:t>
      </w:r>
      <w:r w:rsidR="00A21795">
        <w:t xml:space="preserve">im Vergleich </w:t>
      </w:r>
      <w:r w:rsidR="00E23845">
        <w:t xml:space="preserve">zu </w:t>
      </w:r>
      <w:r w:rsidR="00A21795">
        <w:t xml:space="preserve">der </w:t>
      </w:r>
      <w:r w:rsidR="00E23845">
        <w:t xml:space="preserve">Anzahl der </w:t>
      </w:r>
      <w:r w:rsidR="00A21795">
        <w:t>Geflüchteten und geduldeten Personen in Niedersachsen Insgesamt abgebildet wird.</w:t>
      </w:r>
      <w:r>
        <w:t xml:space="preserve"> </w:t>
      </w:r>
      <w:r w:rsidR="00D552B4">
        <w:t xml:space="preserve">Neben der Anzahl der </w:t>
      </w:r>
      <w:r w:rsidR="00A21795">
        <w:t>geflüchteten und geduldeten Personen</w:t>
      </w:r>
      <w:r w:rsidR="00D552B4">
        <w:t xml:space="preserve"> insgesamt werden </w:t>
      </w:r>
      <w:r w:rsidR="00A21795">
        <w:t xml:space="preserve">beispielsweise </w:t>
      </w:r>
      <w:r w:rsidR="00D552B4">
        <w:t xml:space="preserve">auch der Aufenthaltsstatus </w:t>
      </w:r>
      <w:r w:rsidR="00A21795">
        <w:t xml:space="preserve">als Asylberechtigte, GfK Flüchtlinge, Verbot der Abschiebung, </w:t>
      </w:r>
      <w:proofErr w:type="spellStart"/>
      <w:r w:rsidR="00A21795">
        <w:t>Subsidärer</w:t>
      </w:r>
      <w:proofErr w:type="spellEnd"/>
      <w:r w:rsidR="00A21795">
        <w:t xml:space="preserve"> Schutz, Aufenthaltsgewährung für Opfer von Menschenhandel und organisierter Schwarzarbeit oder zum Familiennachzug abgebildet. Diese Aufenthaltstitel sind aber weder in dem Diagramm, noch kartografisch in der Excel Datei enthalten.</w:t>
      </w:r>
      <w:r w:rsidR="00E23845">
        <w:t xml:space="preserve"> In dem Indikator A9 Ausländerinnen und Ausländer nach Aufenthaltsstatus werden andere Aufenthaltsstatus wie beispielsweise der Aufenthaltsstatus nach altem Recht, die Niederlassungserlaubnis oder das Aufenthaltsrecht EU abgebildet. Eine</w:t>
      </w:r>
      <w:r w:rsidR="00D552B4">
        <w:t xml:space="preserve"> Zusammenfassung beider Indikatoren wäre durchaus angezeigt.</w:t>
      </w:r>
    </w:p>
    <w:p w14:paraId="4DCF5C2A" w14:textId="270FA4CE" w:rsidR="00D552B4" w:rsidRDefault="00D552B4" w:rsidP="005455D7"/>
    <w:p w14:paraId="1E323BBE" w14:textId="2468306A" w:rsidR="00D552B4" w:rsidRDefault="00015369" w:rsidP="005455D7">
      <w:r>
        <w:rPr>
          <w:noProof/>
        </w:rPr>
        <w:drawing>
          <wp:inline distT="0" distB="0" distL="0" distR="0" wp14:anchorId="4C1619B0" wp14:editId="4774D77B">
            <wp:extent cx="5760720" cy="16719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71955"/>
                    </a:xfrm>
                    <a:prstGeom prst="rect">
                      <a:avLst/>
                    </a:prstGeom>
                  </pic:spPr>
                </pic:pic>
              </a:graphicData>
            </a:graphic>
          </wp:inline>
        </w:drawing>
      </w:r>
    </w:p>
    <w:p w14:paraId="69D7FE6A" w14:textId="70C3D0E5" w:rsidR="00D552B4" w:rsidRDefault="00E23845" w:rsidP="005455D7">
      <w:r>
        <w:t xml:space="preserve">Im Rahmen der Vorbereitungen für das vorliegende Konzept ist eben dieser </w:t>
      </w:r>
      <w:hyperlink r:id="rId25" w:history="1">
        <w:r w:rsidRPr="00E23845">
          <w:rPr>
            <w:rStyle w:val="Hyperlink"/>
          </w:rPr>
          <w:t>Indikator A5</w:t>
        </w:r>
      </w:hyperlink>
      <w:r>
        <w:t xml:space="preserve"> für Open-SDG aufbereitet worden.</w:t>
      </w:r>
    </w:p>
    <w:p w14:paraId="5C8ED7F3" w14:textId="66511614" w:rsidR="00E23845" w:rsidRDefault="00E23845" w:rsidP="005455D7">
      <w:r>
        <w:t xml:space="preserve">In einem ersten Schritt ist der Indikator als ganzes inklusive der verfügbaren Gebietseinheiten und der abgebildeten Aufenthaltstitel in das System eingepflegt worden. In </w:t>
      </w:r>
      <w:hyperlink r:id="rId26" w:history="1">
        <w:r w:rsidRPr="00E23845">
          <w:rPr>
            <w:rStyle w:val="Hyperlink"/>
          </w:rPr>
          <w:t>Indikator 11.1.1</w:t>
        </w:r>
      </w:hyperlink>
      <w:r>
        <w:t xml:space="preserve"> </w:t>
      </w:r>
      <w:r w:rsidR="00972EB2">
        <w:t>k</w:t>
      </w:r>
      <w:r>
        <w:t>önnen jetzt neben einzelnen Gebietseinheiten auch unterschiedliche Aufenthaltstitel ausgewählt und tabellarisch und grafisch dargestellt werden. Für die Karte werden die Werte der geflüchteten und geduldeten Personen Insgesamt verwendet. De</w:t>
      </w:r>
      <w:r w:rsidR="000503CA">
        <w:t>m</w:t>
      </w:r>
      <w:r>
        <w:t xml:space="preserve"> Indikator </w:t>
      </w:r>
      <w:r w:rsidR="000503CA">
        <w:t>sind die</w:t>
      </w:r>
      <w:r>
        <w:t xml:space="preserve"> bereits verfügbaren </w:t>
      </w:r>
      <w:r w:rsidR="000503CA">
        <w:t xml:space="preserve">Texten zur Definition des Indikators und der methodischen Hinweise </w:t>
      </w:r>
      <w:r w:rsidR="00C31B57">
        <w:t xml:space="preserve">sowie die Originaltabelle (zum Download) </w:t>
      </w:r>
      <w:r w:rsidR="001F6AED">
        <w:t>hinzugefügt</w:t>
      </w:r>
      <w:r w:rsidR="000503CA">
        <w:t xml:space="preserve"> worden.</w:t>
      </w:r>
    </w:p>
    <w:p w14:paraId="696FDC7A" w14:textId="74D8F0EE" w:rsidR="00427BC8" w:rsidRDefault="00C31B57" w:rsidP="00797E45">
      <w:r>
        <w:t>Im zweiten Schritt ist der Indikator in seine Bestandteile aufgelöst worden.</w:t>
      </w:r>
      <w:r w:rsidR="00797E45">
        <w:t xml:space="preserve"> Für jeden der aufgeführten Aufenthaltstitel ist eine eigene Tabelle erstellt worden. Der Vorteil gegenüber der Tabelle in der Excel Datei besteht darin, dass nun für jeden der einzelnen Aufenthaltstitel eine eigene Grafik sowie eine eigene Kartenansicht möglich ist. </w:t>
      </w:r>
      <w:r w:rsidR="00392AD6">
        <w:t xml:space="preserve">Gleichzeitig ist auf der linken Seite bei der Indikatorbeschreibung entsprechend Platz entstanden, so dass dort ein langer Text zu den Einzelnen Aufenthaltstiteln eingefügt werden kann, der ggf. auch Links zu den jeweils relevanten Auszügen aus </w:t>
      </w:r>
      <w:r w:rsidR="00392AD6">
        <w:lastRenderedPageBreak/>
        <w:t xml:space="preserve">dem Aufenthaltsgesetz enthalten kann. </w:t>
      </w:r>
      <w:r w:rsidR="00797E45">
        <w:t>Die Komplexität des Indikators bleibt aber weiterhin bestehen, da zum einen in Indikator 11.1.1 alle Aufenthaltstitel enthalten sind und zum anderen in der zum Download verfügbaren Excel Tabelle ebenso alle Aufenthaltstitel vorhanden sind. Darüber hinaus wird für den/die Nutzer/in einfacher und übersichtlicher dargestellt, zu welchen Aufenthaltstiteln Daten verfügbar sind. In der Excel Tabelle konnte über die Ansicht des Inhaltsverzeichnisses nur vermutet werden, welche Aufenthaltstitel abgebildet werden.</w:t>
      </w:r>
      <w:r w:rsidR="00427BC8">
        <w:t xml:space="preserve"> </w:t>
      </w:r>
    </w:p>
    <w:p w14:paraId="18B93508" w14:textId="6E41AEA2" w:rsidR="00427BC8" w:rsidRDefault="00427BC8" w:rsidP="00797E45">
      <w:r>
        <w:t xml:space="preserve">Insgesamt sind nachderzeitigem Stand Anpassung der Indikatoren in dieser Form bei insgesamt </w:t>
      </w:r>
      <w:r w:rsidR="00392AD6">
        <w:t>vier Indikatoren (A5, A8, A9 und ggf. B8) notwendig. Das Fallbeispiel hat aber gezeigt, dass der Arbeitsaufwand der Überarbeitung und Implementierung des Indikators insgesamt überschaubar ist.</w:t>
      </w:r>
    </w:p>
    <w:p w14:paraId="39E97455" w14:textId="72BDEDDD" w:rsidR="006C2A0F" w:rsidRPr="00A23568" w:rsidRDefault="00A23568" w:rsidP="00A23568">
      <w:pPr>
        <w:pStyle w:val="Listenabsatz"/>
        <w:numPr>
          <w:ilvl w:val="0"/>
          <w:numId w:val="3"/>
        </w:numPr>
      </w:pPr>
      <w:r>
        <w:t>Umsetzungsempfehlung</w:t>
      </w:r>
      <w:r w:rsidR="00392AD6" w:rsidRPr="00A23568">
        <w:t xml:space="preserve"> und </w:t>
      </w:r>
      <w:r w:rsidR="00E53EFD" w:rsidRPr="00A23568">
        <w:t>n</w:t>
      </w:r>
      <w:r w:rsidR="00392AD6" w:rsidRPr="00A23568">
        <w:t xml:space="preserve">otwendige </w:t>
      </w:r>
      <w:r w:rsidR="009F10B2">
        <w:t>nächste</w:t>
      </w:r>
      <w:r w:rsidR="00392AD6" w:rsidRPr="00A23568">
        <w:t xml:space="preserve"> Arbeitsschritte</w:t>
      </w:r>
    </w:p>
    <w:p w14:paraId="0ED67041" w14:textId="35FE8253" w:rsidR="00392AD6" w:rsidRDefault="00392AD6" w:rsidP="006C2A0F">
      <w:r>
        <w:t xml:space="preserve">Mit Open-SDG besteht die Möglichkeit das </w:t>
      </w:r>
      <w:proofErr w:type="spellStart"/>
      <w:r>
        <w:t>Integrationsmonitoring</w:t>
      </w:r>
      <w:proofErr w:type="spellEnd"/>
      <w:r>
        <w:t xml:space="preserve"> Niedersachsen auf ein grafisch ansprechendes und vor allem niedrigschwellig </w:t>
      </w:r>
      <w:proofErr w:type="gramStart"/>
      <w:r>
        <w:t>zu erreichendes digitales Format</w:t>
      </w:r>
      <w:proofErr w:type="gramEnd"/>
      <w:r>
        <w:t xml:space="preserve"> zu bringen.</w:t>
      </w:r>
      <w:r w:rsidR="00E53EFD">
        <w:t xml:space="preserve"> Unabhängig von dem gewählten anzeigegerät (PC, Tablet, Handy) werden die Daten tabellarisch, grafisch und kartografisch dargestellt. Die Weiterverarbeitung der Daten ist über den Download der Daten insgesamt, als einzelne Tabelle im xlsx, </w:t>
      </w:r>
      <w:proofErr w:type="spellStart"/>
      <w:r w:rsidR="00E53EFD">
        <w:t>csv</w:t>
      </w:r>
      <w:proofErr w:type="spellEnd"/>
      <w:r w:rsidR="00E53EFD">
        <w:t xml:space="preserve"> und </w:t>
      </w:r>
      <w:proofErr w:type="spellStart"/>
      <w:r w:rsidR="00E53EFD">
        <w:t>geojson</w:t>
      </w:r>
      <w:proofErr w:type="spellEnd"/>
      <w:r w:rsidR="00E53EFD">
        <w:t xml:space="preserve"> (Karte) Format sichergestellt. Das System ist einfach zu konfigurieren und die Aktualisierung der Daten ist gegenüber dem bisherigen Excel Angebot einfach vor allem kontinuierlich möglich. Besonders die automatisierte Grafikerstellung und Abbildung der Daten in einer Karte schaffen gegenüber dem bestehenden Excelangebot zeitlichen Freiraum für inhaltliche Anpassungen des </w:t>
      </w:r>
      <w:proofErr w:type="spellStart"/>
      <w:r w:rsidR="00E53EFD">
        <w:t>Integrationsmonitorings</w:t>
      </w:r>
      <w:proofErr w:type="spellEnd"/>
      <w:r w:rsidR="00E53EFD">
        <w:t xml:space="preserve"> als Ganzem. Die Möglichkeit das </w:t>
      </w:r>
      <w:proofErr w:type="spellStart"/>
      <w:r w:rsidR="00E53EFD">
        <w:t>Integrationsmonitoring</w:t>
      </w:r>
      <w:proofErr w:type="spellEnd"/>
      <w:r w:rsidR="00E53EFD">
        <w:t xml:space="preserve"> über eine eigene Domain verfügbar zu machen wird das </w:t>
      </w:r>
      <w:r w:rsidR="00E53EFD" w:rsidRPr="00E53EFD">
        <w:rPr>
          <w:i/>
        </w:rPr>
        <w:t>Au</w:t>
      </w:r>
      <w:r w:rsidR="00E53EFD">
        <w:rPr>
          <w:i/>
        </w:rPr>
        <w:t>f</w:t>
      </w:r>
      <w:r w:rsidR="00E53EFD" w:rsidRPr="00E53EFD">
        <w:rPr>
          <w:i/>
        </w:rPr>
        <w:t>finden</w:t>
      </w:r>
      <w:r w:rsidR="00E53EFD">
        <w:t xml:space="preserve"> der Daten zum migrationsgeschehen in Niedersachsen dramatisch verbessern und die Erreichbarkeit für relevante Nutzergruppen deutlich verbessern.</w:t>
      </w:r>
      <w:r w:rsidR="00AE476B">
        <w:t xml:space="preserve"> </w:t>
      </w:r>
    </w:p>
    <w:p w14:paraId="3850AEE2" w14:textId="62C46EA3" w:rsidR="00AE476B" w:rsidRDefault="00AE476B" w:rsidP="006C2A0F">
      <w:r>
        <w:t xml:space="preserve">Die Integration der </w:t>
      </w:r>
      <w:r>
        <w:rPr>
          <w:i/>
        </w:rPr>
        <w:t>neuen</w:t>
      </w:r>
      <w:r>
        <w:t xml:space="preserve"> Struktur des </w:t>
      </w:r>
      <w:proofErr w:type="spellStart"/>
      <w:r>
        <w:t>Indikatorensets</w:t>
      </w:r>
      <w:proofErr w:type="spellEnd"/>
      <w:r>
        <w:t xml:space="preserve"> und die Einarbeitung von einigen wenigen Testdaten hat gezeigt, dass der technische Aufwand überschaubar ist, auch wenn für die Pflege und Erweiterung des System Grundkenntnisse in den Programmiersprachen, JavaScript, </w:t>
      </w:r>
      <w:proofErr w:type="spellStart"/>
      <w:r>
        <w:t>Html</w:t>
      </w:r>
      <w:proofErr w:type="spellEnd"/>
      <w:r>
        <w:t xml:space="preserve">, CSS, und YAML sowie einem </w:t>
      </w:r>
      <w:proofErr w:type="spellStart"/>
      <w:r>
        <w:t>Prgramm</w:t>
      </w:r>
      <w:proofErr w:type="spellEnd"/>
      <w:r>
        <w:t xml:space="preserve"> zur Bearbeitung von </w:t>
      </w:r>
      <w:proofErr w:type="spellStart"/>
      <w:r>
        <w:t>geojson</w:t>
      </w:r>
      <w:proofErr w:type="spellEnd"/>
      <w:r>
        <w:t xml:space="preserve"> Dateien (Karten) notwendig sind. </w:t>
      </w:r>
      <w:r w:rsidR="004D6519">
        <w:t xml:space="preserve">Eine ausführliche </w:t>
      </w:r>
      <w:hyperlink r:id="rId27" w:history="1">
        <w:r w:rsidR="004D6519" w:rsidRPr="004D6519">
          <w:rPr>
            <w:rStyle w:val="Hyperlink"/>
          </w:rPr>
          <w:t>Dokumentation</w:t>
        </w:r>
      </w:hyperlink>
      <w:r w:rsidR="004D6519">
        <w:t xml:space="preserve"> erleichtert den Einstieg und für </w:t>
      </w:r>
      <w:r w:rsidR="00A23568">
        <w:t>darüber hinausreichende</w:t>
      </w:r>
      <w:r w:rsidR="004D6519">
        <w:t xml:space="preserve"> Fragen steht internationale Entwicklercommunity rund um die Uhr mit Rat und Tat zur Seite.</w:t>
      </w:r>
      <w:r w:rsidR="00A23568">
        <w:t xml:space="preserve"> Für eine weitere Verbreitung des </w:t>
      </w:r>
      <w:proofErr w:type="spellStart"/>
      <w:r w:rsidR="00A23568">
        <w:t>Integrationsmonitorings</w:t>
      </w:r>
      <w:proofErr w:type="spellEnd"/>
      <w:r w:rsidR="00A23568">
        <w:t xml:space="preserve"> besteht die Möglichkeit vergleichsweise einfach eine weitere Sprache hinzuzufügen. Hierfür müssten allerdings alle Texte in die jeweilige Sprache übersetzt werden.</w:t>
      </w:r>
    </w:p>
    <w:p w14:paraId="24D561C5" w14:textId="695AFCAC" w:rsidR="00A23568" w:rsidRPr="00AE476B" w:rsidRDefault="00A23568" w:rsidP="006C2A0F">
      <w:r>
        <w:t xml:space="preserve">Insgesamt ist nach Abwägung aller Vor- und Nachteile sowie aus der Vorarbeit und den Tests mit dem System zur Erstellung dieses Konzeptes klar für eine Umsetzung des </w:t>
      </w:r>
      <w:proofErr w:type="spellStart"/>
      <w:r>
        <w:t>Integrationsmonitorings</w:t>
      </w:r>
      <w:proofErr w:type="spellEnd"/>
      <w:r>
        <w:t xml:space="preserve"> mi</w:t>
      </w:r>
      <w:r w:rsidR="00F61042">
        <w:t>t</w:t>
      </w:r>
      <w:r>
        <w:t xml:space="preserve"> Open-SDG zu plädieren. Die deutlich</w:t>
      </w:r>
      <w:r w:rsidR="00301E1D">
        <w:t>e</w:t>
      </w:r>
      <w:r>
        <w:t xml:space="preserve"> Senkung der Eintrittsbarriere für potenzielle Nutzerinnen und Nutzer gegenüber dem bisherigen Excel Angebot ist das stärkste Argument. </w:t>
      </w:r>
      <w:r w:rsidR="00301E1D">
        <w:t xml:space="preserve">Daran anschließend ist die </w:t>
      </w:r>
      <w:r w:rsidR="00972EB2">
        <w:t>Möglichkeit</w:t>
      </w:r>
      <w:r w:rsidR="00301E1D">
        <w:t xml:space="preserve"> der eigenen Weiterverarbeitung der Daten durch den Download auch selektierter Daten als </w:t>
      </w:r>
      <w:commentRangeStart w:id="5"/>
      <w:proofErr w:type="spellStart"/>
      <w:r w:rsidR="00301E1D">
        <w:t>csv</w:t>
      </w:r>
      <w:proofErr w:type="spellEnd"/>
      <w:r w:rsidR="00301E1D">
        <w:t xml:space="preserve"> und </w:t>
      </w:r>
      <w:proofErr w:type="spellStart"/>
      <w:r w:rsidR="00301E1D">
        <w:t>geojson</w:t>
      </w:r>
      <w:commentRangeEnd w:id="5"/>
      <w:proofErr w:type="spellEnd"/>
      <w:r w:rsidR="00301E1D">
        <w:rPr>
          <w:rStyle w:val="Kommentarzeichen"/>
        </w:rPr>
        <w:commentReference w:id="5"/>
      </w:r>
      <w:r w:rsidR="00301E1D">
        <w:t xml:space="preserve"> Datei ein weiterer großer Vorteil des Systems. </w:t>
      </w:r>
      <w:r>
        <w:t xml:space="preserve">Die Umsetzung wird in dem gegebenen zeitlichen und finanziellen Rahmen möglich sein und bestenfalls in den Folgejahren freie Zeit schaffen um inhaltliche Verbesserungen einzelner Indikatoren und des </w:t>
      </w:r>
      <w:proofErr w:type="spellStart"/>
      <w:r>
        <w:t>Integrationsmonitorings</w:t>
      </w:r>
      <w:proofErr w:type="spellEnd"/>
      <w:r>
        <w:t xml:space="preserve"> als Ganzem umzusetzen.</w:t>
      </w:r>
    </w:p>
    <w:p w14:paraId="4C20BCAA" w14:textId="4F73C9FF" w:rsidR="006C2A0F" w:rsidRDefault="006C2A0F" w:rsidP="006C2A0F">
      <w:pPr>
        <w:rPr>
          <w:i/>
        </w:rPr>
      </w:pPr>
      <w:r w:rsidRPr="00301E1D">
        <w:rPr>
          <w:i/>
        </w:rPr>
        <w:t xml:space="preserve">Notwendige </w:t>
      </w:r>
      <w:r w:rsidR="00301E1D" w:rsidRPr="00301E1D">
        <w:rPr>
          <w:i/>
        </w:rPr>
        <w:t>nächste Arbeitss</w:t>
      </w:r>
      <w:r w:rsidRPr="00301E1D">
        <w:rPr>
          <w:i/>
        </w:rPr>
        <w:t>chritte</w:t>
      </w:r>
    </w:p>
    <w:p w14:paraId="7DA51B13" w14:textId="217EE2B9" w:rsidR="0082639C" w:rsidRDefault="00967F59" w:rsidP="006C2A0F">
      <w:r>
        <w:t>Für eine zeitnahe un</w:t>
      </w:r>
      <w:r w:rsidR="0082639C">
        <w:t xml:space="preserve">d vollständige Umsetzung sind die folgenden Arbeitsschritte notwendig: Zunächst muss die Überarbeitung des </w:t>
      </w:r>
      <w:proofErr w:type="spellStart"/>
      <w:r w:rsidR="0082639C">
        <w:t>Indikatorensets</w:t>
      </w:r>
      <w:proofErr w:type="spellEnd"/>
      <w:r w:rsidR="0082639C">
        <w:t xml:space="preserve"> abgestimmt werden. Zentrale </w:t>
      </w:r>
      <w:r w:rsidR="00972EB2">
        <w:t>F</w:t>
      </w:r>
      <w:bookmarkStart w:id="6" w:name="_GoBack"/>
      <w:bookmarkEnd w:id="6"/>
      <w:r w:rsidR="0082639C">
        <w:t xml:space="preserve">ragen sind hierbei die Benennung der Themenbereich sowie die Zuordnung der einzelnen Indikatoren zu den jeweiligen Themenbereichen. Daran anschließend ist eine Abstimmung einzelner zu überarbeitender </w:t>
      </w:r>
      <w:r w:rsidR="0082639C">
        <w:lastRenderedPageBreak/>
        <w:t xml:space="preserve">Indikatoren vorzunehmen. Wobei hier auf ein zweistufiges Verfahren gesetzt werden sollte: Da der Teufel hier gelegentlich im Detail stecken wird, sollten zunächst die Indikatoren in das System integriert werden, bei der die Analyse der </w:t>
      </w:r>
      <w:proofErr w:type="spellStart"/>
      <w:r w:rsidR="0082639C">
        <w:t>Setcards</w:t>
      </w:r>
      <w:proofErr w:type="spellEnd"/>
      <w:r w:rsidR="0082639C">
        <w:t xml:space="preserve"> ergeben hat, dass sowohl technisch als auch Inhaltlich keine weitere Überarbeitung notwendig erscheint. Es besteht die begründete Annahme, dass sich hierbei Routinen und technische Möglichkeiten ergeben, die die als zu überarbeitenden Indikatoren in einem anderen Licht erscheinen lassen. Parallel zur Einarbeitung der Indikatoren erfolgt die Datenaktualisierung. Besonders hingewiesen werden muss auf die noch nicht abschließend geklärte Verfügbarkeit und Gliederungstiefe der Mikrozensusdaten. </w:t>
      </w:r>
    </w:p>
    <w:p w14:paraId="281919F9" w14:textId="774B3F08" w:rsidR="00967F59" w:rsidRPr="00967F59" w:rsidRDefault="0082639C" w:rsidP="006C2A0F">
      <w:r>
        <w:t xml:space="preserve">Neben diesen Implementierungsschritten der Indikatoren sind kleinere Detailfragen zu klären: Es müssen für die Kacheln entsprechende Bilder / Texte gesucht werden. </w:t>
      </w:r>
      <w:r w:rsidR="007A2075">
        <w:t xml:space="preserve">In diesem Zusammenhang ist auch eine Entscheidung über die Farbgebung der einzelnen Themenbereiche zu treffen. Es müssen Texte für die Startseite sowie für die einzelnen Indikatoren Beschreibungen entwickelt und abgestimmt werden. In diesem Zusammenhang könnte auch darüber nachgedacht werden ein Logo für das </w:t>
      </w:r>
      <w:proofErr w:type="spellStart"/>
      <w:r w:rsidR="007A2075">
        <w:t>Integrationsmonitoring</w:t>
      </w:r>
      <w:proofErr w:type="spellEnd"/>
      <w:r w:rsidR="007A2075">
        <w:t xml:space="preserve"> Niedersachsen </w:t>
      </w:r>
      <w:r w:rsidR="001B3C24">
        <w:t xml:space="preserve">zu entwickeln. </w:t>
      </w:r>
      <w:r w:rsidR="007A2075">
        <w:t>Zu guter Letzt muss eine entsprechende Domain registriert werden</w:t>
      </w:r>
      <w:r w:rsidR="001B3C24">
        <w:t xml:space="preserve"> damit das </w:t>
      </w:r>
      <w:proofErr w:type="spellStart"/>
      <w:r w:rsidR="001B3C24">
        <w:t>Integrationsmonitoring</w:t>
      </w:r>
      <w:proofErr w:type="spellEnd"/>
      <w:r w:rsidR="001B3C24">
        <w:t xml:space="preserve"> Niedersachsen auch bei Google auf Platz eins der Suchergebnisse erscheint, wenn man nach Daten zum Migrations- und Integrationsgeschehen in Niedersachsen sucht.</w:t>
      </w:r>
    </w:p>
    <w:p w14:paraId="25D5D681" w14:textId="77777777" w:rsidR="006D79C9" w:rsidRDefault="006D79C9" w:rsidP="006C2A0F"/>
    <w:sectPr w:rsidR="006D79C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9T19:55:00Z" w:initials="BC(">
    <w:p w14:paraId="6772CA0C" w14:textId="7C883F03" w:rsidR="00BD405F" w:rsidRDefault="00BD405F">
      <w:pPr>
        <w:pStyle w:val="Kommentartext"/>
      </w:pPr>
      <w:r>
        <w:rPr>
          <w:rStyle w:val="Kommentarzeichen"/>
        </w:rPr>
        <w:annotationRef/>
      </w:r>
      <w:r>
        <w:t>Ein fetziger Titel muss noch her ;-)</w:t>
      </w:r>
    </w:p>
  </w:comment>
  <w:comment w:id="1"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2"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 w:id="4" w:author="Biester, Christoph (LSN)" w:date="2021-06-07T16:35:00Z" w:initials="BC(">
    <w:p w14:paraId="703AB401" w14:textId="6E19DB7A" w:rsidR="004A59F0" w:rsidRDefault="004A59F0">
      <w:pPr>
        <w:pStyle w:val="Kommentartext"/>
      </w:pPr>
      <w:r>
        <w:rPr>
          <w:rStyle w:val="Kommentarzeichen"/>
        </w:rPr>
        <w:annotationRef/>
      </w:r>
      <w:r>
        <w:t>Rita: Hier bitte die Sache aus diesem Zukunftspapier einpflegen.</w:t>
      </w:r>
    </w:p>
  </w:comment>
  <w:comment w:id="5" w:author="Biester, Christoph (LSN)" w:date="2021-06-09T19:27:00Z" w:initials="BC(">
    <w:p w14:paraId="6F9B9098" w14:textId="764350C5" w:rsidR="00301E1D" w:rsidRDefault="00301E1D">
      <w:pPr>
        <w:pStyle w:val="Kommentartext"/>
      </w:pPr>
      <w:r>
        <w:rPr>
          <w:rStyle w:val="Kommentarzeichen"/>
        </w:rPr>
        <w:annotationRef/>
      </w:r>
      <w:r>
        <w:t xml:space="preserve">Rita: Bitte einen entsprechenden Passus zum Vorteil von </w:t>
      </w:r>
      <w:proofErr w:type="spellStart"/>
      <w:r>
        <w:t>csv</w:t>
      </w:r>
      <w:proofErr w:type="spellEnd"/>
      <w:r>
        <w:t xml:space="preserve"> und </w:t>
      </w:r>
      <w:proofErr w:type="spellStart"/>
      <w:r>
        <w:t>geojson</w:t>
      </w:r>
      <w:proofErr w:type="spellEnd"/>
      <w:r>
        <w:t xml:space="preserve">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72CA0C" w15:done="0"/>
  <w15:commentEx w15:paraId="57A4CFED" w15:done="0"/>
  <w15:commentEx w15:paraId="450E599D" w15:done="0"/>
  <w15:commentEx w15:paraId="703AB401" w15:done="0"/>
  <w15:commentEx w15:paraId="6F9B90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72CA0C" w16cid:durableId="246B9B35"/>
  <w16cid:commentId w16cid:paraId="57A4CFED" w16cid:durableId="2464C68F"/>
  <w16cid:commentId w16cid:paraId="450E599D" w16cid:durableId="2464CB6D"/>
  <w16cid:commentId w16cid:paraId="703AB401" w16cid:durableId="2468C939"/>
  <w16cid:commentId w16cid:paraId="6F9B9098" w16cid:durableId="246B94A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0C7744"/>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017C23"/>
    <w:multiLevelType w:val="hybridMultilevel"/>
    <w:tmpl w:val="F566CF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873652"/>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15369"/>
    <w:rsid w:val="000318BD"/>
    <w:rsid w:val="000503CA"/>
    <w:rsid w:val="00063D4F"/>
    <w:rsid w:val="00064E95"/>
    <w:rsid w:val="00067A03"/>
    <w:rsid w:val="000737D6"/>
    <w:rsid w:val="000D1C98"/>
    <w:rsid w:val="000E3BF3"/>
    <w:rsid w:val="000E737A"/>
    <w:rsid w:val="000F35CE"/>
    <w:rsid w:val="00100758"/>
    <w:rsid w:val="00106918"/>
    <w:rsid w:val="001070A1"/>
    <w:rsid w:val="00117484"/>
    <w:rsid w:val="00153953"/>
    <w:rsid w:val="001A22F1"/>
    <w:rsid w:val="001A69AF"/>
    <w:rsid w:val="001B3C24"/>
    <w:rsid w:val="001B4F67"/>
    <w:rsid w:val="001F6AED"/>
    <w:rsid w:val="00205B0F"/>
    <w:rsid w:val="00213414"/>
    <w:rsid w:val="00221F3F"/>
    <w:rsid w:val="00246F3A"/>
    <w:rsid w:val="002B3E75"/>
    <w:rsid w:val="002E4BC5"/>
    <w:rsid w:val="002F2646"/>
    <w:rsid w:val="002F7C2C"/>
    <w:rsid w:val="00301E1D"/>
    <w:rsid w:val="00367667"/>
    <w:rsid w:val="00392AD6"/>
    <w:rsid w:val="003B3076"/>
    <w:rsid w:val="004011E0"/>
    <w:rsid w:val="00427BC8"/>
    <w:rsid w:val="004330DE"/>
    <w:rsid w:val="00446257"/>
    <w:rsid w:val="004572FD"/>
    <w:rsid w:val="00464CD9"/>
    <w:rsid w:val="004A59F0"/>
    <w:rsid w:val="004B7D35"/>
    <w:rsid w:val="004C289E"/>
    <w:rsid w:val="004D6519"/>
    <w:rsid w:val="004E066A"/>
    <w:rsid w:val="004F04C9"/>
    <w:rsid w:val="00535F53"/>
    <w:rsid w:val="005455D7"/>
    <w:rsid w:val="0054630E"/>
    <w:rsid w:val="005A5A1D"/>
    <w:rsid w:val="005B0F4B"/>
    <w:rsid w:val="005E2B68"/>
    <w:rsid w:val="006208E4"/>
    <w:rsid w:val="006245B2"/>
    <w:rsid w:val="006475F5"/>
    <w:rsid w:val="00656EC2"/>
    <w:rsid w:val="00672CDB"/>
    <w:rsid w:val="00682036"/>
    <w:rsid w:val="006A4992"/>
    <w:rsid w:val="006B0F91"/>
    <w:rsid w:val="006B317B"/>
    <w:rsid w:val="006C2A0F"/>
    <w:rsid w:val="006D79C9"/>
    <w:rsid w:val="00717B9D"/>
    <w:rsid w:val="00734D2F"/>
    <w:rsid w:val="007403F6"/>
    <w:rsid w:val="00793876"/>
    <w:rsid w:val="00797E45"/>
    <w:rsid w:val="007A10A7"/>
    <w:rsid w:val="007A2075"/>
    <w:rsid w:val="007B60C5"/>
    <w:rsid w:val="007D411A"/>
    <w:rsid w:val="00810CFF"/>
    <w:rsid w:val="0082639C"/>
    <w:rsid w:val="008423E4"/>
    <w:rsid w:val="00845793"/>
    <w:rsid w:val="008F556F"/>
    <w:rsid w:val="00954B24"/>
    <w:rsid w:val="00967F59"/>
    <w:rsid w:val="00972EB2"/>
    <w:rsid w:val="0098388F"/>
    <w:rsid w:val="009C59D9"/>
    <w:rsid w:val="009F10B2"/>
    <w:rsid w:val="009F27A0"/>
    <w:rsid w:val="00A20CB1"/>
    <w:rsid w:val="00A21795"/>
    <w:rsid w:val="00A23568"/>
    <w:rsid w:val="00AA7153"/>
    <w:rsid w:val="00AE476B"/>
    <w:rsid w:val="00AF074F"/>
    <w:rsid w:val="00AF2D50"/>
    <w:rsid w:val="00B119E4"/>
    <w:rsid w:val="00B14A4A"/>
    <w:rsid w:val="00B309A5"/>
    <w:rsid w:val="00BA2322"/>
    <w:rsid w:val="00BA5073"/>
    <w:rsid w:val="00BC7C8A"/>
    <w:rsid w:val="00BD1AF0"/>
    <w:rsid w:val="00BD405F"/>
    <w:rsid w:val="00C31B57"/>
    <w:rsid w:val="00C37974"/>
    <w:rsid w:val="00C57E1D"/>
    <w:rsid w:val="00C62E3B"/>
    <w:rsid w:val="00C86E37"/>
    <w:rsid w:val="00CA29E6"/>
    <w:rsid w:val="00D552B4"/>
    <w:rsid w:val="00D615E6"/>
    <w:rsid w:val="00D64A2F"/>
    <w:rsid w:val="00DD0D58"/>
    <w:rsid w:val="00E23845"/>
    <w:rsid w:val="00E2505C"/>
    <w:rsid w:val="00E53EFD"/>
    <w:rsid w:val="00EC37BD"/>
    <w:rsid w:val="00EF732B"/>
    <w:rsid w:val="00F14A02"/>
    <w:rsid w:val="00F61042"/>
    <w:rsid w:val="00F76B3C"/>
    <w:rsid w:val="00F816C4"/>
    <w:rsid w:val="00F83A92"/>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 w:type="character" w:styleId="BesuchterLink">
    <w:name w:val="FollowedHyperlink"/>
    <w:basedOn w:val="Absatz-Standardschriftart"/>
    <w:uiPriority w:val="99"/>
    <w:semiHidden/>
    <w:unhideWhenUsed/>
    <w:rsid w:val="00EF73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987">
      <w:bodyDiv w:val="1"/>
      <w:marLeft w:val="0"/>
      <w:marRight w:val="0"/>
      <w:marTop w:val="0"/>
      <w:marBottom w:val="0"/>
      <w:divBdr>
        <w:top w:val="none" w:sz="0" w:space="0" w:color="auto"/>
        <w:left w:val="none" w:sz="0" w:space="0" w:color="auto"/>
        <w:bottom w:val="none" w:sz="0" w:space="0" w:color="auto"/>
        <w:right w:val="none" w:sz="0" w:space="0" w:color="auto"/>
      </w:divBdr>
    </w:div>
    <w:div w:id="124354023">
      <w:bodyDiv w:val="1"/>
      <w:marLeft w:val="0"/>
      <w:marRight w:val="0"/>
      <w:marTop w:val="0"/>
      <w:marBottom w:val="0"/>
      <w:divBdr>
        <w:top w:val="none" w:sz="0" w:space="0" w:color="auto"/>
        <w:left w:val="none" w:sz="0" w:space="0" w:color="auto"/>
        <w:bottom w:val="none" w:sz="0" w:space="0" w:color="auto"/>
        <w:right w:val="none" w:sz="0" w:space="0" w:color="auto"/>
      </w:divBdr>
    </w:div>
    <w:div w:id="350687105">
      <w:bodyDiv w:val="1"/>
      <w:marLeft w:val="0"/>
      <w:marRight w:val="0"/>
      <w:marTop w:val="0"/>
      <w:marBottom w:val="0"/>
      <w:divBdr>
        <w:top w:val="none" w:sz="0" w:space="0" w:color="auto"/>
        <w:left w:val="none" w:sz="0" w:space="0" w:color="auto"/>
        <w:bottom w:val="none" w:sz="0" w:space="0" w:color="auto"/>
        <w:right w:val="none" w:sz="0" w:space="0" w:color="auto"/>
      </w:divBdr>
    </w:div>
    <w:div w:id="651713724">
      <w:bodyDiv w:val="1"/>
      <w:marLeft w:val="0"/>
      <w:marRight w:val="0"/>
      <w:marTop w:val="0"/>
      <w:marBottom w:val="0"/>
      <w:divBdr>
        <w:top w:val="none" w:sz="0" w:space="0" w:color="auto"/>
        <w:left w:val="none" w:sz="0" w:space="0" w:color="auto"/>
        <w:bottom w:val="none" w:sz="0" w:space="0" w:color="auto"/>
        <w:right w:val="none" w:sz="0" w:space="0" w:color="auto"/>
      </w:divBdr>
    </w:div>
    <w:div w:id="678429186">
      <w:bodyDiv w:val="1"/>
      <w:marLeft w:val="0"/>
      <w:marRight w:val="0"/>
      <w:marTop w:val="0"/>
      <w:marBottom w:val="0"/>
      <w:divBdr>
        <w:top w:val="none" w:sz="0" w:space="0" w:color="auto"/>
        <w:left w:val="none" w:sz="0" w:space="0" w:color="auto"/>
        <w:bottom w:val="none" w:sz="0" w:space="0" w:color="auto"/>
        <w:right w:val="none" w:sz="0" w:space="0" w:color="auto"/>
      </w:divBdr>
    </w:div>
    <w:div w:id="1099528028">
      <w:bodyDiv w:val="1"/>
      <w:marLeft w:val="0"/>
      <w:marRight w:val="0"/>
      <w:marTop w:val="0"/>
      <w:marBottom w:val="0"/>
      <w:divBdr>
        <w:top w:val="none" w:sz="0" w:space="0" w:color="auto"/>
        <w:left w:val="none" w:sz="0" w:space="0" w:color="auto"/>
        <w:bottom w:val="none" w:sz="0" w:space="0" w:color="auto"/>
        <w:right w:val="none" w:sz="0" w:space="0" w:color="auto"/>
      </w:divBdr>
    </w:div>
    <w:div w:id="1479375237">
      <w:bodyDiv w:val="1"/>
      <w:marLeft w:val="0"/>
      <w:marRight w:val="0"/>
      <w:marTop w:val="0"/>
      <w:marBottom w:val="0"/>
      <w:divBdr>
        <w:top w:val="none" w:sz="0" w:space="0" w:color="auto"/>
        <w:left w:val="none" w:sz="0" w:space="0" w:color="auto"/>
        <w:bottom w:val="none" w:sz="0" w:space="0" w:color="auto"/>
        <w:right w:val="none" w:sz="0" w:space="0" w:color="auto"/>
      </w:divBdr>
    </w:div>
    <w:div w:id="1541674489">
      <w:bodyDiv w:val="1"/>
      <w:marLeft w:val="0"/>
      <w:marRight w:val="0"/>
      <w:marTop w:val="0"/>
      <w:marBottom w:val="0"/>
      <w:divBdr>
        <w:top w:val="none" w:sz="0" w:space="0" w:color="auto"/>
        <w:left w:val="none" w:sz="0" w:space="0" w:color="auto"/>
        <w:bottom w:val="none" w:sz="0" w:space="0" w:color="auto"/>
        <w:right w:val="none" w:sz="0" w:space="0" w:color="auto"/>
      </w:divBdr>
    </w:div>
    <w:div w:id="18718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hnungnds.github.io/IM_Site/" TargetMode="External"/><Relationship Id="rId13" Type="http://schemas.openxmlformats.org/officeDocument/2006/relationships/hyperlink" Target="https://www.ons.gov.uk/aboutus" TargetMode="External"/><Relationship Id="rId18" Type="http://schemas.openxmlformats.org/officeDocument/2006/relationships/image" Target="media/image1.png"/><Relationship Id="rId26" Type="http://schemas.openxmlformats.org/officeDocument/2006/relationships/hyperlink" Target="https://wohnungnds.github.io/IM_Site/11-1-1/" TargetMode="External"/><Relationship Id="rId3" Type="http://schemas.openxmlformats.org/officeDocument/2006/relationships/settings" Target="settings.xml"/><Relationship Id="rId21" Type="http://schemas.openxmlformats.org/officeDocument/2006/relationships/image" Target="media/image3.png"/><Relationship Id="rId7" Type="http://schemas.microsoft.com/office/2016/09/relationships/commentsIds" Target="commentsIds.xml"/><Relationship Id="rId12" Type="http://schemas.openxmlformats.org/officeDocument/2006/relationships/hyperlink" Target="https://open-sdg.readthedocs.io/en/latest/community/" TargetMode="External"/><Relationship Id="rId17" Type="http://schemas.openxmlformats.org/officeDocument/2006/relationships/hyperlink" Target="https://wohnungnds.github.io/IM_Site/" TargetMode="External"/><Relationship Id="rId25" Type="http://schemas.openxmlformats.org/officeDocument/2006/relationships/hyperlink" Target="https://wohnungnds.github.io/IM_Site/11/" TargetMode="External"/><Relationship Id="rId2" Type="http://schemas.openxmlformats.org/officeDocument/2006/relationships/styles" Target="styles.xml"/><Relationship Id="rId16" Type="http://schemas.openxmlformats.org/officeDocument/2006/relationships/hyperlink" Target="https://www.opendataenterprise.org/" TargetMode="External"/><Relationship Id="rId20" Type="http://schemas.openxmlformats.org/officeDocument/2006/relationships/image" Target="media/image2.png"/><Relationship Id="rId29"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sdg-indikatoren.de" TargetMode="External"/><Relationship Id="rId24"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hyperlink" Target="https://www.ons.gov.uk/aboutus" TargetMode="External"/><Relationship Id="rId23" Type="http://schemas.openxmlformats.org/officeDocument/2006/relationships/hyperlink" Target="http://www.integrationsmonitoring-niedersachsen.de" TargetMode="External"/><Relationship Id="rId28" Type="http://schemas.openxmlformats.org/officeDocument/2006/relationships/fontTable" Target="fontTable.xml"/><Relationship Id="rId10" Type="http://schemas.openxmlformats.org/officeDocument/2006/relationships/hyperlink" Target="https://www.un.org/sustainabledevelopment/" TargetMode="External"/><Relationship Id="rId19" Type="http://schemas.openxmlformats.org/officeDocument/2006/relationships/hyperlink" Target="https://wohnungnds.github.io/IM_Site/1-1-1/" TargetMode="External"/><Relationship Id="rId4" Type="http://schemas.openxmlformats.org/officeDocument/2006/relationships/webSettings" Target="webSettings.xml"/><Relationship Id="rId9" Type="http://schemas.openxmlformats.org/officeDocument/2006/relationships/hyperlink" Target="https://open-sdg.org/" TargetMode="External"/><Relationship Id="rId14" Type="http://schemas.openxmlformats.org/officeDocument/2006/relationships/hyperlink" Target="https://www.opendataenterprise.org/" TargetMode="External"/><Relationship Id="rId22" Type="http://schemas.openxmlformats.org/officeDocument/2006/relationships/image" Target="media/image4.png"/><Relationship Id="rId27" Type="http://schemas.openxmlformats.org/officeDocument/2006/relationships/hyperlink" Target="https://open-sdg.readthedocs.io/en/latest/" TargetMode="Externa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4836</Words>
  <Characters>30468</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48</cp:revision>
  <dcterms:created xsi:type="dcterms:W3CDTF">2021-06-03T08:13:00Z</dcterms:created>
  <dcterms:modified xsi:type="dcterms:W3CDTF">2021-06-11T09:06:00Z</dcterms:modified>
</cp:coreProperties>
</file>