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Predicting Housing Prices in Greater Boston</w:t>
      </w:r>
    </w:p>
    <w:p>
      <w:pPr>
        <w:pStyle w:val="Titre2"/>
      </w:pPr>
      <w:r>
        <w:t xml:space="preserve">Application of Statistics and Econometrics in Finance and Accounting</w:t>
      </w:r>
    </w:p>
    <w:p>
      <w:pPr>
        <w:pStyle w:val="Normal"/>
      </w:pPr>
      <w:r>
        <w:t xml:space="preserve">Date: June 15, 2026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1. Introduction</w:t>
      </w:r>
    </w:p>
    <w:p>
      <w:pPr>
        <w:pStyle w:val="Normal"/>
      </w:pPr>
      <w:r>
        <w:t xml:space="preserve">This report analyses the Boston housing market using the Boston dataset from the MASS package. The goal is to identify which socio-economic and structural factors best explain median home values across Boston census tracts.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Research question: What factors best predict housing prices in Boston?</w:t>
      </w:r>
    </w:p>
    <w:p>
      <w:pPr>
        <w:pStyle w:val="Normal"/>
      </w:pPr>
      <w:r>
        <w:t xml:space="preserve">Dependent variable: medv (median value of owner-occupied homes in $1,000s).</w:t>
      </w:r>
    </w:p>
    <w:p>
      <w:pPr>
        <w:pStyle w:val="Normal"/>
      </w:pPr>
      <w:r>
        <w:t xml:space="preserve">Main predictors: rm (rooms), lstat (% lower-status population), nox (air pollution), ptratio (pupil-teacher ratio), dis (distance to employment centres), and other neighbourhood variables.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2. Data Exploration</w:t>
      </w:r>
    </w:p>
    <w:p>
      <w:pPr>
        <w:pStyle w:val="Normal"/>
      </w:pPr>
      <w:r>
        <w:t xml:space="preserve">The dataset contains 506 observations and 14 variables. The data come from the 1970s and should be interpreted in that historical context.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1. Summary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1206"/>
        <w:gridCol w:w="1206"/>
        <w:gridCol w:w="1206"/>
        <w:gridCol w:w="120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88.976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408.237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711.000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ptratio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356.674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396.900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37.970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22.533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Data issues:</w:t>
      </w:r>
    </w:p>
    <w:p>
      <w:pPr>
        <w:pStyle w:val="Normal"/>
      </w:pPr>
      <w:r>
        <w:t xml:space="preserve">- medv is censored at 50 ($50,000) for 16 tracts.</w:t>
      </w:r>
    </w:p>
    <w:p>
      <w:pPr>
        <w:pStyle w:val="Normal"/>
      </w:pPr>
      <w:r>
        <w:t xml:space="preserve">- crim is highly right-skewed.</w:t>
      </w:r>
    </w:p>
    <w:p>
      <w:pPr>
        <w:pStyle w:val="Normal"/>
      </w:pPr>
      <w:r>
        <w:t xml:space="preserve">- Strong correlations among predictors suggest multicollinearity.</w:t>
      </w:r>
    </w:p>
    <w:p>
      <w:pPr>
        <w:pStyle w:val="Normal"/>
      </w:pPr>
      <w:r>
        <w:t xml:space="preserve">- Cross-sectional data limits causal interpretation.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2. High correlations among predictors (|r| &gt; 0.7)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37"/>
        <w:gridCol w:w="839"/>
        <w:gridCol w:w="103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Figure 1. Distribution of medv</w:t>
      </w:r>
    </w:p>
    <w:p>
      <w:pPr>
        <w:pStyle w:val="Normal"/>
      </w:pPr>
      <w:r>
        <w:rPr/>
        <w:drawing>
          <wp:inline distT="0" distB="0" distL="0" distR="0">
            <wp:extent cx="5029200" cy="32004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Figure 2. Correlation matrix</w:t>
      </w:r>
    </w:p>
    <w:p>
      <w:pPr>
        <w:pStyle w:val="Normal"/>
      </w:pPr>
      <w:r>
        <w:rPr/>
        <w:drawing>
          <wp:inline distT="0" distB="0" distL="0" distR="0">
            <wp:extent cx="5029200" cy="41148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Figure 3. medv vs lstat</w:t>
      </w:r>
    </w:p>
    <w:p>
      <w:pPr>
        <w:pStyle w:val="Normal"/>
      </w:pPr>
      <w:r>
        <w:rPr/>
        <w:drawing>
          <wp:inline distT="0" distB="0" distL="0" distR="0">
            <wp:extent cx="5029200" cy="347472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Figure 4. medv vs rm</w:t>
      </w:r>
    </w:p>
    <w:p>
      <w:pPr>
        <w:pStyle w:val="Normal"/>
      </w:pPr>
      <w:r>
        <w:rPr/>
        <w:drawing>
          <wp:inline distT="0" distB="0" distL="0" distR="0">
            <wp:extent cx="5029200" cy="347472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3. Regression Analysis</w:t>
      </w:r>
    </w:p>
    <w:p>
      <w:pPr>
        <w:pStyle w:val="Titre2"/>
      </w:pPr>
      <w:r>
        <w:t xml:space="preserve">3.1 Simple linear regression</w:t>
      </w:r>
    </w:p>
    <w:p>
      <w:pPr>
        <w:pStyle w:val="Normal"/>
      </w:pPr>
      <w:r>
        <w:t xml:space="preserve">Four simple models were estimated: medv ~ rm, medv ~ lstat, medv ~ nox, and medv ~ ptratio.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Simple regression models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22"/>
        <w:gridCol w:w="1401"/>
        <w:gridCol w:w="1255"/>
        <w:gridCol w:w="1389"/>
        <w:gridCol w:w="13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r_squared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adj_r_sq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3,352.151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3,364.831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3,288.975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3,301.655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3,584.455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3,597.135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ptratio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3,535.591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3,548.270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The best simple model is lstat with adjusted R-squared = 0.543.</w:t>
      </w:r>
    </w:p>
    <w:p>
      <w:pPr>
        <w:pStyle w:val="Normal"/>
      </w:pPr>
      <w:r>
        <w:t xml:space="preserve">A higher lstat is associated with lower median home values. More rooms (rm) are associated with higher values.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Figure 5. Simple regression: medv ~ lstat</w:t>
      </w:r>
    </w:p>
    <w:p>
      <w:pPr>
        <w:pStyle w:val="Normal"/>
      </w:pPr>
      <w:r>
        <w:rPr/>
        <w:drawing>
          <wp:inline distT="0" distB="0" distL="0" distR="0">
            <wp:extent cx="5029200" cy="347472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Figure 6. Simple regression: medv ~ rm</w:t>
      </w:r>
    </w:p>
    <w:p>
      <w:pPr>
        <w:pStyle w:val="Normal"/>
      </w:pPr>
      <w:r>
        <w:rPr/>
        <w:drawing>
          <wp:inline distT="0" distB="0" distL="0" distR="0">
            <wp:extent cx="5029200" cy="347472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3.2 Multiple regression</w:t>
      </w:r>
    </w:p>
    <w:p>
      <w:pPr>
        <w:pStyle w:val="Normal"/>
      </w:pPr>
      <w:r>
        <w:t xml:space="preserve">Three manual multiple regression models were estimated:</w:t>
      </w:r>
    </w:p>
    <w:p>
      <w:pPr>
        <w:pStyle w:val="Normal"/>
      </w:pPr>
      <w:r>
        <w:t xml:space="preserve">MR1: medv ~ rm + lstat + nox + dis</w:t>
      </w:r>
    </w:p>
    <w:p>
      <w:pPr>
        <w:pStyle w:val="Normal"/>
      </w:pPr>
      <w:r>
        <w:t xml:space="preserve">MR2: medv ~ rm + age + tax + ptratio</w:t>
      </w:r>
    </w:p>
    <w:p>
      <w:pPr>
        <w:pStyle w:val="Normal"/>
      </w:pPr>
      <w:r>
        <w:t xml:space="preserve">MR3: medv ~ rm + lstat + ptratio + dis + nox + chas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 Multiple regression models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10"/>
        <w:gridCol w:w="1401"/>
        <w:gridCol w:w="1255"/>
        <w:gridCol w:w="1389"/>
        <w:gridCol w:w="13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r_squared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adj_r_sq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3,148.768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3,174.127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3,224.662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3,250.021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3,059.939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3,093.751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3.3 Model selection</w:t>
      </w:r>
    </w:p>
    <w:p>
      <w:pPr>
        <w:pStyle w:val="Normal"/>
      </w:pPr>
      <w:r>
        <w:t xml:space="preserve">stepAIC() and regsubsets() were used for automated model selection. Both methods selected the same final model:</w:t>
      </w:r>
    </w:p>
    <w:p>
      <w:pPr>
        <w:pStyle w:val="Normal"/>
      </w:pPr>
      <w:r>
        <w:t xml:space="preserve">medv ~ crim + zn + chas + nox + rm + dis + rad + tax + ptratio + black + lstat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 Comparison of all models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87"/>
        <w:gridCol w:w="1401"/>
        <w:gridCol w:w="1255"/>
        <w:gridCol w:w="1389"/>
        <w:gridCol w:w="13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r_squared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adj_r_sq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3,352.151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3,364.831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3,288.975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3,301.655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3,584.455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3,597.135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ptratio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3,535.591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3,548.270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3,148.768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3,174.127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3,224.662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3,250.021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3,059.939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3,093.751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stepAIC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3,023.726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3,078.671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regsubsets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3,023.726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3,078.671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The final model explains about 73.5% of the variation in medv (adjusted R-squared = 0.735).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3.4 Linear vs nonlinear models (diminishing returns)</w:t>
      </w:r>
    </w:p>
    <w:p>
      <w:pPr>
        <w:pStyle w:val="Normal"/>
      </w:pPr>
      <w:r>
        <w:t xml:space="preserve">To test whether house size and neighbourhood status show diminishing returns, quadratic terms were added to the simple models:</w:t>
      </w:r>
    </w:p>
    <w:p>
      <w:pPr>
        <w:pStyle w:val="Normal"/>
      </w:pPr>
      <w:r>
        <w:t xml:space="preserve">- medv ~ rm + rm^2</w:t>
      </w:r>
    </w:p>
    <w:p>
      <w:pPr>
        <w:pStyle w:val="Normal"/>
      </w:pPr>
      <w:r>
        <w:t xml:space="preserve">- medv ~ lstat + lstat^2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6. Linear vs nonlinear model comparison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02"/>
        <w:gridCol w:w="1401"/>
        <w:gridCol w:w="1255"/>
        <w:gridCol w:w="1389"/>
        <w:gridCol w:w="13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r_squared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adj_r_sq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 linear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3,352.151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3,364.831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 + rm^2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3,286.202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3,303.109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lstat 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3,288.975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3,301.655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lstat + lstat^2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3,170.516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3,187.422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mr1 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3,148.768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3,174.127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mr1 + rm^2 + lstat^2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2,961.897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2,995.709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7. Quadratic term estimates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94"/>
        <w:gridCol w:w="1247"/>
        <w:gridCol w:w="1242"/>
        <w:gridCol w:w="1230"/>
        <w:gridCol w:w="112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 + rm^2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I(rm^2)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lstat + lstat^2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I(lstat^2)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8. ANOVA tests: linear vs quadratic models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39"/>
        <w:gridCol w:w="118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 linear vs rm + rm^2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lstat linear vs lstat + lstat^2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For rm, the quadratic term is significant (p = 0) and positive. This suggests increasing returns to additional rooms.</w:t>
      </w:r>
    </w:p>
    <w:p>
      <w:pPr>
        <w:pStyle w:val="Normal"/>
      </w:pPr>
      <w:r>
        <w:t xml:space="preserve">For lstat, the quadratic term is significant (p = 0) and positive. The negative effect of socioeconomic status weakens at higher levels of lstat.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Figure 10. medv vs rm: linear vs quadratic fit</w:t>
      </w:r>
    </w:p>
    <w:p>
      <w:pPr>
        <w:pStyle w:val="Normal"/>
      </w:pPr>
      <w:r>
        <w:rPr/>
        <w:drawing>
          <wp:inline distT="0" distB="0" distL="0" distR="0">
            <wp:extent cx="5029200" cy="347472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Figure 11. medv vs lstat: linear vs quadratic fit</w:t>
      </w:r>
    </w:p>
    <w:p>
      <w:pPr>
        <w:pStyle w:val="Normal"/>
      </w:pPr>
      <w:r>
        <w:rPr/>
        <w:drawing>
          <wp:inline distT="0" distB="0" distL="0" distR="0">
            <wp:extent cx="5029200" cy="347472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4. Model Diagnostics</w:t>
      </w:r>
    </w:p>
    <w:p>
      <w:pPr>
        <w:pStyle w:val="Titre2"/>
      </w:pPr>
      <w:r>
        <w:t xml:space="preserve">Table 9. Variance Inflation Factors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96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ptratio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lstat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2.582</w:t>
            </w:r>
          </w:p>
        </w:tc>
      </w:tr>
    </w:tbl>
    <w:p>
      <w:pPr>
        <w:pStyle w:val="Normal"/>
      </w:pPr>
      <w:r>
        <w:t xml:space="preserve">rad and tax have VIF above 5, indicating moderate multicollinearity.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Figure 7. Residuals vs fitted values</w:t>
      </w:r>
    </w:p>
    <w:p>
      <w:pPr>
        <w:pStyle w:val="Normal"/>
      </w:pPr>
      <w:r>
        <w:rPr/>
        <w:drawing>
          <wp:inline distT="0" distB="0" distL="0" distR="0">
            <wp:extent cx="5029200" cy="347472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Figure 8. Q-Q plot of residuals</w:t>
      </w:r>
    </w:p>
    <w:p>
      <w:pPr>
        <w:pStyle w:val="Normal"/>
      </w:pPr>
      <w:r>
        <w:rPr/>
        <w:drawing>
          <wp:inline distT="0" distB="0" distL="0" distR="0">
            <wp:extent cx="5029200" cy="3474720"/>
            <wp:docPr id="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Figure 9. Regression diagnostics</w:t>
      </w:r>
    </w:p>
    <w:p>
      <w:pPr>
        <w:pStyle w:val="Normal"/>
      </w:pPr>
      <w:r>
        <w:rPr/>
        <w:drawing>
          <wp:inline distT="0" distB="0" distL="0" distR="0">
            <wp:extent cx="5303520" cy="4114800"/>
            <wp:docPr id="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5. Interpretation</w:t>
      </w:r>
    </w:p>
    <w:p>
      <w:pPr>
        <w:pStyle w:val="Normal"/>
      </w:pPr>
      <w:r>
        <w:t xml:space="preserve">In the final model, the strongest effects come from lstat, rm, nox, and dis. Each additional room increases median home value by about $3,800. A 10-point increase in lstat reduces median value by about $5,200.</w:t>
      </w:r>
    </w:p>
    <w:p>
      <w:pPr>
        <w:pStyle w:val="Normal"/>
      </w:pPr>
      <w:r>
        <w:t xml:space="preserve">Multiple regression clearly outperforms simple regression (adjusted R-squared increases from about 0.54 to 0.73).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6. Limitations</w:t>
      </w:r>
    </w:p>
    <w:p>
      <w:pPr>
        <w:pStyle w:val="Normal"/>
      </w:pPr>
      <w:r>
        <w:t xml:space="preserve">- Cross-sectional data; causal claims are not possible.</w:t>
      </w:r>
    </w:p>
    <w:p>
      <w:pPr>
        <w:pStyle w:val="Normal"/>
      </w:pPr>
      <w:r>
        <w:t xml:space="preserve">- Omitted variables such as renovation quality or local amenities.</w:t>
      </w:r>
    </w:p>
    <w:p>
      <w:pPr>
        <w:pStyle w:val="Normal"/>
      </w:pPr>
      <w:r>
        <w:t xml:space="preserve">- medv is censored at $50,000.</w:t>
      </w:r>
    </w:p>
    <w:p>
      <w:pPr>
        <w:pStyle w:val="Normal"/>
      </w:pPr>
      <w:r>
        <w:t xml:space="preserve">- Data reflect 1970s conditions.</w:t>
      </w:r>
    </w:p>
    <w:p>
      <w:pPr>
        <w:pStyle w:val="Normal"/>
      </w:pPr>
      <w:r>
        <w:t xml:space="preserve">- Multicollinearity affects precision of individual coefficients.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7. Conclusion</w:t>
      </w:r>
    </w:p>
    <w:p>
      <w:pPr>
        <w:pStyle w:val="Normal"/>
      </w:pPr>
      <w:r>
        <w:t xml:space="preserve">Median housing prices in Boston are best explained by a combination of housing size, socioeconomic composition, environmental quality, accessibility, and school quality. For real estate analysis, a multivariate model is preferable to single-predictor models.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Appendix</w:t>
      </w:r>
    </w:p>
    <w:p>
      <w:pPr>
        <w:pStyle w:val="Normal"/>
      </w:pPr>
      <w:r>
        <w:t xml:space="preserve">All results can be reproduced with:</w:t>
      </w:r>
    </w:p>
    <w:p>
      <w:pPr>
        <w:pStyle w:val="Normal"/>
      </w:pPr>
      <w:r>
        <w:t xml:space="preserve">source('install_packages.R'); source('run_all.R')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8b4763957946b56fa325818db29f6c093cc89e98.png"/>
<Relationship Id="rId8" Type="http://schemas.openxmlformats.org/officeDocument/2006/relationships/image" Target="media/d83174f6f3e72838719c23b4446f442ce45c8581.png"/>
<Relationship Id="rId9" Type="http://schemas.openxmlformats.org/officeDocument/2006/relationships/image" Target="media/0cf906d26e4d9db6af327b0bc7a1783895a9e882.png"/>
<Relationship Id="rId10" Type="http://schemas.openxmlformats.org/officeDocument/2006/relationships/image" Target="media/eb6ccc707cdb986bbf16adba9df8fd5f52bb4db3.png"/>
<Relationship Id="rId11" Type="http://schemas.openxmlformats.org/officeDocument/2006/relationships/image" Target="media/29735ec9a4ea631873d471445fb4942ac08db3a7.png"/>
<Relationship Id="rId12" Type="http://schemas.openxmlformats.org/officeDocument/2006/relationships/image" Target="media/93acdbe117f4188cacffcce55853c1f79ed50cf8.png"/>
<Relationship Id="rId13" Type="http://schemas.openxmlformats.org/officeDocument/2006/relationships/image" Target="media/cfb6aad7f857db595238ca06455d8db2f1763e08.png"/>
<Relationship Id="rId14" Type="http://schemas.openxmlformats.org/officeDocument/2006/relationships/image" Target="media/8af795c65def163a2d7c47bed7140cf5b3df9e7d.png"/>
<Relationship Id="rId15" Type="http://schemas.openxmlformats.org/officeDocument/2006/relationships/image" Target="media/0cbf2ef93731a299f2b0e06ac27c6b1708ed4471.png"/>
<Relationship Id="rId16" Type="http://schemas.openxmlformats.org/officeDocument/2006/relationships/image" Target="media/b3117826b5241ac6fdf86325a627dbfcfb442d1d.png"/>
<Relationship Id="rId17" Type="http://schemas.openxmlformats.org/officeDocument/2006/relationships/image" Target="media/61ec585e3929363d131b80ac7f828e8c14e0a24c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wojciechjanicki</cp:lastModifiedBy>
  <cp:revision>9</cp:revision>
  <dcterms:created xsi:type="dcterms:W3CDTF">2017-02-28T11:18:00Z</dcterms:created>
  <dcterms:modified xsi:type="dcterms:W3CDTF">2026-06-15T00:04:18Z</dcterms:modified>
  <cp:category/>
</cp:coreProperties>
</file>