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C51" w14:textId="2FA17EDF" w:rsidR="00463A45" w:rsidRDefault="00463A45" w:rsidP="002A1243">
      <w:pPr>
        <w:jc w:val="center"/>
        <w:rPr>
          <w:i/>
          <w:iCs/>
          <w:sz w:val="28"/>
          <w:szCs w:val="28"/>
        </w:rPr>
      </w:pPr>
      <w:r w:rsidRPr="002A1243">
        <w:rPr>
          <w:i/>
          <w:iCs/>
          <w:sz w:val="28"/>
          <w:szCs w:val="28"/>
        </w:rPr>
        <w:t>WSI</w:t>
      </w:r>
    </w:p>
    <w:p w14:paraId="618D053B" w14:textId="1A99FE3E" w:rsidR="002A1243" w:rsidRPr="002A1243" w:rsidRDefault="002A1243" w:rsidP="002A1243">
      <w:pPr>
        <w:jc w:val="center"/>
        <w:rPr>
          <w:i/>
          <w:iCs/>
          <w:sz w:val="28"/>
          <w:szCs w:val="28"/>
        </w:rPr>
      </w:pPr>
      <w:r w:rsidRPr="002A1243">
        <w:rPr>
          <w:i/>
          <w:iCs/>
          <w:sz w:val="28"/>
          <w:szCs w:val="28"/>
        </w:rPr>
        <w:t>Laboratorium 5 – sztuczne sieci neuronowe</w:t>
      </w:r>
    </w:p>
    <w:p w14:paraId="225052F0" w14:textId="77777777" w:rsidR="004D1BE7" w:rsidRPr="002A1243" w:rsidRDefault="00463A45" w:rsidP="002A1243">
      <w:pPr>
        <w:jc w:val="center"/>
        <w:rPr>
          <w:i/>
          <w:iCs/>
          <w:sz w:val="28"/>
          <w:szCs w:val="28"/>
        </w:rPr>
      </w:pPr>
      <w:r w:rsidRPr="002A1243">
        <w:rPr>
          <w:i/>
          <w:iCs/>
          <w:sz w:val="28"/>
          <w:szCs w:val="28"/>
        </w:rPr>
        <w:t>Semestr 21Z</w:t>
      </w:r>
    </w:p>
    <w:p w14:paraId="7E8A8DE9" w14:textId="4AFE87BE" w:rsidR="002F6DBD" w:rsidRDefault="00463A45" w:rsidP="002A1243">
      <w:pPr>
        <w:jc w:val="center"/>
        <w:rPr>
          <w:i/>
          <w:iCs/>
          <w:sz w:val="28"/>
          <w:szCs w:val="28"/>
        </w:rPr>
      </w:pPr>
      <w:r w:rsidRPr="002A1243">
        <w:rPr>
          <w:i/>
          <w:iCs/>
          <w:sz w:val="28"/>
          <w:szCs w:val="28"/>
        </w:rPr>
        <w:t>Gierulski Wojciech, Kaniuka Jan</w:t>
      </w:r>
    </w:p>
    <w:p w14:paraId="21AA52A0" w14:textId="3058AB4A" w:rsidR="002A1243" w:rsidRPr="002A1243" w:rsidRDefault="002A1243" w:rsidP="002A1243">
      <w:pPr>
        <w:pStyle w:val="Nagwek2"/>
        <w:jc w:val="both"/>
      </w:pPr>
      <w:r>
        <w:t>Treść zadania</w:t>
      </w:r>
    </w:p>
    <w:p w14:paraId="70330D94" w14:textId="77777777" w:rsidR="00463A45" w:rsidRPr="009B1F26" w:rsidRDefault="00463A45" w:rsidP="002A1243">
      <w:pPr>
        <w:jc w:val="both"/>
        <w:rPr>
          <w:rFonts w:ascii="Courier New" w:hAnsi="Courier New" w:cs="Courier New"/>
          <w:color w:val="333333"/>
          <w:shd w:val="clear" w:color="auto" w:fill="FFFFFF"/>
        </w:rPr>
      </w:pPr>
      <w:r w:rsidRPr="009B1F26">
        <w:rPr>
          <w:rFonts w:ascii="Courier New" w:hAnsi="Courier New" w:cs="Courier New"/>
          <w:color w:val="333333"/>
          <w:shd w:val="clear" w:color="auto" w:fill="FFFFFF"/>
        </w:rPr>
        <w:t>Zaimplementować sztuczną sieć neuronową z warstwą ukrytą. Implementacja powinna być elastyczna na tyle, żeby można było zdefiniować liczbę neuronów wejściowych, ukrytych i wyjściowych. Wykorzystać sigmoidalną funkcję aktywacji i do trenowania użyć wstecznej propagacji błędu z użyciem metody stochastycznego najszybszego spadku. Sieć nauczyć rozpoznawać jakość wina jak w ćwiczeniu 4. i porównać wyniki z otrzymanymi poprzednio. Na wykresie pokazać jak zmieniał się błąd uczonej sieci w kolejnych epokach. Poeksperymentować ze współczynnikiem uczenia oraz liczbą epok.</w:t>
      </w:r>
    </w:p>
    <w:p w14:paraId="719CC71F" w14:textId="77777777" w:rsidR="00463A45" w:rsidRDefault="008F45AC" w:rsidP="002A1243">
      <w:pPr>
        <w:pStyle w:val="Nagwek2"/>
        <w:jc w:val="both"/>
      </w:pPr>
      <w:r>
        <w:t>Założenia wstępne</w:t>
      </w:r>
    </w:p>
    <w:p w14:paraId="268FE0E1" w14:textId="16EF7BFC" w:rsidR="008F45AC" w:rsidRDefault="008F45AC" w:rsidP="002A1243">
      <w:pPr>
        <w:jc w:val="both"/>
      </w:pPr>
      <w:r>
        <w:t xml:space="preserve">Przyjęto następującą </w:t>
      </w:r>
      <w:r w:rsidR="009B1F26">
        <w:t xml:space="preserve">postać </w:t>
      </w:r>
      <w:r>
        <w:t>funkcj</w:t>
      </w:r>
      <w:r w:rsidR="009B1F26">
        <w:t>i</w:t>
      </w:r>
      <w:r>
        <w:t xml:space="preserve"> straty</w:t>
      </w:r>
      <w:r w:rsidR="009B1F26">
        <w:t xml:space="preserve"> (</w:t>
      </w:r>
      <w:r w:rsidR="009B1F26" w:rsidRPr="009B1F26">
        <w:rPr>
          <w:b/>
          <w:bCs/>
          <w:i/>
          <w:iCs/>
        </w:rPr>
        <w:t>loss function</w:t>
      </w:r>
      <w:r w:rsidR="009B1F26">
        <w:t>)</w:t>
      </w:r>
      <w:r>
        <w:t>:</w:t>
      </w:r>
    </w:p>
    <w:p w14:paraId="78B2F1E0" w14:textId="5D4AEACA" w:rsidR="008F45AC" w:rsidRPr="008F45AC" w:rsidRDefault="008F45AC" w:rsidP="002A124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F60BED" w14:textId="77777777" w:rsidR="008F45AC" w:rsidRDefault="008F45AC" w:rsidP="002A12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oznacza wektor wyjść sieci,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wektor wyjść oczekiwanych.</w:t>
      </w:r>
    </w:p>
    <w:p w14:paraId="113425CB" w14:textId="77777777" w:rsidR="008F45AC" w:rsidRDefault="008F45AC" w:rsidP="002A12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Początkowo </w:t>
      </w:r>
      <w:r w:rsidRPr="00B704C4">
        <w:rPr>
          <w:rFonts w:eastAsiaTheme="minorEastAsia"/>
          <w:b/>
          <w:bCs/>
        </w:rPr>
        <w:t>wagi sieci zainicjalizowano losowymi wartościami</w:t>
      </w:r>
      <w:r>
        <w:rPr>
          <w:rFonts w:eastAsiaTheme="minorEastAsia"/>
        </w:rPr>
        <w:t xml:space="preserve"> z przedziału </w:t>
      </w:r>
      <m:oMath>
        <m:r>
          <w:rPr>
            <w:rFonts w:ascii="Cambria Math" w:eastAsiaTheme="minorEastAsia" w:hAnsi="Cambria Math"/>
          </w:rPr>
          <m:t>(0,1)</m:t>
        </m:r>
      </m:oMath>
      <w:r w:rsidR="00F6399A">
        <w:rPr>
          <w:rFonts w:eastAsiaTheme="minorEastAsia"/>
        </w:rPr>
        <w:t xml:space="preserve">, a dane wejściowe </w:t>
      </w:r>
      <w:r w:rsidR="00F6399A" w:rsidRPr="009B1F26">
        <w:rPr>
          <w:rFonts w:eastAsiaTheme="minorEastAsia"/>
          <w:b/>
          <w:bCs/>
        </w:rPr>
        <w:t>znormalizowano</w:t>
      </w:r>
      <w:r w:rsidR="00F6399A">
        <w:rPr>
          <w:rFonts w:eastAsiaTheme="minorEastAsia"/>
        </w:rPr>
        <w:t>.</w:t>
      </w:r>
    </w:p>
    <w:p w14:paraId="49B99BB0" w14:textId="1461EB21" w:rsidR="009B1F26" w:rsidRDefault="00310EE0" w:rsidP="009B1F2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Liczbę neuronów warstwy ukrytej </w:t>
      </w:r>
      <w:r w:rsidR="009B1F26">
        <w:rPr>
          <w:rFonts w:eastAsiaTheme="minorEastAsia"/>
        </w:rPr>
        <w:t>wyznaczono</w:t>
      </w:r>
      <w:r>
        <w:rPr>
          <w:rFonts w:eastAsiaTheme="minorEastAsia"/>
        </w:rPr>
        <w:t xml:space="preserve"> wg źródeł jako</w:t>
      </w:r>
      <w:r w:rsidR="009B1F26">
        <w:rPr>
          <w:rFonts w:eastAsiaTheme="minorEastAsia"/>
        </w:rPr>
        <w:t xml:space="preserve"> tzw. </w:t>
      </w:r>
      <w:r w:rsidR="009B1F26" w:rsidRPr="009B1F26">
        <w:rPr>
          <w:rFonts w:eastAsiaTheme="minorEastAsia"/>
          <w:i/>
          <w:iCs/>
        </w:rPr>
        <w:t>rule of thumb</w:t>
      </w:r>
      <w:r w:rsidR="009B1F26">
        <w:rPr>
          <w:rFonts w:eastAsiaTheme="minorEastAsia"/>
        </w:rPr>
        <w:t xml:space="preserve"> na podstawie wzoru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*liczb</m:t>
        </m:r>
        <m:r>
          <w:rPr>
            <w:rFonts w:ascii="Cambria Math" w:eastAsiaTheme="minorEastAsia" w:hAnsi="Cambria Math"/>
          </w:rPr>
          <m:t>a neuronów wejściowych</m:t>
        </m:r>
        <m:r>
          <w:rPr>
            <w:rFonts w:ascii="Cambria Math" w:eastAsiaTheme="minorEastAsia" w:hAnsi="Cambria Math"/>
          </w:rPr>
          <m:t>+liczba</m:t>
        </m:r>
        <m:r>
          <w:rPr>
            <w:rFonts w:ascii="Cambria Math" w:eastAsiaTheme="minorEastAsia" w:hAnsi="Cambria Math"/>
          </w:rPr>
          <m:t xml:space="preserve"> neuronów </m:t>
        </m:r>
        <m:r>
          <w:rPr>
            <w:rFonts w:ascii="Cambria Math" w:eastAsiaTheme="minorEastAsia" w:hAnsi="Cambria Math"/>
          </w:rPr>
          <m:t>wyjś</m:t>
        </m:r>
        <m:r>
          <w:rPr>
            <w:rFonts w:ascii="Cambria Math" w:eastAsiaTheme="minorEastAsia" w:hAnsi="Cambria Math"/>
          </w:rPr>
          <m:t>ciowych=19</m:t>
        </m:r>
      </m:oMath>
    </w:p>
    <w:p w14:paraId="189A940C" w14:textId="1464C44D" w:rsidR="00310EE0" w:rsidRDefault="00310EE0" w:rsidP="002A12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Następnie sprawdzono, że taka wartość daje </w:t>
      </w:r>
      <w:r w:rsidR="009B1F26">
        <w:rPr>
          <w:rFonts w:eastAsiaTheme="minorEastAsia"/>
        </w:rPr>
        <w:t>zadowalające</w:t>
      </w:r>
      <w:r>
        <w:rPr>
          <w:rFonts w:eastAsiaTheme="minorEastAsia"/>
        </w:rPr>
        <w:t xml:space="preserve"> rezultaty.</w:t>
      </w:r>
    </w:p>
    <w:p w14:paraId="7D2E45C8" w14:textId="77777777" w:rsidR="00310EE0" w:rsidRDefault="00310EE0" w:rsidP="002A12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 oceny sieci zastosowano </w:t>
      </w:r>
      <w:r w:rsidRPr="009B1F26">
        <w:rPr>
          <w:rFonts w:eastAsiaTheme="minorEastAsia"/>
          <w:b/>
          <w:bCs/>
        </w:rPr>
        <w:t>walidację krzyżową</w:t>
      </w:r>
      <w:r>
        <w:rPr>
          <w:rFonts w:eastAsiaTheme="minorEastAsia"/>
        </w:rPr>
        <w:t xml:space="preserve"> 3-krotną.</w:t>
      </w:r>
    </w:p>
    <w:p w14:paraId="7337F70C" w14:textId="499B85A2" w:rsidR="004A28D4" w:rsidRDefault="004A28D4" w:rsidP="002A1243">
      <w:pPr>
        <w:jc w:val="both"/>
        <w:rPr>
          <w:rFonts w:eastAsiaTheme="minorEastAsia"/>
        </w:rPr>
      </w:pPr>
      <w:r>
        <w:rPr>
          <w:rFonts w:eastAsiaTheme="minorEastAsia"/>
        </w:rPr>
        <w:t>Jako metrykę</w:t>
      </w:r>
      <w:r w:rsidR="008B0F2C">
        <w:rPr>
          <w:rFonts w:eastAsiaTheme="minorEastAsia"/>
        </w:rPr>
        <w:t xml:space="preserve"> oceny jakości</w:t>
      </w:r>
      <w:r>
        <w:rPr>
          <w:rFonts w:eastAsiaTheme="minorEastAsia"/>
        </w:rPr>
        <w:t xml:space="preserve"> zastosowano </w:t>
      </w:r>
      <w:r w:rsidR="008B0F2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accuracy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liczba poprawnych klasyfikacji</m:t>
            </m:r>
          </m:num>
          <m:den>
            <m:r>
              <w:rPr>
                <w:rFonts w:ascii="Cambria Math" w:eastAsiaTheme="minorEastAsia" w:hAnsi="Cambria Math"/>
              </w:rPr>
              <m:t>liczba wszystkich klasyfikacji</m:t>
            </m:r>
          </m:den>
        </m:f>
        <m:r>
          <w:rPr>
            <w:rFonts w:ascii="Cambria Math" w:eastAsiaTheme="minorEastAsia" w:hAnsi="Cambria Math"/>
          </w:rPr>
          <m:t xml:space="preserve"> ×100%</m:t>
        </m:r>
      </m:oMath>
    </w:p>
    <w:p w14:paraId="450D8F0E" w14:textId="2A6F7A68" w:rsidR="002F6DBD" w:rsidRPr="008B0F2C" w:rsidRDefault="00285620" w:rsidP="002A12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Eksperymenty prowadzono na zbiorze </w:t>
      </w:r>
      <w:r w:rsidRPr="00285620">
        <w:rPr>
          <w:rFonts w:eastAsiaTheme="minorEastAsia"/>
          <w:b/>
          <w:bCs/>
          <w:i/>
          <w:iCs/>
          <w:color w:val="FF0000"/>
        </w:rPr>
        <w:t>winequality-red.csv</w:t>
      </w:r>
      <w:r w:rsidR="008B0F2C">
        <w:rPr>
          <w:rFonts w:eastAsiaTheme="minorEastAsia"/>
        </w:rPr>
        <w:t>.</w:t>
      </w:r>
    </w:p>
    <w:p w14:paraId="3435E421" w14:textId="77777777" w:rsidR="00310EE0" w:rsidRDefault="00310EE0" w:rsidP="002A1243">
      <w:pPr>
        <w:pStyle w:val="Nagwek2"/>
        <w:jc w:val="both"/>
      </w:pPr>
      <w:r>
        <w:t>Wyniki eksperymentów</w:t>
      </w:r>
    </w:p>
    <w:p w14:paraId="127D89E0" w14:textId="0C49FDE1" w:rsidR="00310EE0" w:rsidRDefault="00F6399A" w:rsidP="002A1243">
      <w:pPr>
        <w:jc w:val="both"/>
      </w:pPr>
      <w:r>
        <w:t>Na rysunku 1 przedstawiono, jak zmieniał się błąd uczonej sieci w kolejnych epokach, dla różnych współczynników uczenia.</w:t>
      </w:r>
      <w:r w:rsidR="004A28D4">
        <w:t xml:space="preserve"> </w:t>
      </w:r>
      <w:r w:rsidR="00E66AB7">
        <w:t xml:space="preserve">Jeżeli </w:t>
      </w:r>
      <w:r w:rsidR="00E66AB7" w:rsidRPr="00E66AB7">
        <w:rPr>
          <w:b/>
          <w:bCs/>
          <w:i/>
          <w:iCs/>
        </w:rPr>
        <w:t>learn rate</w:t>
      </w:r>
      <w:r w:rsidR="00E66AB7">
        <w:rPr>
          <w:b/>
          <w:bCs/>
          <w:i/>
          <w:iCs/>
        </w:rPr>
        <w:t xml:space="preserve"> </w:t>
      </w:r>
      <w:r w:rsidR="00E66AB7">
        <w:t xml:space="preserve">jest zbyt mały to uczenie trwa długo i przy niewystarczającej liczbie epok jej działanie jest dalekie od pożądanego. Zbyt duża wartość </w:t>
      </w:r>
      <w:r w:rsidR="00E66AB7" w:rsidRPr="00E66AB7">
        <w:rPr>
          <w:i/>
          <w:iCs/>
        </w:rPr>
        <w:t>learn rate</w:t>
      </w:r>
      <w:r w:rsidR="00E66AB7">
        <w:t xml:space="preserve"> może spowodować „</w:t>
      </w:r>
      <w:r w:rsidR="00E66AB7" w:rsidRPr="00E66AB7">
        <w:rPr>
          <w:i/>
          <w:iCs/>
        </w:rPr>
        <w:t>przeska</w:t>
      </w:r>
      <w:r w:rsidR="00974E65">
        <w:rPr>
          <w:i/>
          <w:iCs/>
        </w:rPr>
        <w:t>k</w:t>
      </w:r>
      <w:r w:rsidR="00E66AB7" w:rsidRPr="00E66AB7">
        <w:rPr>
          <w:i/>
          <w:iCs/>
        </w:rPr>
        <w:t>iwanie”</w:t>
      </w:r>
      <w:r w:rsidR="00E66AB7">
        <w:rPr>
          <w:i/>
          <w:iCs/>
        </w:rPr>
        <w:t xml:space="preserve"> </w:t>
      </w:r>
      <w:r w:rsidR="00E66AB7">
        <w:t>rozwiązania zapewniającego minimalną wartość funkcji błędu.</w:t>
      </w:r>
      <w:r w:rsidR="00EF4914">
        <w:t xml:space="preserve"> </w:t>
      </w:r>
      <w:r w:rsidR="004A28D4">
        <w:t>Z eksperymentów wynika, że najlepszy model otrzymujemy dla współczynnika uczenia równego 0,1.</w:t>
      </w:r>
    </w:p>
    <w:p w14:paraId="751F1F94" w14:textId="382CFEFA" w:rsidR="004A28D4" w:rsidRDefault="004A28D4" w:rsidP="002A1243">
      <w:pPr>
        <w:jc w:val="both"/>
      </w:pPr>
      <w:r>
        <w:t>W tabeli 1 przedstawiono dokładność modelu dla różnych liczb epok. Przyjęto stały współczynnik uczenia równy 0,2.</w:t>
      </w:r>
      <w:r w:rsidR="002F6DBD">
        <w:t xml:space="preserve"> Z tabeli wynika, że najlepsze rezultaty uzyskujemy dla liczby epok z zakresu 30-60.</w:t>
      </w:r>
    </w:p>
    <w:p w14:paraId="313E82A8" w14:textId="46272599" w:rsidR="00E66AB7" w:rsidRDefault="00E66AB7" w:rsidP="002A1243">
      <w:pPr>
        <w:jc w:val="both"/>
      </w:pPr>
    </w:p>
    <w:p w14:paraId="66DA2BC2" w14:textId="5ACD8EC3" w:rsidR="00E66AB7" w:rsidRDefault="00E66AB7" w:rsidP="002A1243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08"/>
        <w:gridCol w:w="734"/>
        <w:gridCol w:w="734"/>
        <w:gridCol w:w="733"/>
        <w:gridCol w:w="733"/>
        <w:gridCol w:w="733"/>
        <w:gridCol w:w="733"/>
        <w:gridCol w:w="733"/>
        <w:gridCol w:w="733"/>
        <w:gridCol w:w="734"/>
        <w:gridCol w:w="734"/>
      </w:tblGrid>
      <w:tr w:rsidR="009F656D" w14:paraId="3A9AFCE6" w14:textId="77777777" w:rsidTr="009F656D">
        <w:trPr>
          <w:trHeight w:val="557"/>
        </w:trPr>
        <w:tc>
          <w:tcPr>
            <w:tcW w:w="1005" w:type="dxa"/>
          </w:tcPr>
          <w:p w14:paraId="03327E1C" w14:textId="21EB9698" w:rsidR="00E66AB7" w:rsidRPr="009F656D" w:rsidRDefault="00E66AB7" w:rsidP="009F656D">
            <w:pPr>
              <w:jc w:val="center"/>
              <w:rPr>
                <w:sz w:val="28"/>
                <w:szCs w:val="28"/>
              </w:rPr>
            </w:pPr>
            <w:r w:rsidRPr="009F656D">
              <w:rPr>
                <w:i/>
                <w:iCs/>
                <w:sz w:val="28"/>
                <w:szCs w:val="28"/>
              </w:rPr>
              <w:lastRenderedPageBreak/>
              <w:t>Liczba epok</w:t>
            </w:r>
          </w:p>
        </w:tc>
        <w:tc>
          <w:tcPr>
            <w:tcW w:w="625" w:type="dxa"/>
            <w:shd w:val="clear" w:color="auto" w:fill="F4B083" w:themeFill="accent2" w:themeFillTint="99"/>
          </w:tcPr>
          <w:p w14:paraId="431CAFEB" w14:textId="7C9584B6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5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3E95A99C" w14:textId="3B5629B3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10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0E988AFC" w14:textId="2483D4E9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20</w:t>
            </w:r>
          </w:p>
        </w:tc>
        <w:tc>
          <w:tcPr>
            <w:tcW w:w="743" w:type="dxa"/>
            <w:shd w:val="clear" w:color="auto" w:fill="92D050"/>
          </w:tcPr>
          <w:p w14:paraId="0D1899B3" w14:textId="3B4CA91A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30</w:t>
            </w:r>
          </w:p>
        </w:tc>
        <w:tc>
          <w:tcPr>
            <w:tcW w:w="743" w:type="dxa"/>
            <w:shd w:val="clear" w:color="auto" w:fill="92D050"/>
          </w:tcPr>
          <w:p w14:paraId="03CD2BB1" w14:textId="2AF2DC67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40</w:t>
            </w:r>
          </w:p>
        </w:tc>
        <w:tc>
          <w:tcPr>
            <w:tcW w:w="743" w:type="dxa"/>
            <w:shd w:val="clear" w:color="auto" w:fill="92D050"/>
          </w:tcPr>
          <w:p w14:paraId="7111D999" w14:textId="4B62EF4B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50</w:t>
            </w:r>
          </w:p>
        </w:tc>
        <w:tc>
          <w:tcPr>
            <w:tcW w:w="743" w:type="dxa"/>
            <w:shd w:val="clear" w:color="auto" w:fill="92D050"/>
          </w:tcPr>
          <w:p w14:paraId="54D5BA8B" w14:textId="12949D15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60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266238FE" w14:textId="3AB54216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80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21314197" w14:textId="3EDAC77C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100</w:t>
            </w:r>
          </w:p>
        </w:tc>
        <w:tc>
          <w:tcPr>
            <w:tcW w:w="744" w:type="dxa"/>
            <w:shd w:val="clear" w:color="auto" w:fill="F4B083" w:themeFill="accent2" w:themeFillTint="99"/>
          </w:tcPr>
          <w:p w14:paraId="79AE051C" w14:textId="62EC14D1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150</w:t>
            </w:r>
          </w:p>
        </w:tc>
        <w:tc>
          <w:tcPr>
            <w:tcW w:w="744" w:type="dxa"/>
            <w:shd w:val="clear" w:color="auto" w:fill="F4B083" w:themeFill="accent2" w:themeFillTint="99"/>
          </w:tcPr>
          <w:p w14:paraId="2406F969" w14:textId="75CBD334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200</w:t>
            </w:r>
          </w:p>
        </w:tc>
      </w:tr>
      <w:tr w:rsidR="009F656D" w14:paraId="0F0CBAF1" w14:textId="77777777" w:rsidTr="009F656D">
        <w:tc>
          <w:tcPr>
            <w:tcW w:w="1005" w:type="dxa"/>
          </w:tcPr>
          <w:p w14:paraId="66E4CF88" w14:textId="3C3A5A5E" w:rsidR="00E66AB7" w:rsidRPr="009F656D" w:rsidRDefault="009F656D" w:rsidP="009F656D">
            <w:pPr>
              <w:jc w:val="center"/>
              <w:rPr>
                <w:sz w:val="28"/>
                <w:szCs w:val="28"/>
              </w:rPr>
            </w:pPr>
            <w:r w:rsidRPr="009F656D">
              <w:rPr>
                <w:i/>
                <w:iCs/>
                <w:sz w:val="28"/>
                <w:szCs w:val="28"/>
              </w:rPr>
              <w:t>a</w:t>
            </w:r>
            <w:r w:rsidR="00E66AB7" w:rsidRPr="009F656D">
              <w:rPr>
                <w:i/>
                <w:iCs/>
                <w:sz w:val="28"/>
                <w:szCs w:val="28"/>
              </w:rPr>
              <w:t>ccuracy</w:t>
            </w:r>
            <w:r w:rsidRPr="009F656D">
              <w:rPr>
                <w:i/>
                <w:iCs/>
                <w:sz w:val="28"/>
                <w:szCs w:val="28"/>
              </w:rPr>
              <w:t xml:space="preserve"> [%]</w:t>
            </w:r>
          </w:p>
        </w:tc>
        <w:tc>
          <w:tcPr>
            <w:tcW w:w="625" w:type="dxa"/>
            <w:shd w:val="clear" w:color="auto" w:fill="F4B083" w:themeFill="accent2" w:themeFillTint="99"/>
          </w:tcPr>
          <w:p w14:paraId="72FA7549" w14:textId="20790A40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0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0D726C68" w14:textId="792DE7C4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67,97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79B5810F" w14:textId="71214B4D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65,10</w:t>
            </w:r>
          </w:p>
        </w:tc>
        <w:tc>
          <w:tcPr>
            <w:tcW w:w="743" w:type="dxa"/>
            <w:shd w:val="clear" w:color="auto" w:fill="92D050"/>
          </w:tcPr>
          <w:p w14:paraId="43250DE4" w14:textId="2552C7FA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75,35</w:t>
            </w:r>
          </w:p>
        </w:tc>
        <w:tc>
          <w:tcPr>
            <w:tcW w:w="743" w:type="dxa"/>
            <w:shd w:val="clear" w:color="auto" w:fill="92D050"/>
          </w:tcPr>
          <w:p w14:paraId="7F92BDF7" w14:textId="73CE9729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74,17</w:t>
            </w:r>
          </w:p>
        </w:tc>
        <w:tc>
          <w:tcPr>
            <w:tcW w:w="743" w:type="dxa"/>
            <w:shd w:val="clear" w:color="auto" w:fill="92D050"/>
          </w:tcPr>
          <w:p w14:paraId="3B8E9A47" w14:textId="5789FBD3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68,60</w:t>
            </w:r>
          </w:p>
        </w:tc>
        <w:tc>
          <w:tcPr>
            <w:tcW w:w="743" w:type="dxa"/>
            <w:shd w:val="clear" w:color="auto" w:fill="92D050"/>
          </w:tcPr>
          <w:p w14:paraId="68C15ED9" w14:textId="638EB846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75,60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5D60887E" w14:textId="75404179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58,72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5B61258F" w14:textId="3D1CBC50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72,29</w:t>
            </w:r>
          </w:p>
        </w:tc>
        <w:tc>
          <w:tcPr>
            <w:tcW w:w="744" w:type="dxa"/>
            <w:shd w:val="clear" w:color="auto" w:fill="F4B083" w:themeFill="accent2" w:themeFillTint="99"/>
          </w:tcPr>
          <w:p w14:paraId="38EACC58" w14:textId="12711E8F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52,28</w:t>
            </w:r>
          </w:p>
        </w:tc>
        <w:tc>
          <w:tcPr>
            <w:tcW w:w="744" w:type="dxa"/>
            <w:shd w:val="clear" w:color="auto" w:fill="F4B083" w:themeFill="accent2" w:themeFillTint="99"/>
          </w:tcPr>
          <w:p w14:paraId="22AE2D4D" w14:textId="18AE1118" w:rsidR="00E66AB7" w:rsidRPr="009F656D" w:rsidRDefault="00E66AB7" w:rsidP="009F656D">
            <w:pPr>
              <w:jc w:val="center"/>
              <w:rPr>
                <w:b/>
                <w:bCs/>
              </w:rPr>
            </w:pPr>
            <w:r w:rsidRPr="009F656D">
              <w:rPr>
                <w:b/>
                <w:bCs/>
              </w:rPr>
              <w:t>64,10</w:t>
            </w:r>
          </w:p>
        </w:tc>
      </w:tr>
    </w:tbl>
    <w:p w14:paraId="6512C85E" w14:textId="77777777" w:rsidR="009F656D" w:rsidRPr="00310EE0" w:rsidRDefault="009F656D" w:rsidP="009F656D">
      <w:pPr>
        <w:pStyle w:val="Legenda"/>
        <w:jc w:val="center"/>
      </w:pPr>
      <w:r>
        <w:t>Tabela 1</w:t>
      </w:r>
    </w:p>
    <w:p w14:paraId="591BAC83" w14:textId="15B60512" w:rsidR="00E66AB7" w:rsidRDefault="00E66AB7" w:rsidP="002A1243">
      <w:pPr>
        <w:jc w:val="both"/>
      </w:pPr>
    </w:p>
    <w:p w14:paraId="57FAF734" w14:textId="77777777" w:rsidR="00310EE0" w:rsidRDefault="00310EE0" w:rsidP="009F656D">
      <w:pPr>
        <w:keepNext/>
      </w:pPr>
      <w:r>
        <w:rPr>
          <w:noProof/>
        </w:rPr>
        <w:drawing>
          <wp:inline distT="0" distB="0" distL="0" distR="0" wp14:anchorId="28EFF0B0" wp14:editId="17F15ADE">
            <wp:extent cx="5676786" cy="4101152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30" cy="41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0E3" w14:textId="77777777" w:rsidR="00310EE0" w:rsidRDefault="00310EE0" w:rsidP="00310EE0">
      <w:pPr>
        <w:pStyle w:val="Legenda"/>
        <w:jc w:val="center"/>
      </w:pPr>
      <w:r>
        <w:t>Rys. 1</w:t>
      </w:r>
    </w:p>
    <w:p w14:paraId="29F99CFE" w14:textId="43846747" w:rsidR="002F6DBD" w:rsidRDefault="002F6DBD" w:rsidP="002A1243">
      <w:pPr>
        <w:pStyle w:val="Nagwek2"/>
        <w:jc w:val="both"/>
      </w:pPr>
      <w:r>
        <w:t>Porównanie z</w:t>
      </w:r>
      <w:r w:rsidR="00F228F3">
        <w:t xml:space="preserve"> naiwnym</w:t>
      </w:r>
      <w:r>
        <w:t xml:space="preserve"> klasyfikatorem Bayesa</w:t>
      </w:r>
    </w:p>
    <w:p w14:paraId="7DF9871B" w14:textId="35FA764B" w:rsidR="00974E65" w:rsidRDefault="002F6DBD" w:rsidP="002A1243">
      <w:pPr>
        <w:jc w:val="both"/>
      </w:pPr>
      <w:r>
        <w:t xml:space="preserve">Najlepsze uzyskane </w:t>
      </w:r>
      <w:r w:rsidRPr="00F228F3">
        <w:rPr>
          <w:i/>
          <w:iCs/>
        </w:rPr>
        <w:t>accuracy</w:t>
      </w:r>
      <w:r>
        <w:t xml:space="preserve"> za pomocą klasyfikatora Bayesa wyniosło </w:t>
      </w:r>
      <w:r w:rsidRPr="00974E65">
        <w:rPr>
          <w:b/>
          <w:bCs/>
          <w:color w:val="FF0000"/>
        </w:rPr>
        <w:t>56%</w:t>
      </w:r>
      <w:r>
        <w:t xml:space="preserve">. Zastosowanie sztucznej sieci neuronowej do klasyfikacji pozwoliło uzyskać wynik na poziomie </w:t>
      </w:r>
      <w:r w:rsidRPr="00974E65">
        <w:rPr>
          <w:b/>
          <w:bCs/>
          <w:color w:val="00B050"/>
        </w:rPr>
        <w:t>77%</w:t>
      </w:r>
      <w:r>
        <w:t>. Jest to duży wzrost jakości klasyfikatora, jednak wciąż pozostaje on daleki od bycia skutecznym. Powodem tego może być słaba jakość danych (</w:t>
      </w:r>
      <w:r w:rsidR="007A2E72">
        <w:t>brak</w:t>
      </w:r>
      <w:r>
        <w:t xml:space="preserve"> </w:t>
      </w:r>
      <w:r w:rsidR="007A2E72">
        <w:t>danych</w:t>
      </w:r>
      <w:r>
        <w:t xml:space="preserve"> dla niektórych klas jakości win, nierównomierny rozkład jakości win).</w:t>
      </w:r>
      <w:r w:rsidR="00DD0D33">
        <w:t xml:space="preserve"> </w:t>
      </w:r>
    </w:p>
    <w:p w14:paraId="6498DAC9" w14:textId="77777777" w:rsidR="00974E65" w:rsidRDefault="00974E65" w:rsidP="002A1243">
      <w:pPr>
        <w:jc w:val="both"/>
      </w:pPr>
    </w:p>
    <w:p w14:paraId="5476EA6C" w14:textId="64A3EFF7" w:rsidR="00974E65" w:rsidRDefault="00974E65" w:rsidP="00974E65">
      <w:pPr>
        <w:pStyle w:val="Nagwek2"/>
        <w:jc w:val="both"/>
      </w:pPr>
      <w:r>
        <w:t>Obserwacje</w:t>
      </w:r>
    </w:p>
    <w:p w14:paraId="68087EA8" w14:textId="1B01E895" w:rsidR="002F6DBD" w:rsidRPr="002F6DBD" w:rsidRDefault="00DD0D33" w:rsidP="002A1243">
      <w:pPr>
        <w:jc w:val="both"/>
      </w:pPr>
      <w:r>
        <w:t>W przypadku sztucznej sieci neuronowej możemy dostrajać wartości wielu parametrów (np. liczba neuronów, liczba warstw, metoda trenowania, współczynnik uczenia</w:t>
      </w:r>
      <w:r w:rsidR="00974E65">
        <w:t>, rodzaj funkcji aktywacji</w:t>
      </w:r>
      <w:r>
        <w:t>), gdzie w przypadku naiwnego klasyfikatora Bayesa nie było takiej możliwości.</w:t>
      </w:r>
      <w:r w:rsidR="00974E65">
        <w:t xml:space="preserve"> Potencjalnie daje nam to możliwość uzyskania lepszych rezultatów, jednak potrzebne do tego eksperymenty będą z pewnością czasochłonne.</w:t>
      </w:r>
    </w:p>
    <w:sectPr w:rsidR="002F6DBD" w:rsidRPr="002F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5"/>
    <w:rsid w:val="00030D0A"/>
    <w:rsid w:val="000363F3"/>
    <w:rsid w:val="00141933"/>
    <w:rsid w:val="00186E6B"/>
    <w:rsid w:val="00285620"/>
    <w:rsid w:val="002A1243"/>
    <w:rsid w:val="002F6DBD"/>
    <w:rsid w:val="00310EE0"/>
    <w:rsid w:val="00450080"/>
    <w:rsid w:val="00463A45"/>
    <w:rsid w:val="004A28D4"/>
    <w:rsid w:val="004D1BE7"/>
    <w:rsid w:val="004E10C5"/>
    <w:rsid w:val="005938EE"/>
    <w:rsid w:val="007A2E72"/>
    <w:rsid w:val="008B0F2C"/>
    <w:rsid w:val="008F45AC"/>
    <w:rsid w:val="00922208"/>
    <w:rsid w:val="00972185"/>
    <w:rsid w:val="00974E65"/>
    <w:rsid w:val="009B1F26"/>
    <w:rsid w:val="009F3FF3"/>
    <w:rsid w:val="009F656D"/>
    <w:rsid w:val="00B704C4"/>
    <w:rsid w:val="00D5697E"/>
    <w:rsid w:val="00DD0D33"/>
    <w:rsid w:val="00E27BA1"/>
    <w:rsid w:val="00E66AB7"/>
    <w:rsid w:val="00EF4914"/>
    <w:rsid w:val="00F228F3"/>
    <w:rsid w:val="00F6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34E0"/>
  <w15:chartTrackingRefBased/>
  <w15:docId w15:val="{DAE9B5CF-4C95-4222-A77E-016A89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F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F45A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310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310E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4A2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B0F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459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Gierulski Wojciech (STUD)</dc:creator>
  <cp:keywords/>
  <dc:description/>
  <cp:lastModifiedBy>Jan Kaniuka</cp:lastModifiedBy>
  <cp:revision>8</cp:revision>
  <dcterms:created xsi:type="dcterms:W3CDTF">2022-01-02T18:19:00Z</dcterms:created>
  <dcterms:modified xsi:type="dcterms:W3CDTF">2022-01-03T00:13:00Z</dcterms:modified>
</cp:coreProperties>
</file>