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/>
        </w:rPr>
        <w:id w:val="-134593480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spacing w:val="0"/>
          <w:kern w:val="0"/>
          <w:sz w:val="24"/>
          <w:szCs w:val="22"/>
        </w:rPr>
      </w:sdtEndPr>
      <w:sdtContent>
        <w:p w14:paraId="7C722DAE" w14:textId="261D3F73" w:rsidR="00852C72" w:rsidRPr="00F83DAB" w:rsidRDefault="00852C72" w:rsidP="00F83DAB">
          <w:pPr>
            <w:rPr>
              <w:b/>
              <w:sz w:val="36"/>
            </w:rPr>
          </w:pPr>
        </w:p>
        <w:p w14:paraId="51A31613" w14:textId="5598BA95" w:rsidR="009B75D3" w:rsidRPr="00C36ED5" w:rsidRDefault="009B75D3" w:rsidP="009B75D3">
          <w:pPr>
            <w:pStyle w:val="licencjat"/>
            <w:numPr>
              <w:ilvl w:val="0"/>
              <w:numId w:val="37"/>
            </w:numPr>
            <w:rPr>
              <w:b/>
              <w:bCs/>
            </w:rPr>
          </w:pPr>
          <w:r w:rsidRPr="00C36ED5">
            <w:rPr>
              <w:b/>
              <w:bCs/>
            </w:rPr>
            <w:t>Opis zbioru danych</w:t>
          </w:r>
        </w:p>
        <w:p w14:paraId="04C3B402" w14:textId="0CCB21EC" w:rsidR="00852C72" w:rsidRDefault="00852C72" w:rsidP="00852C72">
          <w:pPr>
            <w:pStyle w:val="licencjat"/>
            <w:ind w:firstLine="0"/>
          </w:pPr>
          <w:r>
            <w:t xml:space="preserve">Zbiór danych pochodzi ze strony </w:t>
          </w:r>
          <w:hyperlink r:id="rId8" w:history="1">
            <w:r w:rsidRPr="00397C48">
              <w:rPr>
                <w:rStyle w:val="Hyperlink"/>
              </w:rPr>
              <w:t>https://www.kaggle.com/andrewmvd/heart-failure-clinical-data</w:t>
            </w:r>
          </w:hyperlink>
          <w:r>
            <w:t xml:space="preserve"> </w:t>
          </w:r>
          <w:r w:rsidR="009B75D3">
            <w:t>i przedstawia obserwacje pacjentów cierpiących na choroby sercowo-naczyniowe</w:t>
          </w:r>
          <w:r w:rsidR="00062808">
            <w:t>. Choroby te są</w:t>
          </w:r>
          <w:r w:rsidR="009B75D3">
            <w:t xml:space="preserve"> najczęstszą globalną przyczyną śmierci, szacuje się, że około 17.9 miliona ludzi umiera każdego dnia, co stanowi około 31% wszystkich śmierci w skali całej populacji świata. Dla każdej obserwacji w zbiorze danych jest 13 zmiennych, opisanych poniżej: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388"/>
            <w:gridCol w:w="4389"/>
          </w:tblGrid>
          <w:tr w:rsidR="009B75D3" w14:paraId="0B8B582E" w14:textId="77777777" w:rsidTr="009B75D3">
            <w:tc>
              <w:tcPr>
                <w:tcW w:w="4388" w:type="dxa"/>
              </w:tcPr>
              <w:p w14:paraId="1B93A99A" w14:textId="54270F49" w:rsidR="009B75D3" w:rsidRPr="009B75D3" w:rsidRDefault="009B75D3" w:rsidP="00852C72">
                <w:pPr>
                  <w:pStyle w:val="licencjat"/>
                  <w:ind w:firstLine="0"/>
                  <w:rPr>
                    <w:b/>
                    <w:bCs/>
                  </w:rPr>
                </w:pPr>
                <w:r w:rsidRPr="009B75D3">
                  <w:rPr>
                    <w:b/>
                    <w:bCs/>
                  </w:rPr>
                  <w:t>Zmienna</w:t>
                </w:r>
              </w:p>
            </w:tc>
            <w:tc>
              <w:tcPr>
                <w:tcW w:w="4389" w:type="dxa"/>
              </w:tcPr>
              <w:p w14:paraId="0ADE41B4" w14:textId="7602C76D" w:rsidR="009B75D3" w:rsidRPr="009B75D3" w:rsidRDefault="009B75D3" w:rsidP="00852C72">
                <w:pPr>
                  <w:pStyle w:val="licencjat"/>
                  <w:ind w:firstLine="0"/>
                  <w:rPr>
                    <w:b/>
                    <w:bCs/>
                  </w:rPr>
                </w:pPr>
                <w:r w:rsidRPr="009B75D3">
                  <w:rPr>
                    <w:b/>
                    <w:bCs/>
                  </w:rPr>
                  <w:t>Opis</w:t>
                </w:r>
              </w:p>
            </w:tc>
          </w:tr>
          <w:tr w:rsidR="009B75D3" w14:paraId="2184F3AB" w14:textId="77777777" w:rsidTr="009B75D3">
            <w:tc>
              <w:tcPr>
                <w:tcW w:w="4388" w:type="dxa"/>
              </w:tcPr>
              <w:p w14:paraId="7BC2A29E" w14:textId="4283016A" w:rsidR="009B75D3" w:rsidRDefault="00062808" w:rsidP="00852C72">
                <w:pPr>
                  <w:pStyle w:val="licencjat"/>
                  <w:ind w:firstLine="0"/>
                </w:pPr>
                <w:r>
                  <w:t>A</w:t>
                </w:r>
                <w:r w:rsidR="009B75D3">
                  <w:t>ge</w:t>
                </w:r>
              </w:p>
            </w:tc>
            <w:tc>
              <w:tcPr>
                <w:tcW w:w="4389" w:type="dxa"/>
              </w:tcPr>
              <w:p w14:paraId="74E5734B" w14:textId="66499A2B" w:rsidR="009B75D3" w:rsidRDefault="009B75D3" w:rsidP="00852C72">
                <w:pPr>
                  <w:pStyle w:val="licencjat"/>
                  <w:ind w:firstLine="0"/>
                </w:pPr>
                <w:r>
                  <w:t>Wiek pacjenta (w latach).</w:t>
                </w:r>
              </w:p>
            </w:tc>
          </w:tr>
          <w:tr w:rsidR="009B75D3" w14:paraId="03896652" w14:textId="77777777" w:rsidTr="009B75D3">
            <w:tc>
              <w:tcPr>
                <w:tcW w:w="4388" w:type="dxa"/>
              </w:tcPr>
              <w:p w14:paraId="04849E7F" w14:textId="690B117E" w:rsidR="009B75D3" w:rsidRDefault="00062808" w:rsidP="00852C72">
                <w:pPr>
                  <w:pStyle w:val="licencjat"/>
                  <w:ind w:firstLine="0"/>
                </w:pPr>
                <w:proofErr w:type="spellStart"/>
                <w:r>
                  <w:t>A</w:t>
                </w:r>
                <w:r w:rsidR="009B75D3">
                  <w:t>naemia</w:t>
                </w:r>
                <w:proofErr w:type="spellEnd"/>
              </w:p>
            </w:tc>
            <w:tc>
              <w:tcPr>
                <w:tcW w:w="4389" w:type="dxa"/>
              </w:tcPr>
              <w:p w14:paraId="6EC12A87" w14:textId="30AC5A3C" w:rsidR="009B75D3" w:rsidRDefault="009B75D3" w:rsidP="00852C72">
                <w:pPr>
                  <w:pStyle w:val="licencjat"/>
                  <w:ind w:firstLine="0"/>
                </w:pPr>
                <w:r>
                  <w:t>Spadek erytrocytów lub hemoglobiny (0 – nie, 1 – tak).</w:t>
                </w:r>
              </w:p>
            </w:tc>
          </w:tr>
          <w:tr w:rsidR="009B75D3" w14:paraId="7DB171AC" w14:textId="77777777" w:rsidTr="009B75D3">
            <w:tc>
              <w:tcPr>
                <w:tcW w:w="4388" w:type="dxa"/>
              </w:tcPr>
              <w:p w14:paraId="49271335" w14:textId="14E3FE48" w:rsidR="009B75D3" w:rsidRDefault="009B75D3" w:rsidP="00852C72">
                <w:pPr>
                  <w:pStyle w:val="licencjat"/>
                  <w:ind w:firstLine="0"/>
                </w:pPr>
                <w:proofErr w:type="spellStart"/>
                <w:r w:rsidRPr="009B75D3">
                  <w:t>creatinine_phosphokinase</w:t>
                </w:r>
                <w:proofErr w:type="spellEnd"/>
              </w:p>
            </w:tc>
            <w:tc>
              <w:tcPr>
                <w:tcW w:w="4389" w:type="dxa"/>
              </w:tcPr>
              <w:p w14:paraId="7B18B3AA" w14:textId="05CF330D" w:rsidR="009B75D3" w:rsidRDefault="009B75D3" w:rsidP="00852C72">
                <w:pPr>
                  <w:pStyle w:val="licencjat"/>
                  <w:ind w:firstLine="0"/>
                </w:pPr>
                <w:r>
                  <w:t>Poziom enzymu CPK we krwi (</w:t>
                </w:r>
                <w:proofErr w:type="spellStart"/>
                <w:r>
                  <w:t>mcg</w:t>
                </w:r>
                <w:proofErr w:type="spellEnd"/>
                <w:r>
                  <w:t>/L)</w:t>
                </w:r>
                <w:r w:rsidR="000F5D6C">
                  <w:t>.</w:t>
                </w:r>
              </w:p>
            </w:tc>
          </w:tr>
          <w:tr w:rsidR="009B75D3" w14:paraId="17A050CE" w14:textId="77777777" w:rsidTr="009B75D3">
            <w:tc>
              <w:tcPr>
                <w:tcW w:w="4388" w:type="dxa"/>
              </w:tcPr>
              <w:p w14:paraId="1B62C980" w14:textId="02202464" w:rsidR="009B75D3" w:rsidRDefault="00062808" w:rsidP="00852C72">
                <w:pPr>
                  <w:pStyle w:val="licencjat"/>
                  <w:ind w:firstLine="0"/>
                </w:pPr>
                <w:proofErr w:type="spellStart"/>
                <w:r w:rsidRPr="009B75D3">
                  <w:t>D</w:t>
                </w:r>
                <w:r w:rsidR="009B75D3" w:rsidRPr="009B75D3">
                  <w:t>iabetes</w:t>
                </w:r>
                <w:proofErr w:type="spellEnd"/>
              </w:p>
            </w:tc>
            <w:tc>
              <w:tcPr>
                <w:tcW w:w="4389" w:type="dxa"/>
              </w:tcPr>
              <w:p w14:paraId="37D8EA46" w14:textId="559D122D" w:rsidR="009B75D3" w:rsidRDefault="000F5D6C" w:rsidP="00852C72">
                <w:pPr>
                  <w:pStyle w:val="licencjat"/>
                  <w:ind w:firstLine="0"/>
                </w:pPr>
                <w:r>
                  <w:t>Pacjent cierpi na cukrzyce (0 – nie, 1 – tak).</w:t>
                </w:r>
              </w:p>
            </w:tc>
          </w:tr>
          <w:tr w:rsidR="009B75D3" w14:paraId="6D3C7B08" w14:textId="77777777" w:rsidTr="009B75D3">
            <w:tc>
              <w:tcPr>
                <w:tcW w:w="4388" w:type="dxa"/>
              </w:tcPr>
              <w:p w14:paraId="7C48AC59" w14:textId="0A5009B5" w:rsidR="009B75D3" w:rsidRDefault="009B75D3" w:rsidP="00852C72">
                <w:pPr>
                  <w:pStyle w:val="licencjat"/>
                  <w:ind w:firstLine="0"/>
                </w:pPr>
                <w:proofErr w:type="spellStart"/>
                <w:r w:rsidRPr="009B75D3">
                  <w:t>ejection_fraction</w:t>
                </w:r>
                <w:proofErr w:type="spellEnd"/>
              </w:p>
            </w:tc>
            <w:tc>
              <w:tcPr>
                <w:tcW w:w="4389" w:type="dxa"/>
              </w:tcPr>
              <w:p w14:paraId="0B08D769" w14:textId="3AB9D571" w:rsidR="009B75D3" w:rsidRDefault="000F5D6C" w:rsidP="00852C72">
                <w:pPr>
                  <w:pStyle w:val="licencjat"/>
                  <w:ind w:firstLine="0"/>
                </w:pPr>
                <w:r>
                  <w:t>Procent krwi opuszczający serce przy każdym uderzeniu.</w:t>
                </w:r>
              </w:p>
            </w:tc>
          </w:tr>
          <w:tr w:rsidR="009B75D3" w14:paraId="4BB9BE45" w14:textId="77777777" w:rsidTr="009B75D3">
            <w:tc>
              <w:tcPr>
                <w:tcW w:w="4388" w:type="dxa"/>
              </w:tcPr>
              <w:p w14:paraId="4448E255" w14:textId="0A5E7EBA" w:rsidR="009B75D3" w:rsidRDefault="009B75D3" w:rsidP="00852C72">
                <w:pPr>
                  <w:pStyle w:val="licencjat"/>
                  <w:ind w:firstLine="0"/>
                </w:pPr>
                <w:proofErr w:type="spellStart"/>
                <w:r w:rsidRPr="009B75D3">
                  <w:t>high_blood_pressure</w:t>
                </w:r>
                <w:proofErr w:type="spellEnd"/>
              </w:p>
            </w:tc>
            <w:tc>
              <w:tcPr>
                <w:tcW w:w="4389" w:type="dxa"/>
              </w:tcPr>
              <w:p w14:paraId="3B1FBD9B" w14:textId="063E2FD0" w:rsidR="009B75D3" w:rsidRDefault="000F5D6C" w:rsidP="00852C72">
                <w:pPr>
                  <w:pStyle w:val="licencjat"/>
                  <w:ind w:firstLine="0"/>
                </w:pPr>
                <w:r>
                  <w:t>Pacjent ma zbyt wysokie ciśnienie krwi (0 – nie, 1- tak).</w:t>
                </w:r>
              </w:p>
            </w:tc>
          </w:tr>
          <w:tr w:rsidR="009B75D3" w14:paraId="4C5E5062" w14:textId="77777777" w:rsidTr="009B75D3">
            <w:tc>
              <w:tcPr>
                <w:tcW w:w="4388" w:type="dxa"/>
              </w:tcPr>
              <w:p w14:paraId="2FC54A8A" w14:textId="4EEE0B13" w:rsidR="009B75D3" w:rsidRDefault="00062808" w:rsidP="00852C72">
                <w:pPr>
                  <w:pStyle w:val="licencjat"/>
                  <w:ind w:firstLine="0"/>
                </w:pPr>
                <w:proofErr w:type="spellStart"/>
                <w:r w:rsidRPr="009B75D3">
                  <w:t>P</w:t>
                </w:r>
                <w:r w:rsidR="009B75D3" w:rsidRPr="009B75D3">
                  <w:t>latelet</w:t>
                </w:r>
                <w:r w:rsidR="009B75D3">
                  <w:t>s</w:t>
                </w:r>
                <w:proofErr w:type="spellEnd"/>
              </w:p>
            </w:tc>
            <w:tc>
              <w:tcPr>
                <w:tcW w:w="4389" w:type="dxa"/>
              </w:tcPr>
              <w:p w14:paraId="3EC95212" w14:textId="6E3DA54A" w:rsidR="009B75D3" w:rsidRDefault="000F5D6C" w:rsidP="00852C72">
                <w:pPr>
                  <w:pStyle w:val="licencjat"/>
                  <w:ind w:firstLine="0"/>
                </w:pPr>
                <w:r>
                  <w:t xml:space="preserve">Płytki krwi (w tysiącach na </w:t>
                </w:r>
                <w:proofErr w:type="spellStart"/>
                <w:r>
                  <w:t>mL</w:t>
                </w:r>
                <w:proofErr w:type="spellEnd"/>
                <w:r>
                  <w:t>).</w:t>
                </w:r>
              </w:p>
            </w:tc>
          </w:tr>
          <w:tr w:rsidR="009B75D3" w14:paraId="0F1A404B" w14:textId="77777777" w:rsidTr="009B75D3">
            <w:tc>
              <w:tcPr>
                <w:tcW w:w="4388" w:type="dxa"/>
              </w:tcPr>
              <w:p w14:paraId="3D9AA346" w14:textId="5293C4B5" w:rsidR="009B75D3" w:rsidRDefault="009B75D3" w:rsidP="00852C72">
                <w:pPr>
                  <w:pStyle w:val="licencjat"/>
                  <w:ind w:firstLine="0"/>
                </w:pPr>
                <w:proofErr w:type="spellStart"/>
                <w:r w:rsidRPr="009B75D3">
                  <w:t>serum_creatinine</w:t>
                </w:r>
                <w:proofErr w:type="spellEnd"/>
              </w:p>
            </w:tc>
            <w:tc>
              <w:tcPr>
                <w:tcW w:w="4389" w:type="dxa"/>
              </w:tcPr>
              <w:p w14:paraId="70768D5E" w14:textId="3A510584" w:rsidR="009B75D3" w:rsidRDefault="000F5D6C" w:rsidP="00852C72">
                <w:pPr>
                  <w:pStyle w:val="licencjat"/>
                  <w:ind w:firstLine="0"/>
                </w:pPr>
                <w:r>
                  <w:t>Poziom kreatyniny w surowicy krwi (mg/</w:t>
                </w:r>
                <w:proofErr w:type="spellStart"/>
                <w:r>
                  <w:t>dL</w:t>
                </w:r>
                <w:proofErr w:type="spellEnd"/>
                <w:r>
                  <w:t>).</w:t>
                </w:r>
              </w:p>
            </w:tc>
          </w:tr>
          <w:tr w:rsidR="009B75D3" w14:paraId="05B05D86" w14:textId="77777777" w:rsidTr="009B75D3">
            <w:tc>
              <w:tcPr>
                <w:tcW w:w="4388" w:type="dxa"/>
              </w:tcPr>
              <w:p w14:paraId="147EF389" w14:textId="14043B7F" w:rsidR="009B75D3" w:rsidRDefault="009B75D3" w:rsidP="00852C72">
                <w:pPr>
                  <w:pStyle w:val="licencjat"/>
                  <w:ind w:firstLine="0"/>
                </w:pPr>
                <w:proofErr w:type="spellStart"/>
                <w:r w:rsidRPr="009B75D3">
                  <w:t>serum_sodium</w:t>
                </w:r>
                <w:proofErr w:type="spellEnd"/>
              </w:p>
            </w:tc>
            <w:tc>
              <w:tcPr>
                <w:tcW w:w="4389" w:type="dxa"/>
              </w:tcPr>
              <w:p w14:paraId="6551943A" w14:textId="514D757D" w:rsidR="009B75D3" w:rsidRDefault="000F5D6C" w:rsidP="00852C72">
                <w:pPr>
                  <w:pStyle w:val="licencjat"/>
                  <w:ind w:firstLine="0"/>
                </w:pPr>
                <w:r>
                  <w:t>Poziom sodu we krwi (</w:t>
                </w:r>
                <w:proofErr w:type="spellStart"/>
                <w:r>
                  <w:t>mEq</w:t>
                </w:r>
                <w:proofErr w:type="spellEnd"/>
                <w:r>
                  <w:t>/L).</w:t>
                </w:r>
              </w:p>
            </w:tc>
          </w:tr>
          <w:tr w:rsidR="009B75D3" w14:paraId="0CCB1579" w14:textId="77777777" w:rsidTr="009B75D3">
            <w:tc>
              <w:tcPr>
                <w:tcW w:w="4388" w:type="dxa"/>
              </w:tcPr>
              <w:p w14:paraId="2970E5B1" w14:textId="310C4F29" w:rsidR="009B75D3" w:rsidRDefault="00062808" w:rsidP="00852C72">
                <w:pPr>
                  <w:pStyle w:val="licencjat"/>
                  <w:ind w:firstLine="0"/>
                </w:pPr>
                <w:r w:rsidRPr="009B75D3">
                  <w:t>S</w:t>
                </w:r>
                <w:r w:rsidR="009B75D3" w:rsidRPr="009B75D3">
                  <w:t>ex</w:t>
                </w:r>
              </w:p>
            </w:tc>
            <w:tc>
              <w:tcPr>
                <w:tcW w:w="4389" w:type="dxa"/>
              </w:tcPr>
              <w:p w14:paraId="6B2886DF" w14:textId="2C9288E8" w:rsidR="009B75D3" w:rsidRDefault="000F5D6C" w:rsidP="00852C72">
                <w:pPr>
                  <w:pStyle w:val="licencjat"/>
                  <w:ind w:firstLine="0"/>
                </w:pPr>
                <w:r>
                  <w:t>Płeć (kobieta – 0, mężczyzna – 1).</w:t>
                </w:r>
              </w:p>
            </w:tc>
          </w:tr>
          <w:tr w:rsidR="009B75D3" w14:paraId="58F076F8" w14:textId="77777777" w:rsidTr="009B75D3">
            <w:tc>
              <w:tcPr>
                <w:tcW w:w="4388" w:type="dxa"/>
              </w:tcPr>
              <w:p w14:paraId="678B716D" w14:textId="4C2AD1B1" w:rsidR="009B75D3" w:rsidRDefault="00062808" w:rsidP="00852C72">
                <w:pPr>
                  <w:pStyle w:val="licencjat"/>
                  <w:ind w:firstLine="0"/>
                </w:pPr>
                <w:r w:rsidRPr="009B75D3">
                  <w:t>S</w:t>
                </w:r>
                <w:r w:rsidR="009B75D3" w:rsidRPr="009B75D3">
                  <w:t>moking</w:t>
                </w:r>
              </w:p>
            </w:tc>
            <w:tc>
              <w:tcPr>
                <w:tcW w:w="4389" w:type="dxa"/>
              </w:tcPr>
              <w:p w14:paraId="6B8B455A" w14:textId="50BFCE71" w:rsidR="009B75D3" w:rsidRDefault="000F5D6C" w:rsidP="00852C72">
                <w:pPr>
                  <w:pStyle w:val="licencjat"/>
                  <w:ind w:firstLine="0"/>
                </w:pPr>
                <w:r>
                  <w:t>Pacjent pali (0 – nie, 1 – tak).</w:t>
                </w:r>
              </w:p>
            </w:tc>
          </w:tr>
          <w:tr w:rsidR="009B75D3" w14:paraId="30FD18EF" w14:textId="77777777" w:rsidTr="009B75D3">
            <w:tc>
              <w:tcPr>
                <w:tcW w:w="4388" w:type="dxa"/>
              </w:tcPr>
              <w:p w14:paraId="3B5C3CF0" w14:textId="2CD849BB" w:rsidR="009B75D3" w:rsidRDefault="00062808" w:rsidP="00852C72">
                <w:pPr>
                  <w:pStyle w:val="licencjat"/>
                  <w:ind w:firstLine="0"/>
                </w:pPr>
                <w:r w:rsidRPr="009B75D3">
                  <w:t>T</w:t>
                </w:r>
                <w:r w:rsidR="009B75D3" w:rsidRPr="009B75D3">
                  <w:t>ime</w:t>
                </w:r>
              </w:p>
            </w:tc>
            <w:tc>
              <w:tcPr>
                <w:tcW w:w="4389" w:type="dxa"/>
              </w:tcPr>
              <w:p w14:paraId="5C9A92C3" w14:textId="4D676FE6" w:rsidR="009B75D3" w:rsidRDefault="000F5D6C" w:rsidP="00852C72">
                <w:pPr>
                  <w:pStyle w:val="licencjat"/>
                  <w:ind w:firstLine="0"/>
                </w:pPr>
                <w:r>
                  <w:t>Czas śmierci lub końca obserwacji pacjenta (w dniach od rozpoczęcia obserwacji).</w:t>
                </w:r>
              </w:p>
            </w:tc>
          </w:tr>
          <w:tr w:rsidR="009B75D3" w14:paraId="0F538288" w14:textId="77777777" w:rsidTr="009B75D3">
            <w:tc>
              <w:tcPr>
                <w:tcW w:w="4388" w:type="dxa"/>
              </w:tcPr>
              <w:p w14:paraId="300910F0" w14:textId="69E917DF" w:rsidR="009B75D3" w:rsidRDefault="009B75D3" w:rsidP="00852C72">
                <w:pPr>
                  <w:pStyle w:val="licencjat"/>
                  <w:ind w:firstLine="0"/>
                </w:pPr>
                <w:r w:rsidRPr="009B75D3">
                  <w:t>DEATH_EVENT</w:t>
                </w:r>
              </w:p>
            </w:tc>
            <w:tc>
              <w:tcPr>
                <w:tcW w:w="4389" w:type="dxa"/>
              </w:tcPr>
              <w:p w14:paraId="66DB8A3F" w14:textId="70D7573B" w:rsidR="009B75D3" w:rsidRDefault="000F5D6C" w:rsidP="00852C72">
                <w:pPr>
                  <w:pStyle w:val="licencjat"/>
                  <w:ind w:firstLine="0"/>
                </w:pPr>
                <w:r>
                  <w:t>Pacjent zmarł w czasie obserwacji (0 – nie, 1- tak).</w:t>
                </w:r>
              </w:p>
            </w:tc>
          </w:tr>
        </w:tbl>
        <w:p w14:paraId="0A9BA69F" w14:textId="17169F0A" w:rsidR="00852C72" w:rsidRDefault="00852C72" w:rsidP="000F5D6C">
          <w:pPr>
            <w:pStyle w:val="licencjat"/>
            <w:ind w:firstLine="0"/>
          </w:pPr>
        </w:p>
        <w:p w14:paraId="1053E979" w14:textId="3721793A" w:rsidR="00852C72" w:rsidRDefault="000F5D6C" w:rsidP="00107EEE">
          <w:pPr>
            <w:pStyle w:val="licencjat"/>
            <w:ind w:firstLine="0"/>
          </w:pPr>
          <w:r>
            <w:t xml:space="preserve">Zmienna DEATH_EVENT będzie służyć do określenia realizacji badanego wydarzenia (śmierci pacjenta) w czasie </w:t>
          </w:r>
          <w:proofErr w:type="spellStart"/>
          <w:r>
            <w:t>time</w:t>
          </w:r>
          <w:proofErr w:type="spellEnd"/>
          <w:r>
            <w:t xml:space="preserve"> (w przypadku DEATH_EVENT = 1) lub do cenzurowania obserwacji w czasie </w:t>
          </w:r>
          <w:proofErr w:type="spellStart"/>
          <w:r>
            <w:t>time</w:t>
          </w:r>
          <w:proofErr w:type="spellEnd"/>
          <w:r>
            <w:t xml:space="preserve"> (w przypadku DEATH_EVENT = 0).</w:t>
          </w:r>
          <w:r w:rsidR="00C36ED5">
            <w:t xml:space="preserve"> Pozostałe zmienne będą </w:t>
          </w:r>
          <w:r w:rsidR="00C36ED5">
            <w:lastRenderedPageBreak/>
            <w:t>zmiennymi objaśniającymi – rozkład wybranych (najistotniejszych) zmiennych objaśnianych zostanie dokładniej opisany w dalszej części pracy.</w:t>
          </w:r>
        </w:p>
        <w:p w14:paraId="2AA7C2A1" w14:textId="4F296AE2" w:rsidR="005C1318" w:rsidRPr="005C1318" w:rsidRDefault="005C1318" w:rsidP="00665486">
          <w:pPr>
            <w:pStyle w:val="licencjat"/>
            <w:numPr>
              <w:ilvl w:val="0"/>
              <w:numId w:val="37"/>
            </w:numPr>
            <w:rPr>
              <w:b/>
              <w:bCs/>
            </w:rPr>
          </w:pPr>
          <w:r>
            <w:rPr>
              <w:b/>
              <w:bCs/>
            </w:rPr>
            <w:t>Eksploracja danych</w:t>
          </w:r>
        </w:p>
        <w:p w14:paraId="1A346AC8" w14:textId="00914E00" w:rsidR="00107EEE" w:rsidRDefault="00107EEE" w:rsidP="00107EEE">
          <w:pPr>
            <w:pStyle w:val="licencjat"/>
            <w:ind w:firstLine="0"/>
          </w:pPr>
          <w:r>
            <w:t>Pierwsze i ostatnie obserwacji zbioru danych prezentują się następująco:</w:t>
          </w:r>
        </w:p>
        <w:p w14:paraId="3F414E36" w14:textId="6A41E635" w:rsidR="00107EEE" w:rsidRDefault="00107EEE" w:rsidP="00107EEE">
          <w:pPr>
            <w:pStyle w:val="licencjat"/>
            <w:ind w:firstLine="0"/>
          </w:pPr>
          <w:r>
            <w:rPr>
              <w:noProof/>
            </w:rPr>
            <w:drawing>
              <wp:inline distT="0" distB="0" distL="0" distR="0" wp14:anchorId="2F3D6D07" wp14:editId="75D63E50">
                <wp:extent cx="5812146" cy="17468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4961" cy="1753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296CCC" w14:textId="1BAE1CC5" w:rsidR="00107EEE" w:rsidRDefault="00107EEE" w:rsidP="00107EEE">
          <w:pPr>
            <w:pStyle w:val="licencjat"/>
            <w:ind w:firstLine="0"/>
          </w:pPr>
          <w:r>
            <w:t>Statystyki opisowe wszystkich zmiennych:</w:t>
          </w:r>
        </w:p>
        <w:p w14:paraId="0192815F" w14:textId="6E553F47" w:rsidR="00107EEE" w:rsidRDefault="00107EEE" w:rsidP="00107EEE">
          <w:pPr>
            <w:pStyle w:val="licencjat"/>
            <w:ind w:firstLine="0"/>
          </w:pPr>
          <w:r>
            <w:rPr>
              <w:noProof/>
            </w:rPr>
            <w:drawing>
              <wp:inline distT="0" distB="0" distL="0" distR="0" wp14:anchorId="276E97B3" wp14:editId="4543C5C3">
                <wp:extent cx="5579745" cy="1129030"/>
                <wp:effectExtent l="0" t="0" r="190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129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696CEB" w14:textId="397F1B93" w:rsidR="00107EEE" w:rsidRDefault="00062808" w:rsidP="00107EEE">
          <w:pPr>
            <w:pStyle w:val="licencjat"/>
            <w:ind w:firstLine="0"/>
          </w:pPr>
          <w:r>
            <w:t>o</w:t>
          </w:r>
          <w:r w:rsidR="00107EEE">
            <w:t>raz rozkład zmiennej binarnej DEATH_EVENT:</w:t>
          </w:r>
        </w:p>
        <w:p w14:paraId="01943E1B" w14:textId="00EFF7C5" w:rsidR="00107EEE" w:rsidRPr="00107EEE" w:rsidRDefault="00107EEE" w:rsidP="00107EEE">
          <w:pPr>
            <w:pStyle w:val="licencjat"/>
            <w:ind w:firstLine="0"/>
          </w:pPr>
          <w:r>
            <w:rPr>
              <w:noProof/>
            </w:rPr>
            <w:drawing>
              <wp:inline distT="0" distB="0" distL="0" distR="0" wp14:anchorId="11010175" wp14:editId="11B05319">
                <wp:extent cx="4000500" cy="3078770"/>
                <wp:effectExtent l="0" t="0" r="0" b="762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494" cy="3131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46BF3E" w14:textId="63166DC1" w:rsidR="00B170AD" w:rsidRDefault="00107EEE" w:rsidP="00107EEE">
          <w:pPr>
            <w:pStyle w:val="licencjat"/>
            <w:ind w:firstLine="0"/>
          </w:pPr>
          <w:r>
            <w:t>Zbiór składa się z 299 obserwacji, w tym 96 obserwacji</w:t>
          </w:r>
          <w:r w:rsidR="005422E9">
            <w:t xml:space="preserve"> śmierci pacjenta oraz 203 obserwacji cenzurowanych. Średnia wieku pacjentów </w:t>
          </w:r>
          <w:r w:rsidR="00062808">
            <w:t xml:space="preserve">to </w:t>
          </w:r>
          <w:r w:rsidR="005422E9">
            <w:t xml:space="preserve">60,8 lat, </w:t>
          </w:r>
          <w:proofErr w:type="gramStart"/>
          <w:r w:rsidR="005422E9">
            <w:t>ze</w:t>
          </w:r>
          <w:proofErr w:type="gramEnd"/>
          <w:r w:rsidR="005422E9">
            <w:t xml:space="preserve"> średnim odchyleniem równym 11,9 lat. Mediana wieku pacjentów wynosi 60 lat, najmłodszy obserwowany pacjent miał 40 lat, </w:t>
          </w:r>
          <w:r w:rsidR="005422E9">
            <w:lastRenderedPageBreak/>
            <w:t>a najstarszy 95.</w:t>
          </w:r>
          <w:r w:rsidR="00B170AD">
            <w:t xml:space="preserve"> Rozkład wieku pacjentów nie jest rozkładem normalnym, co zostało zbadane testem </w:t>
          </w:r>
          <w:proofErr w:type="spellStart"/>
          <w:r w:rsidR="00B170AD">
            <w:t>Jarque</w:t>
          </w:r>
          <w:proofErr w:type="spellEnd"/>
          <w:r w:rsidR="00B170AD">
            <w:t>-Bera</w:t>
          </w:r>
          <w:r w:rsidR="00062808">
            <w:t xml:space="preserve">. Rozkład ten charakteryzuje się prawostronną </w:t>
          </w:r>
          <w:r w:rsidR="00B170AD">
            <w:t>asymetr</w:t>
          </w:r>
          <w:r w:rsidR="00062808">
            <w:t>ią.</w:t>
          </w:r>
        </w:p>
        <w:p w14:paraId="2D5874FE" w14:textId="6ADD6CCA" w:rsidR="00B170AD" w:rsidRDefault="00B170AD" w:rsidP="00107EEE">
          <w:pPr>
            <w:pStyle w:val="licencjat"/>
            <w:ind w:firstLine="0"/>
          </w:pPr>
          <w:r>
            <w:rPr>
              <w:noProof/>
            </w:rPr>
            <w:drawing>
              <wp:inline distT="0" distB="0" distL="0" distR="0" wp14:anchorId="4F828988" wp14:editId="7C9F1146">
                <wp:extent cx="4400481" cy="2638425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1157" cy="2662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A36064" w14:textId="032A40D9" w:rsidR="005C1318" w:rsidRDefault="00C46636" w:rsidP="00107EEE">
          <w:pPr>
            <w:pStyle w:val="licencjat"/>
            <w:ind w:firstLine="0"/>
          </w:pPr>
          <w:r>
            <w:t xml:space="preserve">Następnie zbadana została korelacja zmiennych objaśniających ze zmienną DEATH_EVENT, aby zlokalizować prawdopodobne </w:t>
          </w:r>
          <w:proofErr w:type="spellStart"/>
          <w:r>
            <w:t>predyktory</w:t>
          </w:r>
          <w:proofErr w:type="spellEnd"/>
          <w:r>
            <w:t xml:space="preserve"> zmienne objaśnianej.</w:t>
          </w:r>
        </w:p>
        <w:p w14:paraId="07068786" w14:textId="6D673072" w:rsidR="00C46636" w:rsidRDefault="00C46636" w:rsidP="00107EEE">
          <w:pPr>
            <w:pStyle w:val="licencjat"/>
            <w:ind w:firstLine="0"/>
          </w:pPr>
          <w:r>
            <w:rPr>
              <w:noProof/>
            </w:rPr>
            <w:drawing>
              <wp:inline distT="0" distB="0" distL="0" distR="0" wp14:anchorId="7F0FD2CF" wp14:editId="682354AC">
                <wp:extent cx="2943544" cy="2419350"/>
                <wp:effectExtent l="0" t="0" r="9525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6059" cy="2446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BA810C" w14:textId="78E452DA" w:rsidR="00C46636" w:rsidRDefault="00C46636" w:rsidP="00107EEE">
          <w:pPr>
            <w:pStyle w:val="licencjat"/>
            <w:ind w:firstLine="0"/>
          </w:pPr>
          <w:r>
            <w:t xml:space="preserve">Wartości współczynniku korelacji Pearsona wskazują na to, że największą moc predykcyjną mogą mieć zmienne wiek, kreatynina we krwi, </w:t>
          </w:r>
          <w:r w:rsidR="005522F7">
            <w:t>frakcja wyrzutowa, oraz czas końca obserwacji (który z natury będzie brany pod uwagę w przypadku analizy przeżycia). Należy jednak wziąć pod uwagę, że są to jedynie zmienne podejrzane o wpływ, ponieważ korelacja niekoniecznie oznacza przycz</w:t>
          </w:r>
          <w:r w:rsidR="000524C5">
            <w:t>y</w:t>
          </w:r>
          <w:r w:rsidR="005522F7">
            <w:t>nowość.</w:t>
          </w:r>
        </w:p>
        <w:p w14:paraId="33247BCF" w14:textId="0E927C90" w:rsidR="00E31853" w:rsidRDefault="00490C44" w:rsidP="00107EEE">
          <w:pPr>
            <w:pStyle w:val="licencjat"/>
            <w:ind w:firstLine="0"/>
          </w:pPr>
        </w:p>
      </w:sdtContent>
    </w:sdt>
    <w:p w14:paraId="7699D795" w14:textId="271E49AB" w:rsidR="00B170AD" w:rsidRDefault="00E31853" w:rsidP="00107EEE">
      <w:pPr>
        <w:pStyle w:val="licencjat"/>
        <w:ind w:firstLine="0"/>
        <w:rPr>
          <w:noProof/>
        </w:rPr>
      </w:pPr>
      <w:r w:rsidRPr="00E3185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AEFC235" wp14:editId="3FFDD99E">
            <wp:extent cx="4629150" cy="554054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242" cy="55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4A07" w14:textId="77777777" w:rsidR="00E31853" w:rsidRDefault="00E31853" w:rsidP="00107EEE">
      <w:pPr>
        <w:pStyle w:val="licencjat"/>
        <w:ind w:firstLine="0"/>
        <w:rPr>
          <w:noProof/>
        </w:rPr>
      </w:pPr>
      <w:r>
        <w:rPr>
          <w:noProof/>
        </w:rPr>
        <w:t>Przedstawiony powyżej wykres pudełkowy opisuje rozkład frakcji wyrzutowej w zależności od płci oraz tego czy pacjent ma zbyt wysokie ciśnienie krwi. Frakcja wyrzutowa zarówno wśród mężczyzn jak i wśród kobiet ma zbliżoną medianę oscylującą około 35-40 punktów procentowych. Rozkład frakcji wyrzutowej jest jednak bardzo rozciągnięty jedynie dla mężczyzn o niepodwyższonym ciśnieniu krwi, występuje zatem wiele obserwacji odstających – które potencjalnie znacznie częściej zakończyły badanie przed śmiercią pacjenta.</w:t>
      </w:r>
    </w:p>
    <w:p w14:paraId="4FFCF080" w14:textId="7A7E7415" w:rsidR="00E31853" w:rsidRDefault="00E31853" w:rsidP="00107EEE">
      <w:pPr>
        <w:pStyle w:val="licencjat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8F599F6" wp14:editId="7742F8A4">
            <wp:extent cx="4810125" cy="57178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0793" cy="57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0385239" w14:textId="7FE1CD5E" w:rsidR="00E31853" w:rsidRDefault="00E31853" w:rsidP="00107EEE">
      <w:pPr>
        <w:pStyle w:val="licencjat"/>
        <w:ind w:firstLine="0"/>
      </w:pPr>
      <w:r>
        <w:t>Kolejny wykres pudełkowy także opisuje frakcje wyrzutową, tylko w poróżnieniu poprzez płeć oraz to czy pacjent zmarł czy nie przed końcem obserwacji. Zarówno kobiety jak i mężczyźni, które umarły przed końcem obserwacji, miały mniejszą frakcję wyrzutową o około 5 i 8 punktów procentowych</w:t>
      </w:r>
      <w:r w:rsidR="0050057C">
        <w:t xml:space="preserve"> oraz bardziej rozciągnięty względem mediany rozkład z większ</w:t>
      </w:r>
      <w:r w:rsidR="00665486">
        <w:t>ą</w:t>
      </w:r>
      <w:r w:rsidR="0050057C">
        <w:t xml:space="preserve"> liczbą obserwacji odstających</w:t>
      </w:r>
      <w:r>
        <w:t xml:space="preserve">, od </w:t>
      </w:r>
      <w:proofErr w:type="gramStart"/>
      <w:r>
        <w:t>pacjentów</w:t>
      </w:r>
      <w:proofErr w:type="gramEnd"/>
      <w:r>
        <w:t xml:space="preserve"> którzy przeżyli do końca trwania obserwacji.</w:t>
      </w:r>
    </w:p>
    <w:p w14:paraId="1490841D" w14:textId="7DC873F6" w:rsidR="00665486" w:rsidRDefault="00665486" w:rsidP="00107EEE">
      <w:pPr>
        <w:pStyle w:val="licencjat"/>
        <w:ind w:firstLine="0"/>
      </w:pPr>
      <w:r>
        <w:t xml:space="preserve">Opisane poniżej statystyki opisowe dotyczą zmiennej wiek, w podziale na pacjentów, którzy zmarli przed końcem obserwacji oraz tych, którzy przeżyli. Pacjenci, którzy zmarli mieli średnio 65 lat (ze zbliżoną medianą) z odchyleniem standardowym około 13,2 lat, podczas gdy pacjenci, którzy przeżyli do końca obserwacji mieli średnio około 58,7 lat (mediana 60 lat) z odchyleniem standardowym około 10 lat. Wiek nie wydaje się silnym </w:t>
      </w:r>
      <w:proofErr w:type="spellStart"/>
      <w:r>
        <w:t>predyktorem</w:t>
      </w:r>
      <w:proofErr w:type="spellEnd"/>
      <w:r>
        <w:t xml:space="preserve"> zmiennej objaśnianej, jednak zdaje się zmniejszać szansę na przeżycie do pewnego stopnia.</w:t>
      </w:r>
    </w:p>
    <w:p w14:paraId="0E158E05" w14:textId="39D6B7B6" w:rsidR="00665486" w:rsidRDefault="00665486" w:rsidP="00107EEE">
      <w:pPr>
        <w:pStyle w:val="licencjat"/>
        <w:ind w:firstLine="0"/>
      </w:pPr>
      <w:r>
        <w:lastRenderedPageBreak/>
        <w:t>Poniżej kolejno statystyki opisowej oraz histogramy rozkładów pacjentów, którzy przeżyli oraz zmarłych.</w:t>
      </w:r>
    </w:p>
    <w:p w14:paraId="0255E7E1" w14:textId="2D4269D0" w:rsidR="00665486" w:rsidRDefault="00665486" w:rsidP="00107EEE">
      <w:pPr>
        <w:pStyle w:val="licencjat"/>
        <w:ind w:firstLine="0"/>
      </w:pPr>
      <w:r>
        <w:rPr>
          <w:noProof/>
        </w:rPr>
        <w:drawing>
          <wp:inline distT="0" distB="0" distL="0" distR="0" wp14:anchorId="354C4807" wp14:editId="252F93B6">
            <wp:extent cx="1689100" cy="1234954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891" cy="1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08FB" w14:textId="6BE5D51A" w:rsidR="00665486" w:rsidRDefault="00665486" w:rsidP="00107EEE">
      <w:pPr>
        <w:pStyle w:val="licencjat"/>
        <w:ind w:firstLine="0"/>
      </w:pPr>
      <w:r>
        <w:rPr>
          <w:noProof/>
        </w:rPr>
        <w:drawing>
          <wp:inline distT="0" distB="0" distL="0" distR="0" wp14:anchorId="6B2D3F14" wp14:editId="0B6119EB">
            <wp:extent cx="1670050" cy="128091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4888" cy="12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4E0" w14:textId="0DA8E343" w:rsidR="00665486" w:rsidRDefault="00665486" w:rsidP="00107EEE">
      <w:pPr>
        <w:pStyle w:val="licencjat"/>
        <w:ind w:firstLine="0"/>
      </w:pPr>
      <w:r>
        <w:rPr>
          <w:noProof/>
        </w:rPr>
        <w:drawing>
          <wp:inline distT="0" distB="0" distL="0" distR="0" wp14:anchorId="30BBF472" wp14:editId="585D10CF">
            <wp:extent cx="5810250" cy="201675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3893" cy="20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934" w14:textId="7281A444" w:rsidR="00665486" w:rsidRDefault="008F06A6" w:rsidP="00665486">
      <w:pPr>
        <w:pStyle w:val="licencjat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E</w:t>
      </w:r>
      <w:r w:rsidR="00665486" w:rsidRPr="00665486">
        <w:rPr>
          <w:b/>
          <w:bCs/>
        </w:rPr>
        <w:t xml:space="preserve">stymator </w:t>
      </w:r>
      <w:proofErr w:type="spellStart"/>
      <w:r w:rsidR="00665486" w:rsidRPr="00665486">
        <w:rPr>
          <w:b/>
          <w:bCs/>
        </w:rPr>
        <w:t>Kaplana-Mei</w:t>
      </w:r>
      <w:r>
        <w:rPr>
          <w:b/>
          <w:bCs/>
        </w:rPr>
        <w:t>e</w:t>
      </w:r>
      <w:r w:rsidR="00665486" w:rsidRPr="00665486">
        <w:rPr>
          <w:b/>
          <w:bCs/>
        </w:rPr>
        <w:t>ra</w:t>
      </w:r>
      <w:proofErr w:type="spellEnd"/>
    </w:p>
    <w:p w14:paraId="13CAB4DE" w14:textId="005E711F" w:rsidR="00BD580A" w:rsidRDefault="00BD580A" w:rsidP="00BD580A">
      <w:pPr>
        <w:pStyle w:val="licencjat"/>
        <w:ind w:left="360" w:firstLine="0"/>
      </w:pPr>
      <w:r>
        <w:t xml:space="preserve">Za pomocą estymatora </w:t>
      </w:r>
      <w:proofErr w:type="spellStart"/>
      <w:r>
        <w:t>Kaplana-Meira</w:t>
      </w:r>
      <w:proofErr w:type="spellEnd"/>
      <w:r>
        <w:t xml:space="preserve">, korzystając ze </w:t>
      </w:r>
      <w:proofErr w:type="spellStart"/>
      <w:r>
        <w:t>wzroru</w:t>
      </w:r>
      <w:proofErr w:type="spellEnd"/>
      <w:r>
        <w:t>:</w:t>
      </w:r>
    </w:p>
    <w:p w14:paraId="08A9FCA4" w14:textId="3E48DE7C" w:rsidR="00BD580A" w:rsidRDefault="00BD580A" w:rsidP="00BD580A">
      <w:pPr>
        <w:pStyle w:val="BodyTextFirstIndent2"/>
        <w:tabs>
          <w:tab w:val="center" w:pos="4394"/>
          <w:tab w:val="right" w:pos="8789"/>
        </w:tabs>
        <w:ind w:left="0" w:firstLine="0"/>
        <w:rPr>
          <w:rStyle w:val="licencjatZnak"/>
          <w:iCs/>
        </w:rPr>
      </w:pPr>
      <w:r>
        <w:tab/>
      </w:r>
      <m:oMath>
        <m: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  ...  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,</w:t>
      </w:r>
      <w:r>
        <w:rPr>
          <w:i/>
        </w:rPr>
        <w:tab/>
      </w:r>
    </w:p>
    <w:p w14:paraId="183E355D" w14:textId="511DD38A" w:rsidR="00BD580A" w:rsidRDefault="00BD580A" w:rsidP="00BD580A">
      <w:pPr>
        <w:pStyle w:val="BodyTextFirstIndent2"/>
        <w:tabs>
          <w:tab w:val="center" w:pos="4394"/>
          <w:tab w:val="right" w:pos="8789"/>
        </w:tabs>
        <w:ind w:left="0" w:firstLine="0"/>
        <w:rPr>
          <w:rStyle w:val="licencjatZnak"/>
          <w:iCs/>
        </w:rPr>
      </w:pPr>
      <w:r>
        <w:rPr>
          <w:rStyle w:val="licencjatZnak"/>
          <w:iCs/>
        </w:rPr>
        <w:t>gdzie</w:t>
      </w:r>
    </w:p>
    <w:p w14:paraId="7704035F" w14:textId="5B0104B1" w:rsidR="00BD580A" w:rsidRDefault="00BD580A" w:rsidP="00BD580A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dla </w:t>
      </w:r>
      <m:oMath>
        <m:r>
          <w:rPr>
            <w:rFonts w:ascii="Cambria Math" w:hAnsi="Cambria Math"/>
          </w:rPr>
          <m:t>k=1,  ... , m</m:t>
        </m:r>
      </m:oMath>
      <w:r w:rsidR="00062808">
        <w:t>,</w:t>
      </w:r>
    </w:p>
    <w:p w14:paraId="2B17561F" w14:textId="2D64C171" w:rsidR="00BD580A" w:rsidRDefault="00490C44" w:rsidP="00A91912">
      <w:pPr>
        <w:pStyle w:val="licencjat"/>
        <w:ind w:firstLine="0"/>
        <w:rPr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pl-PL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pl-PL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580A">
        <w:rPr>
          <w:i/>
        </w:rPr>
        <w:t xml:space="preserve"> </w:t>
      </w:r>
      <w:r w:rsidR="00BD580A">
        <w:t>oznacza</w:t>
      </w:r>
      <w:r w:rsidR="00A91912">
        <w:t xml:space="preserve"> estymator</w:t>
      </w:r>
      <w:r w:rsidR="00BD580A">
        <w:t xml:space="preserve"> prawdopodobieństw</w:t>
      </w:r>
      <w:r w:rsidR="00A91912">
        <w:t>a</w:t>
      </w:r>
      <w:r w:rsidR="00BD580A">
        <w:t xml:space="preserve"> warunkowe</w:t>
      </w:r>
      <w:r w:rsidR="00A91912">
        <w:t>go w</w:t>
      </w:r>
      <w:r w:rsidR="00BD580A">
        <w:t xml:space="preserve"> przedzia</w:t>
      </w:r>
      <w:r w:rsidR="00A91912">
        <w:t>le</w:t>
      </w:r>
      <w:r w:rsidR="00BD580A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A91912">
        <w:t>, pod warunkiem, że jednostka przetrwała wszystkie poprzednie przedziały</w:t>
      </w:r>
      <w:r w:rsidR="00304E1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04E1D">
        <w:rPr>
          <w:rFonts w:eastAsiaTheme="minorEastAsia"/>
        </w:rPr>
        <w:t xml:space="preserve"> to ilość obserwacji, które dotrwały do momentu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04E1D">
        <w:rPr>
          <w:rFonts w:eastAsiaTheme="minorEastAsia"/>
        </w:rPr>
        <w:t xml:space="preserve">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04E1D">
        <w:rPr>
          <w:rFonts w:eastAsiaTheme="minorEastAsia"/>
        </w:rPr>
        <w:t xml:space="preserve"> to liczba zdarzeń w tym momencie.</w:t>
      </w:r>
    </w:p>
    <w:p w14:paraId="4B3BD155" w14:textId="2756F67B" w:rsidR="00A91912" w:rsidRPr="00A91912" w:rsidRDefault="00A91912" w:rsidP="00A91912">
      <w:pPr>
        <w:pStyle w:val="licencjat"/>
        <w:ind w:firstLine="0"/>
        <w:rPr>
          <w:iCs/>
        </w:rPr>
      </w:pPr>
      <w:r>
        <w:rPr>
          <w:iCs/>
        </w:rPr>
        <w:t xml:space="preserve">Estymator </w:t>
      </w:r>
      <w:proofErr w:type="spellStart"/>
      <w:r>
        <w:rPr>
          <w:iCs/>
        </w:rPr>
        <w:t>Kaplana-Meira</w:t>
      </w:r>
      <w:proofErr w:type="spellEnd"/>
      <w:r>
        <w:rPr>
          <w:iCs/>
        </w:rPr>
        <w:t xml:space="preserve"> jest estymatorem największej wiarygodności, asymptotycznie nieobciążonym, zgodny</w:t>
      </w:r>
      <w:r w:rsidR="00062808">
        <w:rPr>
          <w:iCs/>
        </w:rPr>
        <w:t>m</w:t>
      </w:r>
      <w:r>
        <w:rPr>
          <w:iCs/>
        </w:rPr>
        <w:t xml:space="preserve"> i </w:t>
      </w:r>
      <w:r w:rsidR="00062808">
        <w:rPr>
          <w:iCs/>
        </w:rPr>
        <w:t>o</w:t>
      </w:r>
      <w:r>
        <w:rPr>
          <w:iCs/>
        </w:rPr>
        <w:t xml:space="preserve"> rozkład</w:t>
      </w:r>
      <w:r w:rsidR="00062808">
        <w:rPr>
          <w:iCs/>
        </w:rPr>
        <w:t>zie</w:t>
      </w:r>
      <w:r>
        <w:rPr>
          <w:iCs/>
        </w:rPr>
        <w:t xml:space="preserve"> asymptotycznie normalny</w:t>
      </w:r>
      <w:r w:rsidR="00062808">
        <w:rPr>
          <w:iCs/>
        </w:rPr>
        <w:t>m</w:t>
      </w:r>
      <w:r>
        <w:rPr>
          <w:iCs/>
        </w:rPr>
        <w:t>.</w:t>
      </w:r>
    </w:p>
    <w:p w14:paraId="646EF397" w14:textId="468D50A2" w:rsidR="00A91912" w:rsidRPr="00A91912" w:rsidRDefault="00A91912" w:rsidP="00A91912">
      <w:pPr>
        <w:pStyle w:val="licencjat"/>
        <w:ind w:firstLine="0"/>
        <w:rPr>
          <w:rStyle w:val="licencjatZnak"/>
          <w:iCs/>
        </w:rPr>
      </w:pPr>
      <w:r>
        <w:rPr>
          <w:noProof/>
        </w:rPr>
        <w:lastRenderedPageBreak/>
        <w:drawing>
          <wp:inline distT="0" distB="0" distL="0" distR="0" wp14:anchorId="365B23CE" wp14:editId="6852D438">
            <wp:extent cx="5545777" cy="369466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282" cy="37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DC61" w14:textId="77777777" w:rsidR="00BD580A" w:rsidRPr="008D39C9" w:rsidRDefault="00BD580A" w:rsidP="00BD580A">
      <w:pPr>
        <w:pStyle w:val="BodyTextFirstIndent2"/>
        <w:tabs>
          <w:tab w:val="center" w:pos="4394"/>
          <w:tab w:val="right" w:pos="8789"/>
        </w:tabs>
        <w:ind w:left="0" w:firstLine="0"/>
        <w:rPr>
          <w:rStyle w:val="licencjatZnak"/>
          <w:i/>
        </w:rPr>
      </w:pPr>
    </w:p>
    <w:p w14:paraId="58C7D424" w14:textId="57ABEE4C" w:rsidR="00BD580A" w:rsidRDefault="00A91912" w:rsidP="00BD580A">
      <w:pPr>
        <w:pStyle w:val="licencjat"/>
        <w:ind w:left="360" w:firstLine="0"/>
      </w:pPr>
      <w:r>
        <w:t xml:space="preserve">Powyższa krzywa oszacowana została dla zmiennej czasu obserwacji śmierci pacjenta bądź cenzurowania, oraz samego zdarzenia, wraz z przedziałami ufności 95% liczonymi metodą log-log. Z krzywej wynika, że prawdopodobieństwo przeżycia znacznie malej wraz z czasem obserwacji jednostki. Na początku prawdopodobieństwo maleje najszybciej, potem przy wartości około </w:t>
      </w:r>
      <w:r w:rsidR="00304E1D">
        <w:t>0.85 zwalnia, ale wciąż dosyć szybko maleje z podobną dynamiką aż do około 200 dnia obserwacji pacjenta, kiedy jego szansa na przeżycie maleje o około 4-5 punktów procentowych prze kolejne 85 dni.</w:t>
      </w:r>
    </w:p>
    <w:p w14:paraId="79E1B372" w14:textId="2C920694" w:rsidR="00304E1D" w:rsidRDefault="00304E1D" w:rsidP="00BD580A">
      <w:pPr>
        <w:pStyle w:val="licencjat"/>
        <w:ind w:left="360" w:firstLine="0"/>
      </w:pPr>
      <w:r>
        <w:rPr>
          <w:noProof/>
        </w:rPr>
        <w:drawing>
          <wp:inline distT="0" distB="0" distL="0" distR="0" wp14:anchorId="098DD99B" wp14:editId="78428FC2">
            <wp:extent cx="4432300" cy="3022458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4795" cy="30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A000" w14:textId="76FDB680" w:rsidR="008F06A6" w:rsidRPr="008F06A6" w:rsidRDefault="008F06A6" w:rsidP="008F06A6">
      <w:pPr>
        <w:pStyle w:val="licencjat"/>
        <w:numPr>
          <w:ilvl w:val="0"/>
          <w:numId w:val="37"/>
        </w:numPr>
        <w:rPr>
          <w:b/>
          <w:bCs/>
        </w:rPr>
      </w:pPr>
      <w:r>
        <w:rPr>
          <w:b/>
          <w:bCs/>
        </w:rPr>
        <w:lastRenderedPageBreak/>
        <w:t xml:space="preserve">Różnicowanie krzywej </w:t>
      </w:r>
      <w:proofErr w:type="spellStart"/>
      <w:r>
        <w:rPr>
          <w:b/>
          <w:bCs/>
        </w:rPr>
        <w:t>Kaplana-Meiera</w:t>
      </w:r>
      <w:proofErr w:type="spellEnd"/>
    </w:p>
    <w:p w14:paraId="79133467" w14:textId="407B46F4" w:rsidR="00304E1D" w:rsidRDefault="00F1303F" w:rsidP="008F06A6">
      <w:pPr>
        <w:pStyle w:val="licencjat"/>
        <w:ind w:firstLine="0"/>
      </w:pPr>
      <w:r w:rsidRPr="008F06A6">
        <w:t>Nast</w:t>
      </w:r>
      <w:r w:rsidR="008F06A6" w:rsidRPr="008F06A6">
        <w:t xml:space="preserve">ępnym krokiem analizy </w:t>
      </w:r>
      <w:r w:rsidR="008F06A6">
        <w:t>jest różnicowanie krzywej poprzez zmienne objaśniające. Pierwszą taką zmienną jest płeć.</w:t>
      </w:r>
    </w:p>
    <w:p w14:paraId="545DC90B" w14:textId="7D66CA4C" w:rsidR="008F06A6" w:rsidRDefault="008F06A6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38BCA74C" wp14:editId="672FF6DC">
            <wp:extent cx="4171569" cy="3331029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281" cy="33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3F0" w14:textId="36226D41" w:rsidR="008F06A6" w:rsidRDefault="008F06A6" w:rsidP="008F06A6">
      <w:pPr>
        <w:pStyle w:val="licencjat"/>
        <w:ind w:firstLine="0"/>
      </w:pPr>
      <w:r>
        <w:t xml:space="preserve">W zbiorze danych jest znacznie więcej obserwacji pacjentów płci męskiej – jest i 194, a obserwacji kobiet jest 105. Bazując na obliczonych wcześniej współczynnikach korelacji </w:t>
      </w:r>
      <w:r w:rsidR="00062808">
        <w:t>P</w:t>
      </w:r>
      <w:r>
        <w:t>earsona oraz przeprowadzonej eksploracji danych, nie ma podejrzeń co do istotnego wpływu tej zmiennej na prawdopodobieństwo przeżycia, jednak jest to często różnicująca zmienna w medycynie.</w:t>
      </w:r>
    </w:p>
    <w:p w14:paraId="75EC0740" w14:textId="0705AD4F" w:rsidR="0024266E" w:rsidRDefault="0024266E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0B0454AA" wp14:editId="037EDA11">
            <wp:extent cx="4732317" cy="32690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520" cy="32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844" w14:textId="220F6255" w:rsidR="0024266E" w:rsidRDefault="0024266E" w:rsidP="008F06A6">
      <w:pPr>
        <w:pStyle w:val="licencjat"/>
        <w:ind w:firstLine="0"/>
      </w:pPr>
      <w:r>
        <w:lastRenderedPageBreak/>
        <w:t>Powyższy wykres z krzywymi potwierdza to przypuszc</w:t>
      </w:r>
      <w:r w:rsidR="00690127">
        <w:t>z</w:t>
      </w:r>
      <w:r>
        <w:t>enie.</w:t>
      </w:r>
      <w:r w:rsidR="00426E41">
        <w:t xml:space="preserve"> Następnie wykonany zostanie test </w:t>
      </w:r>
      <w:r w:rsidR="009B6526">
        <w:t>Log-</w:t>
      </w:r>
      <w:proofErr w:type="spellStart"/>
      <w:r w:rsidR="009B6526">
        <w:t>rank</w:t>
      </w:r>
      <w:proofErr w:type="spellEnd"/>
      <w:r w:rsidR="00426E41">
        <w:t xml:space="preserve"> na równość tych krzywych. Ten wariant testu został wybrany ze względu na </w:t>
      </w:r>
      <w:r w:rsidR="009B6526">
        <w:t>równe wagi dla całej funkcji trwania</w:t>
      </w:r>
      <w:r w:rsidR="00426E41">
        <w:t xml:space="preserve"> – której wartoś</w:t>
      </w:r>
      <w:r w:rsidR="009B6526">
        <w:t>ci w</w:t>
      </w:r>
      <w:r w:rsidR="00426E41">
        <w:t xml:space="preserve"> analizowanym przykładzie </w:t>
      </w:r>
      <w:r w:rsidR="009B6526">
        <w:t>wydają się być podobne dla obu grup przez cały czas trwania obserwacji.</w:t>
      </w:r>
    </w:p>
    <w:p w14:paraId="7F7B94DF" w14:textId="430B19EF" w:rsidR="00C54B51" w:rsidRDefault="00C54B51" w:rsidP="008F06A6">
      <w:pPr>
        <w:pStyle w:val="licencjat"/>
        <w:ind w:firstLine="0"/>
      </w:pPr>
    </w:p>
    <w:p w14:paraId="1BEEC775" w14:textId="2A30E59C" w:rsidR="00C54B51" w:rsidRDefault="00C54B51" w:rsidP="008F06A6">
      <w:pPr>
        <w:pStyle w:val="licencjat"/>
        <w:ind w:firstLine="0"/>
      </w:pPr>
      <w:r>
        <w:t>Hipotezy testów na równość funkcji trwania dwóch grup opisane są jako:</w:t>
      </w:r>
    </w:p>
    <w:p w14:paraId="44BDED4D" w14:textId="6A4F5654" w:rsidR="00C54B51" w:rsidRDefault="00C54B51" w:rsidP="00C54B51">
      <w:pPr>
        <w:pStyle w:val="licencjat"/>
        <w:tabs>
          <w:tab w:val="center" w:pos="4394"/>
          <w:tab w:val="right" w:pos="8789"/>
        </w:tabs>
        <w:ind w:firstLine="0"/>
        <w:jc w:val="left"/>
        <w:rPr>
          <w:color w:val="000000"/>
        </w:rPr>
      </w:pPr>
      <w:r>
        <w:rPr>
          <w:rFonts w:eastAsiaTheme="minorEastAsia"/>
          <w:color w:val="0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(t) 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(t)</m:t>
        </m:r>
      </m:oMath>
    </w:p>
    <w:p w14:paraId="09436138" w14:textId="0998AA96" w:rsidR="00426E41" w:rsidRPr="004E72E2" w:rsidRDefault="00C54B51" w:rsidP="004E72E2">
      <w:pPr>
        <w:pStyle w:val="licencjat"/>
        <w:tabs>
          <w:tab w:val="center" w:pos="4394"/>
          <w:tab w:val="right" w:pos="8789"/>
        </w:tabs>
        <w:ind w:firstLine="0"/>
        <w:jc w:val="left"/>
        <w:rPr>
          <w:color w:val="000000"/>
        </w:rPr>
      </w:pPr>
      <w:r>
        <w:rPr>
          <w:rFonts w:eastAsiaTheme="minorEastAsia"/>
          <w:color w:val="00000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(t) ≠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S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(t)</m:t>
        </m:r>
      </m:oMath>
    </w:p>
    <w:p w14:paraId="7606167E" w14:textId="4ADD1659" w:rsidR="00426E41" w:rsidRDefault="009B6526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1EAF21E3" wp14:editId="7A49BB11">
            <wp:extent cx="1873250" cy="13548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3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5185" w14:textId="787D5977" w:rsidR="00426E41" w:rsidRDefault="00426E41" w:rsidP="008F06A6">
      <w:pPr>
        <w:pStyle w:val="licencjat"/>
        <w:ind w:firstLine="0"/>
      </w:pPr>
      <w:r>
        <w:t>Test wykazał bardzo niską statystkę testową oraz wysokie p-</w:t>
      </w:r>
      <w:proofErr w:type="spellStart"/>
      <w:r>
        <w:t>value</w:t>
      </w:r>
      <w:proofErr w:type="spellEnd"/>
      <w:r>
        <w:t>, co nie daje podstaw do odrzucenia hipotezy zerowej</w:t>
      </w:r>
      <w:r w:rsidR="004E72E2">
        <w:t>,</w:t>
      </w:r>
      <w:r>
        <w:t xml:space="preserve"> mówiącej o równości </w:t>
      </w:r>
      <w:r w:rsidR="004E72E2">
        <w:t>funkcji przeżycia w danych grupach</w:t>
      </w:r>
      <w:r w:rsidR="0005226F">
        <w:t xml:space="preserve"> (ze względu na płeć)</w:t>
      </w:r>
      <w:r>
        <w:t>.</w:t>
      </w:r>
    </w:p>
    <w:p w14:paraId="462630A9" w14:textId="42258FF9" w:rsidR="0005226F" w:rsidRDefault="0005226F" w:rsidP="008F06A6">
      <w:pPr>
        <w:pStyle w:val="licencjat"/>
        <w:ind w:firstLine="0"/>
      </w:pPr>
    </w:p>
    <w:p w14:paraId="36110F5C" w14:textId="3A7137E1" w:rsidR="0005226F" w:rsidRDefault="0005226F" w:rsidP="008F06A6">
      <w:pPr>
        <w:pStyle w:val="licencjat"/>
        <w:ind w:firstLine="0"/>
      </w:pPr>
      <w:r>
        <w:t>Drugą badaną zmienną objaśniającą jest wiek</w:t>
      </w:r>
      <w:r w:rsidR="000C4EE6">
        <w:t>, której rozkład został już opisany na stronie 3 i 6</w:t>
      </w:r>
      <w:r>
        <w:t>. Funkcja przeżycia została zróżnicowana zależnie od tego czy pacjent miał mniej niż 60 lat (lub równo 60 lat), czy też więcej.</w:t>
      </w:r>
    </w:p>
    <w:p w14:paraId="50E84B2B" w14:textId="6753B87B" w:rsidR="0005226F" w:rsidRDefault="0005226F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2A15097E" wp14:editId="6C58F134">
            <wp:extent cx="4827320" cy="3376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0962" cy="34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278" w14:textId="1D9137E1" w:rsidR="0005226F" w:rsidRDefault="0005226F" w:rsidP="008F06A6">
      <w:pPr>
        <w:pStyle w:val="licencjat"/>
        <w:ind w:firstLine="0"/>
        <w:rPr>
          <w:noProof/>
        </w:rPr>
      </w:pPr>
      <w:r>
        <w:lastRenderedPageBreak/>
        <w:t>Wizualna analiza wskazuje na to, że istnieje istotna różnica pomiędzy dwoma wariantami. Następnie zwiększono próg 60 lat (który jest średnią wieku badanych pacjentów) do 70 lat.</w:t>
      </w:r>
      <w:r w:rsidRPr="000522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3CF93" wp14:editId="06DCF91D">
            <wp:extent cx="5415148" cy="369021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7611" cy="37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D2FE" w14:textId="321A20CB" w:rsidR="0005226F" w:rsidRDefault="0005226F" w:rsidP="008F06A6">
      <w:pPr>
        <w:pStyle w:val="licencjat"/>
        <w:ind w:firstLine="0"/>
        <w:rPr>
          <w:noProof/>
        </w:rPr>
      </w:pPr>
      <w:r>
        <w:rPr>
          <w:noProof/>
        </w:rPr>
        <w:t>Znacznie zwiększyło to wizualne różnice pomiędzy krzywimi trwania</w:t>
      </w:r>
      <w:r w:rsidR="009B6526">
        <w:rPr>
          <w:noProof/>
        </w:rPr>
        <w:t xml:space="preserve"> – osoby w wieku powyżej 70 lat mają znacznie niższe prawdopodbieństwo przeżycia</w:t>
      </w:r>
      <w:r>
        <w:rPr>
          <w:noProof/>
        </w:rPr>
        <w:t>. Ze względu na to, że wartoś</w:t>
      </w:r>
      <w:r w:rsidR="009B6526">
        <w:rPr>
          <w:noProof/>
        </w:rPr>
        <w:t>ci</w:t>
      </w:r>
      <w:r>
        <w:rPr>
          <w:noProof/>
        </w:rPr>
        <w:t xml:space="preserve"> funkcji trwania spada zdecydowanie szybciej na początku</w:t>
      </w:r>
      <w:r w:rsidR="009B6526">
        <w:rPr>
          <w:noProof/>
        </w:rPr>
        <w:t xml:space="preserve"> wśród starszych pacjentów</w:t>
      </w:r>
      <w:r>
        <w:rPr>
          <w:noProof/>
        </w:rPr>
        <w:t>, użyty zostanie</w:t>
      </w:r>
      <w:r w:rsidR="009B6526">
        <w:rPr>
          <w:noProof/>
        </w:rPr>
        <w:t xml:space="preserve"> test</w:t>
      </w:r>
      <w:r>
        <w:rPr>
          <w:noProof/>
        </w:rPr>
        <w:t xml:space="preserve"> dający większe wagi na początku funkcji. </w:t>
      </w:r>
      <w:r w:rsidR="009B6526">
        <w:rPr>
          <w:noProof/>
        </w:rPr>
        <w:t xml:space="preserve">Jest to </w:t>
      </w:r>
      <w:r>
        <w:rPr>
          <w:noProof/>
        </w:rPr>
        <w:t>test Fleminga-Harringotna ze współczynnikami p=1 i q=0.</w:t>
      </w:r>
    </w:p>
    <w:p w14:paraId="79DEE0B6" w14:textId="3F4860BD" w:rsidR="0005226F" w:rsidRDefault="00861BD8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374F2963" wp14:editId="3F0A29E0">
            <wp:extent cx="3181350" cy="241819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2453" cy="24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DF21" w14:textId="03F554DD" w:rsidR="00D02873" w:rsidRDefault="00861BD8" w:rsidP="008F06A6">
      <w:pPr>
        <w:pStyle w:val="licencjat"/>
        <w:ind w:firstLine="0"/>
      </w:pPr>
      <w:r>
        <w:t xml:space="preserve">Wykonany test wskazuje na to, że należy odrzucić hipotezę zerową mówiącą o równości obu funkcji trwania. Są one różne, a zmienna wiek jest istotnym jej </w:t>
      </w:r>
      <w:proofErr w:type="spellStart"/>
      <w:r>
        <w:t>predyktorem</w:t>
      </w:r>
      <w:proofErr w:type="spellEnd"/>
      <w:r>
        <w:t xml:space="preserve">. Test daje ten </w:t>
      </w:r>
      <w:r>
        <w:lastRenderedPageBreak/>
        <w:t>sam wniosek przy poziom istotności alfa=0.05 zarówno dla podziału na grupy ze względu na 60 jak i 70 lat (powyższy wynik jest dla podziału o limicie 70 lat).</w:t>
      </w:r>
    </w:p>
    <w:p w14:paraId="73EEF9BC" w14:textId="465F0D47" w:rsidR="0005226F" w:rsidRDefault="001E76B1" w:rsidP="000C39E8">
      <w:pPr>
        <w:pStyle w:val="licencjat"/>
        <w:ind w:firstLine="567"/>
        <w:rPr>
          <w:noProof/>
        </w:rPr>
      </w:pPr>
      <w:r>
        <w:t xml:space="preserve">Trzecią różnicującą zmienną jest poziom kreatyniny w surowicy krwi, który podczas eksploracji danych wydawał się prawdopodobnym </w:t>
      </w:r>
      <w:proofErr w:type="spellStart"/>
      <w:r>
        <w:t>predyktorem</w:t>
      </w:r>
      <w:proofErr w:type="spellEnd"/>
      <w:r>
        <w:t xml:space="preserve"> funkcji trwania.</w:t>
      </w:r>
      <w:r w:rsidRPr="001E76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35C1B" wp14:editId="0DBEDBFA">
            <wp:extent cx="4019798" cy="2673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2261" cy="26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3B6D" w14:textId="764E2DA2" w:rsidR="001E76B1" w:rsidRDefault="001E76B1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4A873F3A" wp14:editId="5E11CE7B">
            <wp:extent cx="3378530" cy="1812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624" cy="18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8455" w14:textId="4124C3EB" w:rsidR="001E76B1" w:rsidRDefault="001E76B1" w:rsidP="008F06A6">
      <w:pPr>
        <w:pStyle w:val="licencjat"/>
        <w:ind w:firstLine="0"/>
      </w:pPr>
      <w:r>
        <w:t xml:space="preserve">Jej rozkład zaprezentowany powyżej wskazuje na dużą </w:t>
      </w:r>
      <w:proofErr w:type="gramStart"/>
      <w:r>
        <w:t>zmienność,</w:t>
      </w:r>
      <w:proofErr w:type="gramEnd"/>
      <w:r>
        <w:t xml:space="preserve"> oraz bardzo długi prawy ogon rozkładu – istnieje znaczna ilość obserwacji odstających.</w:t>
      </w:r>
    </w:p>
    <w:p w14:paraId="3A7CE5D0" w14:textId="0C1B5AFB" w:rsidR="009B6526" w:rsidRDefault="009B6526" w:rsidP="008F06A6">
      <w:pPr>
        <w:pStyle w:val="licencjat"/>
        <w:ind w:firstLine="0"/>
      </w:pPr>
      <w:r>
        <w:rPr>
          <w:noProof/>
        </w:rPr>
        <w:lastRenderedPageBreak/>
        <w:drawing>
          <wp:inline distT="0" distB="0" distL="0" distR="0" wp14:anchorId="0B305988" wp14:editId="4D912E89">
            <wp:extent cx="5200650" cy="363755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6703" cy="36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01FD" w14:textId="2F68D254" w:rsidR="009B6526" w:rsidRDefault="009B6526" w:rsidP="008F06A6">
      <w:pPr>
        <w:pStyle w:val="licencjat"/>
        <w:ind w:firstLine="0"/>
      </w:pPr>
      <w:r>
        <w:t>Dzieląc funkcje trwania w podziale na obserwacje poniżej oraz powyżej średniej wartości tej zmiennej, łatwo jest zauważyć znaczną różnicę w funkcji trwania na nie korzyść pacjentów o wysokim stężeniu kreatyniny w surowicy krwi.</w:t>
      </w:r>
    </w:p>
    <w:p w14:paraId="6359BE66" w14:textId="04EA3FC0" w:rsidR="009B6526" w:rsidRDefault="009B6526" w:rsidP="008F06A6">
      <w:pPr>
        <w:pStyle w:val="licencjat"/>
        <w:ind w:firstLine="0"/>
      </w:pPr>
    </w:p>
    <w:p w14:paraId="299C636C" w14:textId="03ACD30B" w:rsidR="009B6526" w:rsidRDefault="009B6526" w:rsidP="008F06A6">
      <w:pPr>
        <w:pStyle w:val="licencjat"/>
        <w:ind w:firstLine="0"/>
      </w:pPr>
      <w:r>
        <w:t xml:space="preserve">Test użyty do sprawdzenia równości funkcji trwania w tym przypadku to test Fleminga-Harrisona o wartościach p=1 i q=1, który daje większe wagi dla funkcji trwania w połowie okresu obserwacji – w tym miejscu wizualnie wydaje różnica pomiędzy grupami wydaje </w:t>
      </w:r>
      <w:r w:rsidR="00493252">
        <w:t>się zwiększać w wyższym tempie.</w:t>
      </w:r>
    </w:p>
    <w:p w14:paraId="1828ED98" w14:textId="21F3175B" w:rsidR="00493252" w:rsidRDefault="00493252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4485A044" wp14:editId="4E6848F3">
            <wp:extent cx="3076575" cy="235371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3913" cy="23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BF8D" w14:textId="127327C3" w:rsidR="00493252" w:rsidRDefault="00493252" w:rsidP="008F06A6">
      <w:pPr>
        <w:pStyle w:val="licencjat"/>
        <w:ind w:firstLine="0"/>
      </w:pPr>
      <w:r>
        <w:lastRenderedPageBreak/>
        <w:t>Statystyka testowa oraz p-</w:t>
      </w:r>
      <w:proofErr w:type="spellStart"/>
      <w:r>
        <w:t>value</w:t>
      </w:r>
      <w:proofErr w:type="spellEnd"/>
      <w:r>
        <w:t xml:space="preserve"> wskazują, że należy odrzucić hipotezę zerową o równości funkcji trwania. Poziom kreatyniny w surowicy krwi jest istotnym </w:t>
      </w:r>
      <w:proofErr w:type="spellStart"/>
      <w:r>
        <w:t>predyktorem</w:t>
      </w:r>
      <w:proofErr w:type="spellEnd"/>
      <w:r>
        <w:t xml:space="preserve"> funkcji przeżycia.</w:t>
      </w:r>
    </w:p>
    <w:p w14:paraId="66C916F0" w14:textId="50965D7A" w:rsidR="00DD0BC1" w:rsidRDefault="00DD0BC1" w:rsidP="008F06A6">
      <w:pPr>
        <w:pStyle w:val="licencjat"/>
        <w:ind w:firstLine="0"/>
      </w:pPr>
      <w:r>
        <w:t xml:space="preserve">Ostatnią badaną zmienną objaśnianą jest frakcja wyrzutowa, która także w wyniku analizy wstępne daje oznaki bycia potencjalnym </w:t>
      </w:r>
      <w:proofErr w:type="spellStart"/>
      <w:r>
        <w:t>predyktorem</w:t>
      </w:r>
      <w:proofErr w:type="spellEnd"/>
      <w:r>
        <w:t>.</w:t>
      </w:r>
    </w:p>
    <w:p w14:paraId="3F979BF3" w14:textId="38C15CD8" w:rsidR="004E72E2" w:rsidRDefault="00DD0BC1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4E3BDD80" wp14:editId="315739D4">
            <wp:extent cx="4221678" cy="2634807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464" cy="26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9D30" w14:textId="085AE8A3" w:rsidR="00DD0BC1" w:rsidRDefault="00DD0BC1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6B67FF95" wp14:editId="2793666B">
            <wp:extent cx="3342904" cy="1655534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0149" cy="16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7967" w14:textId="6BBDBD12" w:rsidR="00DD0BC1" w:rsidRDefault="00DD0BC1" w:rsidP="008F06A6">
      <w:pPr>
        <w:pStyle w:val="licencjat"/>
        <w:ind w:firstLine="0"/>
      </w:pPr>
      <w:r>
        <w:t xml:space="preserve">Znaczna część obserwacji oscyluje około średniej (oraz niemal równej mediany), </w:t>
      </w:r>
      <w:proofErr w:type="gramStart"/>
      <w:r>
        <w:t>jednak  są</w:t>
      </w:r>
      <w:proofErr w:type="gramEnd"/>
      <w:r>
        <w:t xml:space="preserve"> też obserwacje w obie strony rozkładu, przy czym w prawym ogonie, maksymalne, są bardziej oddalone od średniej niż te minimalne. Odchylenie standardowe stanowi około 31% średniej arytmetycznej</w:t>
      </w:r>
    </w:p>
    <w:p w14:paraId="690B4A95" w14:textId="71391775" w:rsidR="00DD0BC1" w:rsidRDefault="00DD0BC1" w:rsidP="008F06A6">
      <w:pPr>
        <w:pStyle w:val="licencjat"/>
        <w:ind w:firstLine="0"/>
      </w:pPr>
    </w:p>
    <w:p w14:paraId="3645E1D5" w14:textId="31F58BCF" w:rsidR="00DD0BC1" w:rsidRDefault="00DD0BC1" w:rsidP="008F06A6">
      <w:pPr>
        <w:pStyle w:val="licencjat"/>
        <w:ind w:firstLine="0"/>
      </w:pPr>
    </w:p>
    <w:p w14:paraId="34015F77" w14:textId="076DA66E" w:rsidR="00DD0BC1" w:rsidRDefault="007A2B28" w:rsidP="008F06A6">
      <w:pPr>
        <w:pStyle w:val="licencjat"/>
        <w:ind w:firstLine="0"/>
      </w:pPr>
      <w:r>
        <w:rPr>
          <w:noProof/>
        </w:rPr>
        <w:lastRenderedPageBreak/>
        <w:drawing>
          <wp:inline distT="0" distB="0" distL="0" distR="0" wp14:anchorId="4B374EE5" wp14:editId="46CF7DFB">
            <wp:extent cx="5429250" cy="370167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0037" cy="37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E00" w14:textId="274C0AEB" w:rsidR="007A2B28" w:rsidRDefault="007A2B28" w:rsidP="008F06A6">
      <w:pPr>
        <w:pStyle w:val="licencjat"/>
        <w:ind w:firstLine="0"/>
      </w:pPr>
      <w:r>
        <w:t xml:space="preserve">Krzywa </w:t>
      </w:r>
      <w:proofErr w:type="spellStart"/>
      <w:r>
        <w:t>Kaplana-Meiera</w:t>
      </w:r>
      <w:proofErr w:type="spellEnd"/>
      <w:r>
        <w:t xml:space="preserve"> wskazuje na różniące się funkcje przeżycia wśród grup podzielonych ze względu na średnią wartość zmiennej</w:t>
      </w:r>
      <w:r w:rsidR="008E7832">
        <w:t>. Największa różnica w dynamice funkcji zdaje się być pośrodku zmiennej czasu obserwacji, a więc ponownie zostanie wykorzystany test Fleminga-</w:t>
      </w:r>
      <w:proofErr w:type="spellStart"/>
      <w:r w:rsidR="008E7832">
        <w:t>Harringtona</w:t>
      </w:r>
      <w:proofErr w:type="spellEnd"/>
      <w:r w:rsidR="008E7832">
        <w:t xml:space="preserve"> (1, 1).</w:t>
      </w:r>
    </w:p>
    <w:p w14:paraId="2B4BB190" w14:textId="0347B221" w:rsidR="008E7832" w:rsidRDefault="008E7832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4AD85B51" wp14:editId="207A7606">
            <wp:extent cx="2905125" cy="214656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3102" cy="215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3D67" w14:textId="4318C056" w:rsidR="008E7832" w:rsidRDefault="008E7832" w:rsidP="008F06A6">
      <w:pPr>
        <w:pStyle w:val="licencjat"/>
        <w:ind w:firstLine="0"/>
      </w:pPr>
      <w:r>
        <w:t xml:space="preserve">Ponownie należy odrzucić hipotezę zerową. Frakcja wyrzutowa jest istotnym </w:t>
      </w:r>
      <w:proofErr w:type="spellStart"/>
      <w:r>
        <w:t>predyktorem</w:t>
      </w:r>
      <w:proofErr w:type="spellEnd"/>
      <w:r>
        <w:t xml:space="preserve"> funkcji przeżycia.</w:t>
      </w:r>
    </w:p>
    <w:p w14:paraId="27977C8F" w14:textId="0B81F24D" w:rsidR="008E7832" w:rsidRDefault="008E7832" w:rsidP="008F06A6">
      <w:pPr>
        <w:pStyle w:val="licencjat"/>
        <w:ind w:firstLine="0"/>
      </w:pPr>
      <w:r>
        <w:t xml:space="preserve">Dodatkowo wykonany został test parami ze względu na </w:t>
      </w:r>
      <w:proofErr w:type="spellStart"/>
      <w:r>
        <w:t>kwartyle</w:t>
      </w:r>
      <w:proofErr w:type="spellEnd"/>
      <w:r>
        <w:t xml:space="preserve"> tej zmiennej, który ws</w:t>
      </w:r>
      <w:r w:rsidR="00740769">
        <w:t xml:space="preserve">kazuje na różnice w funkcji trwania szczególnie pomiędzy 1 </w:t>
      </w:r>
      <w:proofErr w:type="spellStart"/>
      <w:r w:rsidR="00740769">
        <w:t>kwartylem</w:t>
      </w:r>
      <w:proofErr w:type="spellEnd"/>
      <w:r w:rsidR="00740769">
        <w:t xml:space="preserve"> a pozostałymi.</w:t>
      </w:r>
    </w:p>
    <w:p w14:paraId="03FF3A1E" w14:textId="070100CD" w:rsidR="008E7832" w:rsidRDefault="008E7832" w:rsidP="008F06A6">
      <w:pPr>
        <w:pStyle w:val="licencjat"/>
        <w:ind w:firstLine="0"/>
      </w:pPr>
      <w:r>
        <w:rPr>
          <w:noProof/>
        </w:rPr>
        <w:lastRenderedPageBreak/>
        <w:drawing>
          <wp:inline distT="0" distB="0" distL="0" distR="0" wp14:anchorId="75794F19" wp14:editId="54724756">
            <wp:extent cx="5248894" cy="3622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0656" cy="36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793F" w14:textId="4645A549" w:rsidR="00740769" w:rsidRDefault="00740769" w:rsidP="008F06A6">
      <w:pPr>
        <w:pStyle w:val="licencjat"/>
        <w:ind w:firstLine="0"/>
      </w:pPr>
      <w:r>
        <w:rPr>
          <w:noProof/>
        </w:rPr>
        <w:drawing>
          <wp:inline distT="0" distB="0" distL="0" distR="0" wp14:anchorId="78E2C240" wp14:editId="2C58B654">
            <wp:extent cx="3764478" cy="3809293"/>
            <wp:effectExtent l="0" t="0" r="762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6511" cy="3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F708" w14:textId="46A3C8A5" w:rsidR="008E7832" w:rsidRDefault="008E7832" w:rsidP="008F06A6">
      <w:pPr>
        <w:pStyle w:val="licencjat"/>
        <w:ind w:firstLine="0"/>
      </w:pPr>
    </w:p>
    <w:p w14:paraId="14553A82" w14:textId="24B25B87" w:rsidR="008E7832" w:rsidRDefault="008E7832" w:rsidP="008F06A6">
      <w:pPr>
        <w:pStyle w:val="licencjat"/>
        <w:ind w:firstLine="0"/>
      </w:pPr>
    </w:p>
    <w:p w14:paraId="696E1CC3" w14:textId="4052530F" w:rsidR="008E7832" w:rsidRDefault="008E7832" w:rsidP="008F06A6">
      <w:pPr>
        <w:pStyle w:val="licencjat"/>
        <w:ind w:firstLine="0"/>
      </w:pPr>
    </w:p>
    <w:p w14:paraId="314947B5" w14:textId="6350BBC0" w:rsidR="008E7832" w:rsidRDefault="008E7832" w:rsidP="008F06A6">
      <w:pPr>
        <w:pStyle w:val="licencjat"/>
        <w:ind w:firstLine="0"/>
      </w:pPr>
    </w:p>
    <w:p w14:paraId="26DA6581" w14:textId="2374DAD6" w:rsidR="00D46F69" w:rsidRDefault="00D46F69" w:rsidP="008F06A6">
      <w:pPr>
        <w:pStyle w:val="licencjat"/>
        <w:ind w:firstLine="0"/>
      </w:pPr>
    </w:p>
    <w:p w14:paraId="1A69ADAB" w14:textId="38485E25" w:rsidR="00D46F69" w:rsidRDefault="00D46F69" w:rsidP="00D46F69">
      <w:pPr>
        <w:pStyle w:val="licencjat"/>
        <w:numPr>
          <w:ilvl w:val="0"/>
          <w:numId w:val="37"/>
        </w:numPr>
        <w:rPr>
          <w:b/>
          <w:bCs/>
        </w:rPr>
      </w:pPr>
      <w:r>
        <w:rPr>
          <w:b/>
          <w:bCs/>
        </w:rPr>
        <w:lastRenderedPageBreak/>
        <w:t>E</w:t>
      </w:r>
      <w:r w:rsidRPr="00665486">
        <w:rPr>
          <w:b/>
          <w:bCs/>
        </w:rPr>
        <w:t xml:space="preserve">stymator </w:t>
      </w:r>
      <w:r>
        <w:rPr>
          <w:b/>
          <w:bCs/>
        </w:rPr>
        <w:t>Nelsona-</w:t>
      </w:r>
      <w:proofErr w:type="spellStart"/>
      <w:r>
        <w:rPr>
          <w:b/>
          <w:bCs/>
        </w:rPr>
        <w:t>Aalena</w:t>
      </w:r>
      <w:proofErr w:type="spellEnd"/>
    </w:p>
    <w:p w14:paraId="4B5078B3" w14:textId="3237FE47" w:rsidR="00D46F69" w:rsidRDefault="00891975" w:rsidP="00D46F69">
      <w:pPr>
        <w:pStyle w:val="licencjat"/>
        <w:ind w:firstLine="0"/>
      </w:pPr>
      <w:r>
        <w:t>Estymator Nelsona-</w:t>
      </w:r>
      <w:proofErr w:type="spellStart"/>
      <w:r>
        <w:t>Aalena</w:t>
      </w:r>
      <w:proofErr w:type="spellEnd"/>
      <w:r>
        <w:t xml:space="preserve"> przyjmuje wartości opisane przez:</w:t>
      </w:r>
    </w:p>
    <w:p w14:paraId="769D149C" w14:textId="70DC2943" w:rsidR="00891975" w:rsidRDefault="00891975" w:rsidP="00891975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 exp(-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)</m:t>
        </m:r>
      </m:oMath>
      <w:r>
        <w:t xml:space="preserve"> dla </w:t>
      </w:r>
      <m:oMath>
        <m:r>
          <w:rPr>
            <w:rFonts w:ascii="Cambria Math" w:hAnsi="Cambria Math"/>
          </w:rPr>
          <m:t>k=1,  ... , m</m:t>
        </m:r>
      </m:oMath>
      <w:r>
        <w:t>.</w:t>
      </w:r>
    </w:p>
    <w:p w14:paraId="4927D431" w14:textId="69C6FB8D" w:rsidR="00891975" w:rsidRDefault="00891975" w:rsidP="00891975">
      <w:pPr>
        <w:pStyle w:val="licencjat"/>
        <w:ind w:firstLine="0"/>
      </w:pPr>
      <w:r>
        <w:t>Obliczona funkcja hazardu dla analizowanego zbioru danych wygląda jak na wykresie poniżej.</w:t>
      </w:r>
    </w:p>
    <w:p w14:paraId="11AD4CAF" w14:textId="0EDD5820" w:rsidR="00891975" w:rsidRDefault="00891975" w:rsidP="00891975">
      <w:pPr>
        <w:pStyle w:val="BodyTextFirstIndent2"/>
        <w:tabs>
          <w:tab w:val="center" w:pos="4394"/>
          <w:tab w:val="right" w:pos="8789"/>
        </w:tabs>
        <w:ind w:left="0" w:firstLine="0"/>
      </w:pPr>
      <w:r>
        <w:rPr>
          <w:noProof/>
        </w:rPr>
        <w:drawing>
          <wp:inline distT="0" distB="0" distL="0" distR="0" wp14:anchorId="24B788B6" wp14:editId="6789E572">
            <wp:extent cx="4791694" cy="3205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2992" cy="32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826" w14:textId="32BD9075" w:rsidR="00891975" w:rsidRDefault="00891975" w:rsidP="00891975">
      <w:pPr>
        <w:pStyle w:val="BodyTextFirstIndent2"/>
        <w:tabs>
          <w:tab w:val="center" w:pos="4394"/>
          <w:tab w:val="right" w:pos="8789"/>
        </w:tabs>
        <w:ind w:left="0" w:firstLine="0"/>
      </w:pPr>
    </w:p>
    <w:p w14:paraId="2D5BB471" w14:textId="2D131EC1" w:rsidR="00891975" w:rsidRDefault="00062808" w:rsidP="00891975">
      <w:pPr>
        <w:pStyle w:val="licencjat"/>
        <w:ind w:firstLine="0"/>
      </w:pPr>
      <w:r>
        <w:t>J</w:t>
      </w:r>
      <w:r w:rsidR="00891975">
        <w:t>ej wartości są następujące:</w:t>
      </w:r>
    </w:p>
    <w:p w14:paraId="602A74EE" w14:textId="29A0F79E" w:rsidR="00891975" w:rsidRDefault="00891975" w:rsidP="00891975">
      <w:pPr>
        <w:pStyle w:val="BodyTextFirstIndent2"/>
        <w:tabs>
          <w:tab w:val="center" w:pos="4394"/>
          <w:tab w:val="right" w:pos="8789"/>
        </w:tabs>
        <w:ind w:left="0" w:firstLine="0"/>
      </w:pPr>
      <w:r>
        <w:rPr>
          <w:noProof/>
        </w:rPr>
        <w:drawing>
          <wp:inline distT="0" distB="0" distL="0" distR="0" wp14:anchorId="468EFD03" wp14:editId="4B0B2BFC">
            <wp:extent cx="5106390" cy="303059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6054" cy="30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40F7" w14:textId="49034D94" w:rsidR="00891975" w:rsidRDefault="00891975" w:rsidP="00891975">
      <w:pPr>
        <w:pStyle w:val="BodyTextFirstIndent2"/>
        <w:tabs>
          <w:tab w:val="center" w:pos="4394"/>
          <w:tab w:val="right" w:pos="8789"/>
        </w:tabs>
        <w:ind w:left="0" w:firstLine="0"/>
      </w:pPr>
    </w:p>
    <w:p w14:paraId="1EC3F3B8" w14:textId="12DF2304" w:rsidR="00891975" w:rsidRDefault="00891975" w:rsidP="00891975">
      <w:pPr>
        <w:pStyle w:val="licencjat"/>
        <w:ind w:firstLine="0"/>
      </w:pPr>
      <w:r>
        <w:lastRenderedPageBreak/>
        <w:t>Po transformacji funkcji hazardu w funkcj</w:t>
      </w:r>
      <w:r w:rsidR="00062808">
        <w:t>ę</w:t>
      </w:r>
      <w:r>
        <w:t xml:space="preserve"> przeżycia oraz nanoszeniu jej na wykres razem z funkcją przeżycia obliczoną wcześnie</w:t>
      </w:r>
      <w:r w:rsidR="00062808">
        <w:t>j</w:t>
      </w:r>
      <w:r>
        <w:t xml:space="preserve"> za pomocą estymatora </w:t>
      </w:r>
      <w:proofErr w:type="spellStart"/>
      <w:r>
        <w:t>Kaplana-Meiera</w:t>
      </w:r>
      <w:proofErr w:type="spellEnd"/>
      <w:r>
        <w:t>,</w:t>
      </w:r>
      <w:r w:rsidR="00062808">
        <w:t xml:space="preserve"> można</w:t>
      </w:r>
      <w:r>
        <w:t xml:space="preserve"> zauważyć</w:t>
      </w:r>
      <w:r w:rsidR="00062808">
        <w:t xml:space="preserve">, </w:t>
      </w:r>
      <w:r>
        <w:t>że są one</w:t>
      </w:r>
      <w:r w:rsidR="00062808">
        <w:t xml:space="preserve"> w tym przypadku</w:t>
      </w:r>
      <w:r>
        <w:t xml:space="preserve"> niemal identyczne.</w:t>
      </w:r>
    </w:p>
    <w:p w14:paraId="2922C7AE" w14:textId="56291A72" w:rsidR="00891975" w:rsidRDefault="00891975" w:rsidP="00D46F69">
      <w:pPr>
        <w:pStyle w:val="licencjat"/>
        <w:ind w:firstLine="0"/>
      </w:pPr>
    </w:p>
    <w:p w14:paraId="01E86681" w14:textId="1A183D1D" w:rsidR="00891975" w:rsidRDefault="00891975" w:rsidP="00D46F69">
      <w:pPr>
        <w:pStyle w:val="licencjat"/>
        <w:ind w:firstLine="0"/>
      </w:pPr>
      <w:r>
        <w:rPr>
          <w:noProof/>
        </w:rPr>
        <w:drawing>
          <wp:inline distT="0" distB="0" distL="0" distR="0" wp14:anchorId="314B37BA" wp14:editId="40C777BD">
            <wp:extent cx="5005450" cy="4058704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4256" cy="40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3144" w14:textId="0183C2F9" w:rsidR="00891975" w:rsidRDefault="00062808" w:rsidP="00D46F69">
      <w:pPr>
        <w:pStyle w:val="licencjat"/>
        <w:ind w:firstLine="0"/>
      </w:pPr>
      <w:r>
        <w:t>Rzeczywiście, m</w:t>
      </w:r>
      <w:r w:rsidR="00891975">
        <w:t>aksymalna różnica (dla ostatniego zaobserwowanego przedziału czasu) to zaledwie 0.0018.</w:t>
      </w:r>
    </w:p>
    <w:p w14:paraId="6B718D94" w14:textId="1B2ABBF3" w:rsidR="00891975" w:rsidRDefault="000114C8" w:rsidP="00891975">
      <w:pPr>
        <w:pStyle w:val="licencjat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Model regresji hazardu PH </w:t>
      </w:r>
      <w:proofErr w:type="spellStart"/>
      <w:r>
        <w:rPr>
          <w:b/>
          <w:bCs/>
        </w:rPr>
        <w:t>Coxa</w:t>
      </w:r>
      <w:proofErr w:type="spellEnd"/>
    </w:p>
    <w:p w14:paraId="51791418" w14:textId="2BDC4CC1" w:rsidR="000114C8" w:rsidRPr="00584FC7" w:rsidRDefault="00584FC7" w:rsidP="00584FC7">
      <w:pPr>
        <w:pStyle w:val="licencjat"/>
        <w:ind w:firstLine="0"/>
      </w:pPr>
      <w:r w:rsidRPr="00584FC7">
        <w:t xml:space="preserve">Model regresji hazardu PH </w:t>
      </w:r>
      <w:proofErr w:type="spellStart"/>
      <w:r w:rsidRPr="00584FC7">
        <w:t>Coxa</w:t>
      </w:r>
      <w:proofErr w:type="spellEnd"/>
      <w:r w:rsidRPr="00584FC7">
        <w:t xml:space="preserve"> przyjmuje postać:</w:t>
      </w:r>
    </w:p>
    <w:p w14:paraId="3A5F1B1F" w14:textId="62E104F1" w:rsidR="00584FC7" w:rsidRDefault="00584FC7" w:rsidP="00584FC7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r>
          <w:rPr>
            <w:rFonts w:ascii="Cambria Math" w:hAnsi="Cambria Math"/>
          </w:rPr>
          <m:t>h(t</m:t>
        </m:r>
        <m:d>
          <m:dPr>
            <m:begChr m:val="|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)=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>
        <w:t>,</w:t>
      </w:r>
    </w:p>
    <w:p w14:paraId="59221EA4" w14:textId="6638EDFF" w:rsidR="00584FC7" w:rsidRDefault="00584FC7" w:rsidP="00584FC7">
      <w:pPr>
        <w:pStyle w:val="licencjat"/>
        <w:ind w:firstLine="0"/>
      </w:pPr>
      <w:r w:rsidRPr="00584FC7"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 w:rsidRPr="00584FC7">
        <w:t xml:space="preserve"> jest bazową funkcją hazardu obliczaną nieparametrycznie na podstawie</w:t>
      </w:r>
      <w:r>
        <w:t xml:space="preserve"> estymatora funkcji przeżycia, a </w:t>
      </w:r>
      <m:oMath>
        <m:r>
          <w:rPr>
            <w:rFonts w:ascii="Cambria Math" w:hAnsi="Cambria Math"/>
          </w:rPr>
          <m:t>g(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pl-PL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>
        <w:t xml:space="preserve"> jest funkcją regresji o postaci:</w:t>
      </w:r>
    </w:p>
    <w:p w14:paraId="2CB98B40" w14:textId="78CA00CD" w:rsidR="00584FC7" w:rsidRDefault="00584FC7" w:rsidP="00584FC7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r>
          <w:rPr>
            <w:rFonts w:ascii="Cambria Math" w:hAnsi="Cambria Math"/>
          </w:rPr>
          <m:t>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x)=exp(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>
        <w:t>,</w:t>
      </w:r>
    </w:p>
    <w:p w14:paraId="788DBB5F" w14:textId="3353CF92" w:rsidR="004D5B54" w:rsidRDefault="004D5B54" w:rsidP="004D5B54">
      <w:pPr>
        <w:pStyle w:val="licencjat"/>
        <w:ind w:firstLine="0"/>
        <w:rPr>
          <w:rFonts w:eastAsiaTheme="minorEastAsia"/>
        </w:rPr>
      </w:pPr>
      <w:r>
        <w:t xml:space="preserve">dla której parametry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są parametrami strukturalnymi dla odpowiednich zmiennych objaśniających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14:paraId="314EE75C" w14:textId="63A473B2" w:rsidR="004D5B54" w:rsidRDefault="004D5B54" w:rsidP="004D5B54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t>Najpierw oszacowany został model ze wszystkimi zmiennymi objaśniającymi. Parametry strukturalne modelu zostaną zinterpretowane w dalszej części badania dla ostatecznego estymowanego modelu.</w:t>
      </w:r>
    </w:p>
    <w:p w14:paraId="0FA24E65" w14:textId="150E8871" w:rsidR="004D5B54" w:rsidRDefault="004D5B54" w:rsidP="004D5B54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W poniżej przedstawionym modelu </w:t>
      </w:r>
      <w:proofErr w:type="spellStart"/>
      <w:r>
        <w:rPr>
          <w:rFonts w:eastAsiaTheme="minorEastAsia"/>
        </w:rPr>
        <w:t>Coxa</w:t>
      </w:r>
      <w:proofErr w:type="spellEnd"/>
      <w:r>
        <w:rPr>
          <w:rFonts w:eastAsiaTheme="minorEastAsia"/>
        </w:rPr>
        <w:t xml:space="preserve"> większość zmiennych jest statystycznie nieistotna. Należy zauważyć, że analizowane wcześniej zmienne: poziom serotoniny w surowicy krwi, wiek i frakcja wyrzutowa są istotnymi </w:t>
      </w:r>
      <w:proofErr w:type="spellStart"/>
      <w:r>
        <w:rPr>
          <w:rFonts w:eastAsiaTheme="minorEastAsia"/>
        </w:rPr>
        <w:t>predyktorami</w:t>
      </w:r>
      <w:proofErr w:type="spellEnd"/>
      <w:r>
        <w:rPr>
          <w:rFonts w:eastAsiaTheme="minorEastAsia"/>
        </w:rPr>
        <w:t xml:space="preserve"> według wstępnego modelu.</w:t>
      </w:r>
    </w:p>
    <w:p w14:paraId="5FE817BE" w14:textId="5BF07E29" w:rsidR="00546B2F" w:rsidRDefault="00546B2F" w:rsidP="004D5B54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t>Model 1:</w:t>
      </w:r>
    </w:p>
    <w:p w14:paraId="67AC8FFF" w14:textId="425745E3" w:rsidR="004D5B54" w:rsidRDefault="00430965" w:rsidP="004D5B54">
      <w:pPr>
        <w:pStyle w:val="licencjat"/>
        <w:ind w:firstLine="0"/>
      </w:pPr>
      <w:r>
        <w:rPr>
          <w:noProof/>
        </w:rPr>
        <w:drawing>
          <wp:inline distT="0" distB="0" distL="0" distR="0" wp14:anchorId="3C4B5485" wp14:editId="51B25AEE">
            <wp:extent cx="2948026" cy="194893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6969" cy="19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DEBF" w14:textId="343A5255" w:rsidR="00430965" w:rsidRDefault="00430965" w:rsidP="004D5B54">
      <w:pPr>
        <w:pStyle w:val="licencjat"/>
        <w:ind w:firstLine="0"/>
      </w:pPr>
      <w:r>
        <w:rPr>
          <w:noProof/>
        </w:rPr>
        <w:drawing>
          <wp:inline distT="0" distB="0" distL="0" distR="0" wp14:anchorId="4FD10ED6" wp14:editId="53F334B8">
            <wp:extent cx="5579745" cy="176022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5867" w14:textId="1C780F9A" w:rsidR="00430965" w:rsidRDefault="00430965" w:rsidP="004D5B54">
      <w:pPr>
        <w:pStyle w:val="licencjat"/>
        <w:ind w:firstLine="0"/>
      </w:pPr>
      <w:r>
        <w:rPr>
          <w:noProof/>
        </w:rPr>
        <w:drawing>
          <wp:inline distT="0" distB="0" distL="0" distR="0" wp14:anchorId="44FB5B2A" wp14:editId="57C2E8EB">
            <wp:extent cx="2253082" cy="1060704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4290" cy="10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2573" w14:textId="04E54CD5" w:rsidR="00A809B9" w:rsidRPr="00A809B9" w:rsidRDefault="00A809B9" w:rsidP="004D5B54">
      <w:pPr>
        <w:pStyle w:val="licencjat"/>
        <w:ind w:firstLine="0"/>
        <w:rPr>
          <w:i/>
          <w:iCs/>
        </w:rPr>
      </w:pPr>
      <w:r>
        <w:rPr>
          <w:i/>
          <w:iCs/>
        </w:rPr>
        <w:t>*bardziej czytelna wersj</w:t>
      </w:r>
      <w:r w:rsidR="00430965">
        <w:rPr>
          <w:i/>
          <w:iCs/>
        </w:rPr>
        <w:t>e</w:t>
      </w:r>
      <w:r>
        <w:rPr>
          <w:i/>
          <w:iCs/>
        </w:rPr>
        <w:t xml:space="preserve"> tabel w </w:t>
      </w:r>
      <w:proofErr w:type="spellStart"/>
      <w:r>
        <w:rPr>
          <w:i/>
          <w:iCs/>
        </w:rPr>
        <w:t>google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colab</w:t>
      </w:r>
      <w:proofErr w:type="spellEnd"/>
      <w:r>
        <w:rPr>
          <w:i/>
          <w:iCs/>
        </w:rPr>
        <w:t xml:space="preserve"> notebook wysłanym razem z pracą.</w:t>
      </w:r>
    </w:p>
    <w:p w14:paraId="10D5ABAE" w14:textId="679BB8B4" w:rsidR="004D5B54" w:rsidRDefault="004D5B54" w:rsidP="004D5B54">
      <w:pPr>
        <w:pStyle w:val="licencjat"/>
        <w:ind w:firstLine="0"/>
      </w:pPr>
      <w:r>
        <w:t xml:space="preserve">Po odrzuceniu zmiennych statystycznie nieistotnych (przy poziomie istotności alfa=0.05) kryterium informacyjne </w:t>
      </w:r>
      <w:proofErr w:type="spellStart"/>
      <w:r>
        <w:t>Akaikego</w:t>
      </w:r>
      <w:proofErr w:type="spellEnd"/>
      <w:r>
        <w:t xml:space="preserve"> przyjęło niższą wartość, co wskazuje na lepsze dopasowanie modelu.</w:t>
      </w:r>
      <w:r w:rsidR="00546B2F">
        <w:t xml:space="preserve"> Wskaźniki -log2(p) oparty na wiarygodności także przyjął lepszą (wyższą) wartość.</w:t>
      </w:r>
    </w:p>
    <w:p w14:paraId="0115180D" w14:textId="18CD71D3" w:rsidR="00546B2F" w:rsidRDefault="00546B2F" w:rsidP="004D5B54">
      <w:pPr>
        <w:pStyle w:val="licencjat"/>
        <w:ind w:firstLine="0"/>
      </w:pPr>
      <w:r>
        <w:t>Model 2:</w:t>
      </w:r>
    </w:p>
    <w:p w14:paraId="1C945863" w14:textId="34F36F5D" w:rsidR="00546B2F" w:rsidRDefault="00430965" w:rsidP="004D5B54">
      <w:pPr>
        <w:pStyle w:val="licencjat"/>
        <w:ind w:firstLine="0"/>
      </w:pPr>
      <w:r>
        <w:rPr>
          <w:noProof/>
        </w:rPr>
        <w:lastRenderedPageBreak/>
        <w:drawing>
          <wp:inline distT="0" distB="0" distL="0" distR="0" wp14:anchorId="3D33CB86" wp14:editId="3CAC317D">
            <wp:extent cx="2640788" cy="1689096"/>
            <wp:effectExtent l="0" t="0" r="762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48345" cy="16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C49" w14:textId="358D0E2B" w:rsidR="00430965" w:rsidRDefault="00430965" w:rsidP="004D5B54">
      <w:pPr>
        <w:pStyle w:val="licencjat"/>
        <w:ind w:firstLine="0"/>
      </w:pPr>
      <w:r>
        <w:rPr>
          <w:noProof/>
        </w:rPr>
        <w:drawing>
          <wp:inline distT="0" distB="0" distL="0" distR="0" wp14:anchorId="08FEB37A" wp14:editId="7BEC5BDC">
            <wp:extent cx="5579745" cy="1129665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5C36" w14:textId="49B3F1BD" w:rsidR="00430965" w:rsidRDefault="00430965" w:rsidP="004D5B54">
      <w:pPr>
        <w:pStyle w:val="licencjat"/>
        <w:ind w:firstLine="0"/>
      </w:pPr>
      <w:r>
        <w:rPr>
          <w:noProof/>
        </w:rPr>
        <w:drawing>
          <wp:inline distT="0" distB="0" distL="0" distR="0" wp14:anchorId="174DAC04" wp14:editId="34D204DC">
            <wp:extent cx="2143354" cy="96033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5308" cy="9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2EC" w14:textId="59C6B2D1" w:rsidR="003841F2" w:rsidRPr="00A809B9" w:rsidRDefault="00A809B9" w:rsidP="003841F2">
      <w:pPr>
        <w:pStyle w:val="licencjat"/>
        <w:ind w:firstLine="0"/>
        <w:rPr>
          <w:i/>
          <w:iCs/>
        </w:rPr>
      </w:pPr>
      <w:r>
        <w:rPr>
          <w:i/>
          <w:iCs/>
        </w:rPr>
        <w:t xml:space="preserve">*bardziej czytelna wersja tabel w </w:t>
      </w:r>
      <w:proofErr w:type="spellStart"/>
      <w:r>
        <w:rPr>
          <w:i/>
          <w:iCs/>
        </w:rPr>
        <w:t>google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colab</w:t>
      </w:r>
      <w:proofErr w:type="spellEnd"/>
      <w:r>
        <w:rPr>
          <w:i/>
          <w:iCs/>
        </w:rPr>
        <w:t xml:space="preserve"> notebook wysłanym razem z pracą.</w:t>
      </w:r>
    </w:p>
    <w:p w14:paraId="1F4B3F76" w14:textId="23021837" w:rsidR="003841F2" w:rsidRDefault="003841F2" w:rsidP="003841F2">
      <w:pPr>
        <w:pStyle w:val="licencjat"/>
        <w:ind w:firstLine="0"/>
        <w:rPr>
          <w:b/>
          <w:bCs/>
        </w:rPr>
      </w:pPr>
      <w:r>
        <w:t xml:space="preserve">Warto w tym momencie zwrócić uwagę na założenie proporcjonalnego hazardu przyjęte przez model PH </w:t>
      </w:r>
      <w:proofErr w:type="spellStart"/>
      <w:r>
        <w:t>Coxa</w:t>
      </w:r>
      <w:proofErr w:type="spellEnd"/>
      <w:r w:rsidR="006A647A">
        <w:t>, aby estymowane parametry były nieobciążone</w:t>
      </w:r>
      <w:r>
        <w:t>. Jest ono wyrażone jako</w:t>
      </w:r>
      <w:r w:rsidR="006A647A">
        <w:t>:</w:t>
      </w:r>
    </w:p>
    <w:p w14:paraId="17DE18D9" w14:textId="09AC36B2" w:rsidR="003841F2" w:rsidRDefault="003841F2" w:rsidP="003841F2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(t)=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h(t)</m:t>
        </m:r>
      </m:oMath>
      <w:r>
        <w:t>,</w:t>
      </w:r>
    </w:p>
    <w:p w14:paraId="2EBB0842" w14:textId="77777777" w:rsidR="003841F2" w:rsidRDefault="003841F2" w:rsidP="003841F2">
      <w:pPr>
        <w:pStyle w:val="BodyTextFirstIndent2"/>
        <w:tabs>
          <w:tab w:val="center" w:pos="4394"/>
          <w:tab w:val="right" w:pos="8789"/>
        </w:tabs>
        <w:ind w:left="0" w:firstLine="0"/>
      </w:pPr>
    </w:p>
    <w:p w14:paraId="658927BE" w14:textId="1C5E71B0" w:rsidR="003841F2" w:rsidRDefault="003841F2" w:rsidP="003841F2">
      <w:pPr>
        <w:pStyle w:val="licencjat"/>
        <w:ind w:firstLine="0"/>
      </w:pPr>
      <w:r>
        <w:t xml:space="preserve">gdzie </w:t>
      </w:r>
      <w:r>
        <w:rPr>
          <w:i/>
          <w:iCs/>
        </w:rPr>
        <w:t>a</w:t>
      </w:r>
      <w:r>
        <w:t xml:space="preserve"> jest wartością stałą w czasie obserwacji pacjentów. W przypadku różnych obserwacji prawdziwe musi być więc założenie:</w:t>
      </w:r>
    </w:p>
    <w:p w14:paraId="24F948DC" w14:textId="45F32E94" w:rsidR="006A647A" w:rsidRDefault="006A647A" w:rsidP="006A647A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h(t)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h(t)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>,</w:t>
      </w:r>
    </w:p>
    <w:p w14:paraId="1D4ECDA4" w14:textId="2267CDE0" w:rsidR="006A647A" w:rsidRDefault="006A647A" w:rsidP="006A647A">
      <w:pPr>
        <w:pStyle w:val="licencjat"/>
        <w:ind w:firstLine="0"/>
      </w:pPr>
      <w:r>
        <w:t xml:space="preserve">gdzie współczynnik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pl-PL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 powinien być stały dla każdego czasu </w:t>
      </w:r>
      <w:r>
        <w:rPr>
          <w:i/>
          <w:iCs/>
        </w:rPr>
        <w:t>t</w:t>
      </w:r>
      <w:r>
        <w:t xml:space="preserve">. </w:t>
      </w:r>
    </w:p>
    <w:p w14:paraId="0351C054" w14:textId="1EBA1D25" w:rsidR="006A647A" w:rsidRDefault="006A647A" w:rsidP="006A647A">
      <w:pPr>
        <w:pStyle w:val="licencjat"/>
        <w:ind w:firstLine="0"/>
      </w:pPr>
      <w:r w:rsidRPr="006A647A">
        <w:t xml:space="preserve">Korzystając z testu </w:t>
      </w:r>
      <w:proofErr w:type="spellStart"/>
      <w:r w:rsidRPr="006A647A">
        <w:t>Grambsch</w:t>
      </w:r>
      <w:r w:rsidR="00062808">
        <w:t>a</w:t>
      </w:r>
      <w:r w:rsidRPr="006A647A">
        <w:t>-Therneau</w:t>
      </w:r>
      <w:proofErr w:type="spellEnd"/>
      <w:r w:rsidR="009A7F63">
        <w:t>, którego hipoteza zerowa mówi o prawdziwości proporcjonalności hazardu</w:t>
      </w:r>
      <w:r w:rsidR="00062808">
        <w:t>,</w:t>
      </w:r>
      <w:r>
        <w:t xml:space="preserve"> </w:t>
      </w:r>
      <w:r w:rsidR="009A7F63">
        <w:t>sprawdzona została zmienność w czasie parametrów strukturalnych modelu 2.</w:t>
      </w:r>
    </w:p>
    <w:p w14:paraId="7C25C437" w14:textId="26C3BC4F" w:rsidR="009A7F63" w:rsidRPr="006A647A" w:rsidRDefault="009A7F63" w:rsidP="006A647A">
      <w:pPr>
        <w:pStyle w:val="licencjat"/>
        <w:ind w:firstLine="0"/>
      </w:pPr>
      <w:r>
        <w:rPr>
          <w:noProof/>
        </w:rPr>
        <w:lastRenderedPageBreak/>
        <w:drawing>
          <wp:inline distT="0" distB="0" distL="0" distR="0" wp14:anchorId="3E1BFB31" wp14:editId="6D04C259">
            <wp:extent cx="4239491" cy="4994578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3" cy="50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110" w14:textId="4B4E8E35" w:rsidR="00AA4CA7" w:rsidRDefault="009A7F63" w:rsidP="006A647A">
      <w:pPr>
        <w:pStyle w:val="licencjat"/>
        <w:ind w:firstLine="0"/>
      </w:pPr>
      <w:r>
        <w:t xml:space="preserve">Wyniki testu wskazują na to, że </w:t>
      </w:r>
      <w:r w:rsidR="00331DD8">
        <w:t xml:space="preserve">parametry strukturalne </w:t>
      </w:r>
      <w:r>
        <w:t>zmienn</w:t>
      </w:r>
      <w:r w:rsidR="00331DD8">
        <w:t>ych</w:t>
      </w:r>
      <w:r>
        <w:t xml:space="preserve"> frakcja wyrzutowa oraz serotonina w surowicy krwi są zmienne w czasie i łamią założenie o proporcjonalności hazardu. </w:t>
      </w:r>
    </w:p>
    <w:p w14:paraId="6B65EE85" w14:textId="77777777" w:rsidR="00AA4CA7" w:rsidRDefault="00AA4CA7" w:rsidP="006A647A">
      <w:pPr>
        <w:pStyle w:val="licencjat"/>
        <w:ind w:firstLine="0"/>
      </w:pPr>
    </w:p>
    <w:p w14:paraId="7A4C6C22" w14:textId="77777777" w:rsidR="00AA4CA7" w:rsidRDefault="00AA4CA7" w:rsidP="006A647A">
      <w:pPr>
        <w:pStyle w:val="licencjat"/>
        <w:ind w:firstLine="0"/>
      </w:pPr>
    </w:p>
    <w:p w14:paraId="253B4655" w14:textId="77777777" w:rsidR="00AA4CA7" w:rsidRDefault="00AA4CA7" w:rsidP="006A647A">
      <w:pPr>
        <w:pStyle w:val="licencjat"/>
        <w:ind w:firstLine="0"/>
      </w:pPr>
    </w:p>
    <w:p w14:paraId="00E90279" w14:textId="6E05FBA6" w:rsidR="006A647A" w:rsidRDefault="009A7F63" w:rsidP="006A647A">
      <w:pPr>
        <w:pStyle w:val="licencjat"/>
        <w:ind w:firstLine="0"/>
      </w:pPr>
      <w:r>
        <w:t xml:space="preserve">Drugą metodą na potwierdzenie tych przypuszczeń jest wizualizacja wyskalowanych reszt </w:t>
      </w:r>
      <w:proofErr w:type="spellStart"/>
      <w:r>
        <w:t>Schoenfielda</w:t>
      </w:r>
      <w:proofErr w:type="spellEnd"/>
      <w:r w:rsidR="004341F5">
        <w:t xml:space="preserve"> bazujących na częściowej wiarygodności</w:t>
      </w:r>
      <w:r w:rsidR="00AA4CA7">
        <w:t xml:space="preserve">. Reszty </w:t>
      </w:r>
      <w:proofErr w:type="spellStart"/>
      <w:r w:rsidR="00AA4CA7">
        <w:t>Schoenfielda</w:t>
      </w:r>
      <w:proofErr w:type="spellEnd"/>
      <w:r w:rsidR="00AA4CA7">
        <w:t xml:space="preserve"> wyrażone są wzorem</w:t>
      </w:r>
      <w:r>
        <w:t>:</w:t>
      </w:r>
    </w:p>
    <w:p w14:paraId="2F2E4398" w14:textId="1A469ADF" w:rsidR="004341F5" w:rsidRDefault="009A7F63" w:rsidP="009A7F63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r>
                  <w:rPr>
                    <w:rFonts w:ascii="Cambria Math" w:hAnsi="Cambria Math"/>
                  </w:rPr>
                  <m:t>exp(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</w:rPr>
                  <m:t>exp(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u=1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  <m:r>
          <w:rPr>
            <w:rFonts w:ascii="Cambria Math" w:hAnsi="Cambria Math"/>
          </w:rPr>
          <m:t>)</m:t>
        </m:r>
      </m:oMath>
      <w:r>
        <w:t>,</w:t>
      </w:r>
    </w:p>
    <w:p w14:paraId="21B02B04" w14:textId="77777777" w:rsidR="002E1DFC" w:rsidRPr="002E1DFC" w:rsidRDefault="002E1DFC" w:rsidP="009A7F63">
      <w:pPr>
        <w:pStyle w:val="BodyTextFirstIndent2"/>
        <w:tabs>
          <w:tab w:val="center" w:pos="4394"/>
          <w:tab w:val="right" w:pos="8789"/>
        </w:tabs>
        <w:ind w:left="0" w:firstLine="0"/>
      </w:pPr>
    </w:p>
    <w:p w14:paraId="11E9985F" w14:textId="18FC7EF5" w:rsidR="00AA4CA7" w:rsidRPr="00AF2CF0" w:rsidRDefault="00AA4CA7" w:rsidP="006A647A">
      <w:pPr>
        <w:pStyle w:val="licencjat"/>
        <w:ind w:firstLine="0"/>
      </w:pPr>
      <w:r>
        <w:t xml:space="preserve">Dla jednostki </w:t>
      </w:r>
      <w:r>
        <w:rPr>
          <w:i/>
          <w:iCs/>
        </w:rPr>
        <w:t>i</w:t>
      </w:r>
      <w:r>
        <w:t xml:space="preserve"> oraz zmiennej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F2CF0">
        <w:t xml:space="preserve">. </w:t>
      </w:r>
      <w:r>
        <w:rPr>
          <w:rFonts w:eastAsiaTheme="minorEastAsia"/>
        </w:rPr>
        <w:t xml:space="preserve">Wyskalowane reszty </w:t>
      </w:r>
      <w:proofErr w:type="spellStart"/>
      <w:r>
        <w:rPr>
          <w:rFonts w:eastAsiaTheme="minorEastAsia"/>
        </w:rPr>
        <w:t>Schoenfielda</w:t>
      </w:r>
      <w:proofErr w:type="spellEnd"/>
      <w:r>
        <w:rPr>
          <w:rFonts w:eastAsiaTheme="minorEastAsia"/>
        </w:rPr>
        <w:t xml:space="preserve"> opisane są:</w:t>
      </w:r>
    </w:p>
    <w:p w14:paraId="4FA6E41E" w14:textId="12CC1F3E" w:rsidR="004341F5" w:rsidRDefault="004341F5" w:rsidP="004341F5">
      <w:pPr>
        <w:pStyle w:val="BodyTextFirstIndent2"/>
        <w:tabs>
          <w:tab w:val="center" w:pos="4394"/>
          <w:tab w:val="right" w:pos="8789"/>
        </w:tabs>
        <w:ind w:left="0" w:firstLine="0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 ωVar(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</w:p>
    <w:p w14:paraId="0D1095A7" w14:textId="77777777" w:rsidR="00AF2CF0" w:rsidRDefault="00AF2CF0" w:rsidP="00AF2CF0">
      <w:pPr>
        <w:pStyle w:val="licencjat"/>
        <w:ind w:firstLine="0"/>
      </w:pPr>
    </w:p>
    <w:p w14:paraId="50B67FA4" w14:textId="2B8D3F12" w:rsidR="00AA4CA7" w:rsidRDefault="00AA4CA7" w:rsidP="00AF2CF0">
      <w:pPr>
        <w:pStyle w:val="licencjat"/>
        <w:ind w:firstLine="0"/>
      </w:pPr>
      <w:r>
        <w:lastRenderedPageBreak/>
        <w:t xml:space="preserve">gdzie, </w:t>
      </w:r>
      <m:oMath>
        <m:r>
          <w:rPr>
            <w:rFonts w:ascii="Cambria Math" w:hAnsi="Cambria Math"/>
          </w:rPr>
          <m:t>ω</m:t>
        </m:r>
      </m:oMath>
      <w:r w:rsidR="00AF2CF0">
        <w:t xml:space="preserve"> jest liczbą zdarzeń w próbie o </w:t>
      </w:r>
      <w:r w:rsidR="00AF2CF0">
        <w:rPr>
          <w:i/>
          <w:iCs/>
        </w:rPr>
        <w:t>n</w:t>
      </w:r>
      <w:r w:rsidR="00AF2CF0">
        <w:t xml:space="preserve"> elementach.</w:t>
      </w:r>
    </w:p>
    <w:p w14:paraId="64B968DB" w14:textId="5ED3BAE5" w:rsidR="001741BA" w:rsidRDefault="001741BA" w:rsidP="00AF2CF0">
      <w:pPr>
        <w:pStyle w:val="licencjat"/>
        <w:ind w:firstLine="0"/>
        <w:rPr>
          <w:rFonts w:eastAsiaTheme="minorEastAsia"/>
        </w:rPr>
      </w:pPr>
      <w:r>
        <w:t xml:space="preserve">Reszty te są różnicą w momencie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między empirycznymi wartościami zmiennych objaśniających oraz wartościami oczekiwanymi pod warunkiem,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jednostek jest narażonych. Aby spełnić założenie o proporcjonalności hazardu, wyskalowane reszty </w:t>
      </w:r>
      <w:proofErr w:type="spellStart"/>
      <w:r>
        <w:rPr>
          <w:rFonts w:eastAsiaTheme="minorEastAsia"/>
        </w:rPr>
        <w:t>Schoenfielda</w:t>
      </w:r>
      <w:proofErr w:type="spellEnd"/>
      <w:r>
        <w:rPr>
          <w:rFonts w:eastAsiaTheme="minorEastAsia"/>
        </w:rPr>
        <w:t xml:space="preserve"> powinny być bliskie 0 w każdym </w:t>
      </w:r>
      <w:proofErr w:type="gramStart"/>
      <w:r>
        <w:rPr>
          <w:rFonts w:eastAsiaTheme="minorEastAsia"/>
        </w:rPr>
        <w:t>okresie czasu</w:t>
      </w:r>
      <w:proofErr w:type="gramEnd"/>
      <w:r>
        <w:rPr>
          <w:rFonts w:eastAsiaTheme="minorEastAsia"/>
        </w:rPr>
        <w:t xml:space="preserve">. </w:t>
      </w:r>
    </w:p>
    <w:p w14:paraId="7BB5BC0E" w14:textId="5C22B9AF" w:rsidR="007714A6" w:rsidRDefault="007714A6" w:rsidP="00AF2CF0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t>Wykresy tych reszt dla zmiennych frakcji wyrzutowej oraz serotoniny w surowicy krwi odbiegają od wartości 0:</w:t>
      </w:r>
    </w:p>
    <w:p w14:paraId="5E78D781" w14:textId="1D04B2CC" w:rsidR="00331DD8" w:rsidRDefault="007714A6" w:rsidP="008F06A6">
      <w:pPr>
        <w:pStyle w:val="licencjat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2EEBFE2" wp14:editId="43C9924B">
            <wp:extent cx="4364182" cy="5692413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77709" cy="57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090F" w14:textId="3F35AEF7" w:rsidR="00B5373D" w:rsidRDefault="00B5373D" w:rsidP="008F06A6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t>Aby skorygować te założenie do modelu zostały dodane sklejone zmienne (</w:t>
      </w:r>
      <w:r>
        <w:rPr>
          <w:rFonts w:eastAsiaTheme="minorEastAsia"/>
          <w:i/>
          <w:iCs/>
        </w:rPr>
        <w:t>B-</w:t>
      </w:r>
      <w:proofErr w:type="spellStart"/>
      <w:r>
        <w:rPr>
          <w:rFonts w:eastAsiaTheme="minorEastAsia"/>
          <w:i/>
          <w:iCs/>
        </w:rPr>
        <w:t>splines</w:t>
      </w:r>
      <w:proofErr w:type="spellEnd"/>
      <w:r>
        <w:rPr>
          <w:rFonts w:eastAsiaTheme="minorEastAsia"/>
        </w:rPr>
        <w:t>) dla frakcji wyrzutowej i serotoniny w surowicy krwi. B-</w:t>
      </w:r>
      <w:proofErr w:type="spellStart"/>
      <w:r>
        <w:rPr>
          <w:rFonts w:eastAsiaTheme="minorEastAsia"/>
        </w:rPr>
        <w:t>spline</w:t>
      </w:r>
      <w:proofErr w:type="spellEnd"/>
      <w:r>
        <w:rPr>
          <w:rFonts w:eastAsiaTheme="minorEastAsia"/>
        </w:rPr>
        <w:t xml:space="preserve"> to podział zakresu zmiennej na mniejsze przedziały, dzięki czemu możliwe jest uzyskanie nieliniowej zależności poprzez kombinację liniową tych pomniejszych funkcji bazowych.</w:t>
      </w:r>
    </w:p>
    <w:p w14:paraId="584C0131" w14:textId="64FCD5DA" w:rsidR="00B5373D" w:rsidRPr="00B5373D" w:rsidRDefault="00B5373D" w:rsidP="008F06A6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Dzięki </w:t>
      </w:r>
      <w:r w:rsidR="005C4014">
        <w:rPr>
          <w:rFonts w:eastAsiaTheme="minorEastAsia"/>
        </w:rPr>
        <w:t>metodzie B-</w:t>
      </w:r>
      <w:proofErr w:type="spellStart"/>
      <w:r w:rsidR="005C4014">
        <w:rPr>
          <w:rFonts w:eastAsiaTheme="minorEastAsia"/>
        </w:rPr>
        <w:t>spline</w:t>
      </w:r>
      <w:proofErr w:type="spellEnd"/>
      <w:r>
        <w:rPr>
          <w:rFonts w:eastAsiaTheme="minorEastAsia"/>
        </w:rPr>
        <w:t xml:space="preserve"> skalowane reszty </w:t>
      </w:r>
      <w:proofErr w:type="spellStart"/>
      <w:r>
        <w:rPr>
          <w:rFonts w:eastAsiaTheme="minorEastAsia"/>
        </w:rPr>
        <w:t>Schoenfielda</w:t>
      </w:r>
      <w:proofErr w:type="spellEnd"/>
      <w:r>
        <w:rPr>
          <w:rFonts w:eastAsiaTheme="minorEastAsia"/>
        </w:rPr>
        <w:t xml:space="preserve"> wynoszą w przybliżeniu 0 i spełnione jest założenie o proporcjonalności hazardu, jednak w zamian za to model jest znacznie mniej interpretowalny, szczególnie zważywszy, że było to bardzo istotne zmienne. Model 3 natomiast pomimo utraty interpretowalności wydaje się być lepiej dopasowany ze względu na kryterium informacyjne </w:t>
      </w:r>
      <w:proofErr w:type="spellStart"/>
      <w:r>
        <w:rPr>
          <w:rFonts w:eastAsiaTheme="minorEastAsia"/>
        </w:rPr>
        <w:t>Akaike</w:t>
      </w:r>
      <w:proofErr w:type="spellEnd"/>
      <w:r>
        <w:rPr>
          <w:rFonts w:eastAsiaTheme="minorEastAsia"/>
        </w:rPr>
        <w:t xml:space="preserve">. Można założyć, że ma on lepszą moc predykcyjną, jednak potrzebne by były kolejne testy i miary </w:t>
      </w:r>
      <w:proofErr w:type="gramStart"/>
      <w:r>
        <w:rPr>
          <w:rFonts w:eastAsiaTheme="minorEastAsia"/>
        </w:rPr>
        <w:t>predykcji</w:t>
      </w:r>
      <w:proofErr w:type="gramEnd"/>
      <w:r>
        <w:rPr>
          <w:rFonts w:eastAsiaTheme="minorEastAsia"/>
        </w:rPr>
        <w:t xml:space="preserve"> aby to potwierdzić.</w:t>
      </w:r>
    </w:p>
    <w:p w14:paraId="6BD49E2C" w14:textId="496C6559" w:rsidR="00331DD8" w:rsidRDefault="00331DD8" w:rsidP="008F06A6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t>Model 3:</w:t>
      </w:r>
    </w:p>
    <w:p w14:paraId="0CA67572" w14:textId="14805F78" w:rsidR="002E1DFC" w:rsidRDefault="00430965" w:rsidP="008F06A6">
      <w:pPr>
        <w:pStyle w:val="licencjat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BDB4A20" wp14:editId="2E10A458">
            <wp:extent cx="2728570" cy="1974539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54245" cy="19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14A3" w14:textId="4F09674C" w:rsidR="00430965" w:rsidRDefault="00430965" w:rsidP="008F06A6">
      <w:pPr>
        <w:pStyle w:val="licencjat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6CCB6FC" wp14:editId="18B25D3A">
            <wp:extent cx="5579745" cy="1379855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887" w14:textId="32CA32A5" w:rsidR="00331DD8" w:rsidRDefault="00430965" w:rsidP="008F06A6">
      <w:pPr>
        <w:pStyle w:val="licencjat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205AA3A" wp14:editId="29B37BDB">
            <wp:extent cx="2077517" cy="88214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01106" cy="8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FDC3" w14:textId="50BECA24" w:rsidR="00A809B9" w:rsidRPr="00A809B9" w:rsidRDefault="00A809B9" w:rsidP="008F06A6">
      <w:pPr>
        <w:pStyle w:val="licencjat"/>
        <w:ind w:firstLine="0"/>
        <w:rPr>
          <w:i/>
          <w:iCs/>
        </w:rPr>
      </w:pPr>
      <w:r>
        <w:rPr>
          <w:i/>
          <w:iCs/>
        </w:rPr>
        <w:t xml:space="preserve">*bardziej czytelna wersja tabel w </w:t>
      </w:r>
      <w:proofErr w:type="spellStart"/>
      <w:r>
        <w:rPr>
          <w:i/>
          <w:iCs/>
        </w:rPr>
        <w:t>google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colab</w:t>
      </w:r>
      <w:proofErr w:type="spellEnd"/>
      <w:r>
        <w:rPr>
          <w:i/>
          <w:iCs/>
        </w:rPr>
        <w:t xml:space="preserve"> notebook wysłanym razem z pracą.</w:t>
      </w:r>
    </w:p>
    <w:p w14:paraId="2ADAB94A" w14:textId="353B404B" w:rsidR="005C4014" w:rsidRDefault="005C4014" w:rsidP="008F06A6">
      <w:pPr>
        <w:pStyle w:val="licencjat"/>
        <w:ind w:firstLine="0"/>
        <w:rPr>
          <w:rFonts w:eastAsiaTheme="minorEastAsia"/>
        </w:rPr>
      </w:pPr>
      <w:r>
        <w:rPr>
          <w:rFonts w:eastAsiaTheme="minorEastAsia"/>
        </w:rPr>
        <w:t xml:space="preserve">Wartości oczekiwane skalowanych błędów </w:t>
      </w:r>
      <w:proofErr w:type="spellStart"/>
      <w:r>
        <w:rPr>
          <w:rFonts w:eastAsiaTheme="minorEastAsia"/>
        </w:rPr>
        <w:t>Schoenfielda</w:t>
      </w:r>
      <w:proofErr w:type="spellEnd"/>
      <w:r>
        <w:rPr>
          <w:rFonts w:eastAsiaTheme="minorEastAsia"/>
        </w:rPr>
        <w:t xml:space="preserve"> modelu 3:</w:t>
      </w:r>
    </w:p>
    <w:p w14:paraId="77018105" w14:textId="04BBA7F4" w:rsidR="008E7832" w:rsidRDefault="000C39E8" w:rsidP="008F06A6">
      <w:pPr>
        <w:pStyle w:val="licencjat"/>
        <w:ind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440BB7C" wp14:editId="07A5F52E">
            <wp:extent cx="5579745" cy="226758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EA2" w14:textId="4FE46A94" w:rsidR="000C39E8" w:rsidRDefault="000C39E8" w:rsidP="008F06A6">
      <w:pPr>
        <w:pStyle w:val="licencjat"/>
        <w:ind w:firstLine="0"/>
        <w:rPr>
          <w:rFonts w:eastAsiaTheme="minorEastAsia"/>
        </w:rPr>
      </w:pPr>
    </w:p>
    <w:p w14:paraId="08D98304" w14:textId="77777777" w:rsidR="000C39E8" w:rsidRDefault="000C39E8" w:rsidP="008F06A6">
      <w:pPr>
        <w:pStyle w:val="licencjat"/>
        <w:ind w:firstLine="0"/>
        <w:rPr>
          <w:rFonts w:eastAsiaTheme="minorEastAsia"/>
        </w:rPr>
      </w:pPr>
    </w:p>
    <w:p w14:paraId="257BE976" w14:textId="744ADFEA" w:rsidR="00472D2B" w:rsidRPr="00472D2B" w:rsidRDefault="00472D2B" w:rsidP="00472D2B">
      <w:pPr>
        <w:pStyle w:val="licencjat"/>
        <w:numPr>
          <w:ilvl w:val="0"/>
          <w:numId w:val="37"/>
        </w:numPr>
        <w:rPr>
          <w:rFonts w:eastAsiaTheme="minorEastAsia"/>
          <w:b/>
          <w:bCs/>
        </w:rPr>
      </w:pPr>
      <w:r>
        <w:rPr>
          <w:b/>
          <w:bCs/>
        </w:rPr>
        <w:t>Interpretacja najlepszego modelu</w:t>
      </w:r>
    </w:p>
    <w:p w14:paraId="44C6BCD6" w14:textId="04044400" w:rsidR="008E7832" w:rsidRDefault="00472D2B" w:rsidP="008F06A6">
      <w:pPr>
        <w:pStyle w:val="licencjat"/>
        <w:ind w:firstLine="0"/>
      </w:pPr>
      <w:r>
        <w:t>Średni hazard bazowy dla wszystkich punktów w czasie (dla których występowały wydarzenia lub obserwacje cenzurowane) modelu 3 wynosi 0.003 – oznacza to, że zdecydowanie większą część szacowanego hazardu stanowi efekt zmienności zmiennych objaśniających.</w:t>
      </w:r>
    </w:p>
    <w:p w14:paraId="32B16AEC" w14:textId="72E5A7B2" w:rsidR="00472D2B" w:rsidRDefault="00472D2B" w:rsidP="008F06A6">
      <w:pPr>
        <w:pStyle w:val="licencjat"/>
        <w:ind w:firstLine="0"/>
      </w:pPr>
      <w:r>
        <w:t>Interpretacja parametrów strukturalnych modelu:</w:t>
      </w:r>
    </w:p>
    <w:p w14:paraId="6F5F4847" w14:textId="469166BC" w:rsidR="00472D2B" w:rsidRDefault="00472D2B" w:rsidP="008F06A6">
      <w:pPr>
        <w:pStyle w:val="licencjat"/>
        <w:ind w:firstLine="0"/>
      </w:pPr>
      <w:r>
        <w:t xml:space="preserve">- Wzrost wieku pacjenta o rok wpływa na zwiększenie hazardu średni o około 4.2 %. </w:t>
      </w:r>
      <w:proofErr w:type="spellStart"/>
      <w:r>
        <w:t>Ceteris</w:t>
      </w:r>
      <w:proofErr w:type="spellEnd"/>
      <w:r>
        <w:t xml:space="preserve"> Paribus.</w:t>
      </w:r>
    </w:p>
    <w:p w14:paraId="531F1136" w14:textId="5D692A45" w:rsidR="00472D2B" w:rsidRDefault="00472D2B" w:rsidP="008F06A6">
      <w:pPr>
        <w:pStyle w:val="licencjat"/>
        <w:ind w:firstLine="0"/>
      </w:pPr>
      <w:r>
        <w:t xml:space="preserve">- Spadek </w:t>
      </w:r>
      <w:proofErr w:type="spellStart"/>
      <w:r>
        <w:t>er</w:t>
      </w:r>
      <w:r w:rsidR="0099379B">
        <w:t>y</w:t>
      </w:r>
      <w:r>
        <w:t>t</w:t>
      </w:r>
      <w:r w:rsidR="0099379B">
        <w:t>o</w:t>
      </w:r>
      <w:r>
        <w:t>cytów</w:t>
      </w:r>
      <w:proofErr w:type="spellEnd"/>
      <w:r>
        <w:t xml:space="preserve"> lub hemoglobiny </w:t>
      </w:r>
      <w:r w:rsidR="0099379B">
        <w:t xml:space="preserve">u pacjenta zwiększa hazard pacjenta w danym okresie o około 78% względem pacjentów, u których nie występuje ten spadek (względem grupy referencyjnej. </w:t>
      </w:r>
      <w:proofErr w:type="spellStart"/>
      <w:r w:rsidR="0099379B">
        <w:t>Ceteris</w:t>
      </w:r>
      <w:proofErr w:type="spellEnd"/>
      <w:r w:rsidR="0099379B">
        <w:t xml:space="preserve"> Paribus.</w:t>
      </w:r>
    </w:p>
    <w:p w14:paraId="6257CD3B" w14:textId="0D553516" w:rsidR="0099379B" w:rsidRDefault="0099379B" w:rsidP="008F06A6">
      <w:pPr>
        <w:pStyle w:val="licencjat"/>
        <w:ind w:firstLine="0"/>
      </w:pPr>
      <w:r>
        <w:t xml:space="preserve">- wzrost enzymu CPK we krwi o 1 </w:t>
      </w:r>
      <w:proofErr w:type="spellStart"/>
      <w:r>
        <w:t>mcg</w:t>
      </w:r>
      <w:proofErr w:type="spellEnd"/>
      <w:r>
        <w:t xml:space="preserve">/L zwiększa hazard średnio o mniej niż 0.1%. </w:t>
      </w:r>
      <w:proofErr w:type="spellStart"/>
      <w:r>
        <w:t>Ceteris</w:t>
      </w:r>
      <w:proofErr w:type="spellEnd"/>
      <w:r>
        <w:t xml:space="preserve"> Paribus. Zmienna zdaje się wpływać bardzo nieznacznie na wartość funkcji hazard, pomimo to zmienna jest statystycznie istotna. Jest tak ze względu na jej duży zakres (minimum 23, maksimum powyżej 7000).</w:t>
      </w:r>
    </w:p>
    <w:p w14:paraId="14577FE3" w14:textId="6AC99C6F" w:rsidR="0099379B" w:rsidRDefault="0099379B" w:rsidP="008F06A6">
      <w:pPr>
        <w:pStyle w:val="licencjat"/>
        <w:ind w:firstLine="0"/>
      </w:pPr>
      <w:r>
        <w:t xml:space="preserve">- Pacjenci z wysokim ciśnieniem krwi mają hazard średni o około 55% wyższy w tym samy </w:t>
      </w:r>
      <w:proofErr w:type="gramStart"/>
      <w:r>
        <w:t>okresie czasu</w:t>
      </w:r>
      <w:proofErr w:type="gramEnd"/>
      <w:r>
        <w:t xml:space="preserve"> niż pacjenci bez podwyższonego ciśnienia krwi. </w:t>
      </w:r>
      <w:proofErr w:type="spellStart"/>
      <w:r>
        <w:t>Ceteris</w:t>
      </w:r>
      <w:proofErr w:type="spellEnd"/>
      <w:r>
        <w:t xml:space="preserve"> Paribus.</w:t>
      </w:r>
    </w:p>
    <w:p w14:paraId="5383381F" w14:textId="53103031" w:rsidR="0099379B" w:rsidRDefault="0099379B" w:rsidP="008F06A6">
      <w:pPr>
        <w:pStyle w:val="licencjat"/>
        <w:ind w:firstLine="0"/>
      </w:pPr>
      <w:r>
        <w:t xml:space="preserve">- Zwiększenie poziomu sodu we krwi o 1 </w:t>
      </w:r>
      <w:proofErr w:type="spellStart"/>
      <w:r>
        <w:t>mEq</w:t>
      </w:r>
      <w:proofErr w:type="spellEnd"/>
      <w:r>
        <w:t xml:space="preserve">/L zmniejsza wartość hazardu średnio o około 3%. </w:t>
      </w:r>
      <w:proofErr w:type="spellStart"/>
      <w:r>
        <w:t>Ceteris</w:t>
      </w:r>
      <w:proofErr w:type="spellEnd"/>
      <w:r>
        <w:t xml:space="preserve"> Paribus.</w:t>
      </w:r>
    </w:p>
    <w:p w14:paraId="2F15AF94" w14:textId="4749B56F" w:rsidR="0099379B" w:rsidRDefault="0099379B" w:rsidP="008F06A6">
      <w:pPr>
        <w:pStyle w:val="licencjat"/>
        <w:ind w:firstLine="0"/>
      </w:pPr>
      <w:r>
        <w:t>- Zmienna frakcja wyrzutowa jest trudna do interpretacji ze względu na transformacje przy pomocy b-</w:t>
      </w:r>
      <w:proofErr w:type="spellStart"/>
      <w:r>
        <w:t>spline</w:t>
      </w:r>
      <w:proofErr w:type="spellEnd"/>
      <w:r>
        <w:t xml:space="preserve">, </w:t>
      </w:r>
      <w:r w:rsidR="00CB70DD">
        <w:t xml:space="preserve">jednak biorąc pod uwagę na wcześniejszą analizę krzywych ze względu na tą zmienną, wiemy, że pacjenci o niskich wartościach są najbardziej narażeni, o najwyższych wartościach także są bardziej narażeni od tych w okolicy mediany i 3 </w:t>
      </w:r>
      <w:proofErr w:type="spellStart"/>
      <w:r w:rsidR="00CB70DD">
        <w:t>kwartyla</w:t>
      </w:r>
      <w:proofErr w:type="spellEnd"/>
      <w:r w:rsidR="00CB70DD">
        <w:t xml:space="preserve">. </w:t>
      </w:r>
      <w:r w:rsidR="00CB70DD">
        <w:lastRenderedPageBreak/>
        <w:t>Parametry przy zmiennych bazowych funkcji sklejanej oraz ich istotność zdają się to potwierdzać.</w:t>
      </w:r>
    </w:p>
    <w:p w14:paraId="54D074EE" w14:textId="6DFAA90C" w:rsidR="00203033" w:rsidRDefault="00CB70DD" w:rsidP="008F06A6">
      <w:pPr>
        <w:pStyle w:val="licencjat"/>
        <w:ind w:firstLine="0"/>
      </w:pPr>
      <w:r>
        <w:t>- Kreatynina w surowicy krwi także nie ma prostej interpretacji przez transformacje funkcją sklejaną. Podobnie, we wcześniejszej analizy krzyw przeżycia dowiedliśmy, że pacjenci z wyższą wartością tej zmiennej mają mniejszą wartość funkcji przeżycia, a więc większą wartość funkcji hazardu.</w:t>
      </w:r>
    </w:p>
    <w:p w14:paraId="6C2C4243" w14:textId="429EE3C6" w:rsidR="00CB70DD" w:rsidRDefault="00CB70DD" w:rsidP="00203033">
      <w:pPr>
        <w:pStyle w:val="licencjat"/>
        <w:ind w:firstLine="567"/>
      </w:pPr>
      <w:r>
        <w:t>Bazując interpretacje</w:t>
      </w:r>
      <w:r w:rsidR="00B23772">
        <w:t xml:space="preserve"> zmiennych</w:t>
      </w:r>
      <w:r>
        <w:t xml:space="preserve"> </w:t>
      </w:r>
      <w:r w:rsidR="00B23772">
        <w:t>„frakcja wyrzutowa” oraz „kreatynina w surowicy krwi”</w:t>
      </w:r>
      <w:r>
        <w:t xml:space="preserve"> na modelu 2 (który nie spełniał założenia proporcjonalnego hazardu i miał większ</w:t>
      </w:r>
      <w:r w:rsidR="00B23772">
        <w:t>y</w:t>
      </w:r>
      <w:r>
        <w:t xml:space="preserve"> wynik kryterium AIC)</w:t>
      </w:r>
      <w:r w:rsidR="00203033">
        <w:t xml:space="preserve"> brzmi</w:t>
      </w:r>
      <w:r w:rsidR="00B23772">
        <w:t>ą</w:t>
      </w:r>
      <w:r w:rsidR="00203033">
        <w:t xml:space="preserve"> one:</w:t>
      </w:r>
    </w:p>
    <w:p w14:paraId="35CBE44C" w14:textId="77777777" w:rsidR="00B23772" w:rsidRDefault="00203033" w:rsidP="008F06A6">
      <w:pPr>
        <w:pStyle w:val="licencjat"/>
        <w:ind w:firstLine="0"/>
      </w:pPr>
      <w:r>
        <w:t>- Wraz ze wzrostem fr</w:t>
      </w:r>
      <w:r w:rsidR="00B23772">
        <w:t>a</w:t>
      </w:r>
      <w:r>
        <w:t xml:space="preserve">kcji wyrzutowej o 1 punkt procentowy, wartość hazardu maleje średnio o około 4%. </w:t>
      </w:r>
      <w:proofErr w:type="spellStart"/>
      <w:r>
        <w:t>Ceteris</w:t>
      </w:r>
      <w:proofErr w:type="spellEnd"/>
      <w:r>
        <w:t xml:space="preserve"> Paribus.</w:t>
      </w:r>
    </w:p>
    <w:p w14:paraId="17E7F17B" w14:textId="4113F5DD" w:rsidR="00203033" w:rsidRDefault="00203033" w:rsidP="008F06A6">
      <w:pPr>
        <w:pStyle w:val="licencjat"/>
        <w:ind w:firstLine="0"/>
      </w:pPr>
      <w:r>
        <w:t>- Wraz ze wzrostem kreatyniny w surowicy krwi o 1 mg/</w:t>
      </w:r>
      <w:proofErr w:type="spellStart"/>
      <w:r>
        <w:t>dL</w:t>
      </w:r>
      <w:proofErr w:type="spellEnd"/>
      <w:r>
        <w:t xml:space="preserve">, wartość hazardu rośnie średnio o około 37%. </w:t>
      </w:r>
      <w:proofErr w:type="spellStart"/>
      <w:r>
        <w:t>Ceteris</w:t>
      </w:r>
      <w:proofErr w:type="spellEnd"/>
      <w:r>
        <w:t xml:space="preserve"> Paribus.</w:t>
      </w:r>
    </w:p>
    <w:p w14:paraId="0239D1D4" w14:textId="55F12EC7" w:rsidR="0099379B" w:rsidRDefault="0099379B" w:rsidP="0099379B">
      <w:pPr>
        <w:pStyle w:val="licencjat"/>
        <w:ind w:firstLine="0"/>
      </w:pPr>
    </w:p>
    <w:sectPr w:rsidR="0099379B" w:rsidSect="001E49B6">
      <w:footerReference w:type="default" r:id="rId52"/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5618E" w14:textId="77777777" w:rsidR="00490C44" w:rsidRDefault="00490C44" w:rsidP="00165051">
      <w:r>
        <w:separator/>
      </w:r>
    </w:p>
  </w:endnote>
  <w:endnote w:type="continuationSeparator" w:id="0">
    <w:p w14:paraId="18FE94D4" w14:textId="77777777" w:rsidR="00490C44" w:rsidRDefault="00490C44" w:rsidP="0016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9CE42" w14:textId="199B8E10" w:rsidR="003841F2" w:rsidRPr="00F6291A" w:rsidRDefault="003841F2">
    <w:pPr>
      <w:pStyle w:val="Footer"/>
      <w:jc w:val="right"/>
      <w:rPr>
        <w:sz w:val="20"/>
        <w:szCs w:val="20"/>
      </w:rPr>
    </w:pPr>
    <w:r w:rsidRPr="00F6291A">
      <w:rPr>
        <w:sz w:val="20"/>
        <w:szCs w:val="20"/>
      </w:rPr>
      <w:fldChar w:fldCharType="begin"/>
    </w:r>
    <w:r w:rsidRPr="00F6291A">
      <w:rPr>
        <w:sz w:val="20"/>
        <w:szCs w:val="20"/>
      </w:rPr>
      <w:instrText xml:space="preserve"> PAGE   \* MERGEFORMAT </w:instrText>
    </w:r>
    <w:r w:rsidRPr="00F6291A">
      <w:rPr>
        <w:sz w:val="20"/>
        <w:szCs w:val="20"/>
      </w:rPr>
      <w:fldChar w:fldCharType="separate"/>
    </w:r>
    <w:r>
      <w:rPr>
        <w:noProof/>
        <w:sz w:val="20"/>
        <w:szCs w:val="20"/>
      </w:rPr>
      <w:t>50</w:t>
    </w:r>
    <w:r w:rsidRPr="00F6291A">
      <w:rPr>
        <w:noProof/>
        <w:sz w:val="20"/>
        <w:szCs w:val="20"/>
      </w:rPr>
      <w:fldChar w:fldCharType="end"/>
    </w:r>
  </w:p>
  <w:p w14:paraId="0F2A9491" w14:textId="77777777" w:rsidR="003841F2" w:rsidRDefault="00384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C3257" w14:textId="77777777" w:rsidR="00490C44" w:rsidRDefault="00490C44" w:rsidP="00165051">
      <w:r>
        <w:separator/>
      </w:r>
    </w:p>
  </w:footnote>
  <w:footnote w:type="continuationSeparator" w:id="0">
    <w:p w14:paraId="750D142F" w14:textId="77777777" w:rsidR="00490C44" w:rsidRDefault="00490C44" w:rsidP="00165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4B7C"/>
    <w:multiLevelType w:val="hybridMultilevel"/>
    <w:tmpl w:val="76EE129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D8C695F"/>
    <w:multiLevelType w:val="hybridMultilevel"/>
    <w:tmpl w:val="668A27B0"/>
    <w:lvl w:ilvl="0" w:tplc="06E6179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A24003"/>
    <w:multiLevelType w:val="hybridMultilevel"/>
    <w:tmpl w:val="D968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61F5"/>
    <w:multiLevelType w:val="hybridMultilevel"/>
    <w:tmpl w:val="FBA8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5239"/>
    <w:multiLevelType w:val="hybridMultilevel"/>
    <w:tmpl w:val="1A4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90F"/>
    <w:multiLevelType w:val="hybridMultilevel"/>
    <w:tmpl w:val="372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143CB"/>
    <w:multiLevelType w:val="hybridMultilevel"/>
    <w:tmpl w:val="47F84DE4"/>
    <w:lvl w:ilvl="0" w:tplc="0415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35DC6"/>
    <w:multiLevelType w:val="hybridMultilevel"/>
    <w:tmpl w:val="D39A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B37F2"/>
    <w:multiLevelType w:val="hybridMultilevel"/>
    <w:tmpl w:val="9C9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609AB"/>
    <w:multiLevelType w:val="hybridMultilevel"/>
    <w:tmpl w:val="CBC83E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E3401"/>
    <w:multiLevelType w:val="hybridMultilevel"/>
    <w:tmpl w:val="41C8FE8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F507DB"/>
    <w:multiLevelType w:val="hybridMultilevel"/>
    <w:tmpl w:val="2910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E52DC"/>
    <w:multiLevelType w:val="hybridMultilevel"/>
    <w:tmpl w:val="29B0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94A05"/>
    <w:multiLevelType w:val="hybridMultilevel"/>
    <w:tmpl w:val="C2AA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7027C"/>
    <w:multiLevelType w:val="hybridMultilevel"/>
    <w:tmpl w:val="1EB2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F5F9C"/>
    <w:multiLevelType w:val="hybridMultilevel"/>
    <w:tmpl w:val="41C8FE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90DA2"/>
    <w:multiLevelType w:val="hybridMultilevel"/>
    <w:tmpl w:val="6D60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C34DD"/>
    <w:multiLevelType w:val="hybridMultilevel"/>
    <w:tmpl w:val="FFF2B3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4DAD"/>
    <w:multiLevelType w:val="hybridMultilevel"/>
    <w:tmpl w:val="CDC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7D97"/>
    <w:multiLevelType w:val="hybridMultilevel"/>
    <w:tmpl w:val="AAB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94DF7"/>
    <w:multiLevelType w:val="hybridMultilevel"/>
    <w:tmpl w:val="5E58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42A9C"/>
    <w:multiLevelType w:val="hybridMultilevel"/>
    <w:tmpl w:val="BC0A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05418"/>
    <w:multiLevelType w:val="hybridMultilevel"/>
    <w:tmpl w:val="819E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B6EAA"/>
    <w:multiLevelType w:val="hybridMultilevel"/>
    <w:tmpl w:val="9250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149F0"/>
    <w:multiLevelType w:val="hybridMultilevel"/>
    <w:tmpl w:val="8050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64B7B"/>
    <w:multiLevelType w:val="hybridMultilevel"/>
    <w:tmpl w:val="2CE2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0042D"/>
    <w:multiLevelType w:val="hybridMultilevel"/>
    <w:tmpl w:val="C984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3337E"/>
    <w:multiLevelType w:val="hybridMultilevel"/>
    <w:tmpl w:val="3BE06C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106F69"/>
    <w:multiLevelType w:val="hybridMultilevel"/>
    <w:tmpl w:val="A334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9336C"/>
    <w:multiLevelType w:val="hybridMultilevel"/>
    <w:tmpl w:val="D39A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02945"/>
    <w:multiLevelType w:val="hybridMultilevel"/>
    <w:tmpl w:val="DAD8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31919"/>
    <w:multiLevelType w:val="hybridMultilevel"/>
    <w:tmpl w:val="F634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33948"/>
    <w:multiLevelType w:val="hybridMultilevel"/>
    <w:tmpl w:val="D39A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E2AC9"/>
    <w:multiLevelType w:val="hybridMultilevel"/>
    <w:tmpl w:val="4844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F4821"/>
    <w:multiLevelType w:val="hybridMultilevel"/>
    <w:tmpl w:val="CEEA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1F81"/>
    <w:multiLevelType w:val="hybridMultilevel"/>
    <w:tmpl w:val="B2E46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5013FC"/>
    <w:multiLevelType w:val="hybridMultilevel"/>
    <w:tmpl w:val="D39A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0742C"/>
    <w:multiLevelType w:val="hybridMultilevel"/>
    <w:tmpl w:val="4342CEF8"/>
    <w:lvl w:ilvl="0" w:tplc="879CE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60BA1"/>
    <w:multiLevelType w:val="hybridMultilevel"/>
    <w:tmpl w:val="9102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C6A63"/>
    <w:multiLevelType w:val="hybridMultilevel"/>
    <w:tmpl w:val="668A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15"/>
  </w:num>
  <w:num w:numId="5">
    <w:abstractNumId w:val="37"/>
  </w:num>
  <w:num w:numId="6">
    <w:abstractNumId w:val="0"/>
  </w:num>
  <w:num w:numId="7">
    <w:abstractNumId w:val="18"/>
  </w:num>
  <w:num w:numId="8">
    <w:abstractNumId w:val="8"/>
  </w:num>
  <w:num w:numId="9">
    <w:abstractNumId w:val="23"/>
  </w:num>
  <w:num w:numId="10">
    <w:abstractNumId w:val="35"/>
  </w:num>
  <w:num w:numId="11">
    <w:abstractNumId w:val="22"/>
  </w:num>
  <w:num w:numId="12">
    <w:abstractNumId w:val="4"/>
  </w:num>
  <w:num w:numId="13">
    <w:abstractNumId w:val="26"/>
  </w:num>
  <w:num w:numId="14">
    <w:abstractNumId w:val="34"/>
  </w:num>
  <w:num w:numId="15">
    <w:abstractNumId w:val="12"/>
  </w:num>
  <w:num w:numId="16">
    <w:abstractNumId w:val="1"/>
  </w:num>
  <w:num w:numId="17">
    <w:abstractNumId w:val="28"/>
  </w:num>
  <w:num w:numId="18">
    <w:abstractNumId w:val="24"/>
  </w:num>
  <w:num w:numId="19">
    <w:abstractNumId w:val="14"/>
  </w:num>
  <w:num w:numId="20">
    <w:abstractNumId w:val="38"/>
  </w:num>
  <w:num w:numId="21">
    <w:abstractNumId w:val="13"/>
  </w:num>
  <w:num w:numId="22">
    <w:abstractNumId w:val="30"/>
  </w:num>
  <w:num w:numId="23">
    <w:abstractNumId w:val="11"/>
  </w:num>
  <w:num w:numId="24">
    <w:abstractNumId w:val="33"/>
  </w:num>
  <w:num w:numId="25">
    <w:abstractNumId w:val="3"/>
  </w:num>
  <w:num w:numId="26">
    <w:abstractNumId w:val="25"/>
  </w:num>
  <w:num w:numId="27">
    <w:abstractNumId w:val="10"/>
  </w:num>
  <w:num w:numId="28">
    <w:abstractNumId w:val="19"/>
  </w:num>
  <w:num w:numId="29">
    <w:abstractNumId w:val="39"/>
  </w:num>
  <w:num w:numId="30">
    <w:abstractNumId w:val="5"/>
  </w:num>
  <w:num w:numId="31">
    <w:abstractNumId w:val="16"/>
  </w:num>
  <w:num w:numId="32">
    <w:abstractNumId w:val="31"/>
  </w:num>
  <w:num w:numId="33">
    <w:abstractNumId w:val="2"/>
  </w:num>
  <w:num w:numId="34">
    <w:abstractNumId w:val="27"/>
  </w:num>
  <w:num w:numId="35">
    <w:abstractNumId w:val="21"/>
  </w:num>
  <w:num w:numId="36">
    <w:abstractNumId w:val="20"/>
  </w:num>
  <w:num w:numId="37">
    <w:abstractNumId w:val="7"/>
  </w:num>
  <w:num w:numId="38">
    <w:abstractNumId w:val="29"/>
  </w:num>
  <w:num w:numId="39">
    <w:abstractNumId w:val="32"/>
  </w:num>
  <w:num w:numId="40">
    <w:abstractNumId w:val="3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0"/>
  <w:activeWritingStyle w:appName="MSWord" w:lang="pl-P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51"/>
    <w:rsid w:val="00002460"/>
    <w:rsid w:val="000079E4"/>
    <w:rsid w:val="0001132E"/>
    <w:rsid w:val="000114C8"/>
    <w:rsid w:val="000117CD"/>
    <w:rsid w:val="000143A5"/>
    <w:rsid w:val="000145FF"/>
    <w:rsid w:val="000160E4"/>
    <w:rsid w:val="0001760C"/>
    <w:rsid w:val="00017E50"/>
    <w:rsid w:val="00022335"/>
    <w:rsid w:val="000261E7"/>
    <w:rsid w:val="00031553"/>
    <w:rsid w:val="00031851"/>
    <w:rsid w:val="00032362"/>
    <w:rsid w:val="00033D84"/>
    <w:rsid w:val="000354ED"/>
    <w:rsid w:val="00035E86"/>
    <w:rsid w:val="0003718C"/>
    <w:rsid w:val="0003732F"/>
    <w:rsid w:val="0004213A"/>
    <w:rsid w:val="000501D8"/>
    <w:rsid w:val="00050947"/>
    <w:rsid w:val="00051F44"/>
    <w:rsid w:val="0005226F"/>
    <w:rsid w:val="0005239E"/>
    <w:rsid w:val="000524C5"/>
    <w:rsid w:val="000530EE"/>
    <w:rsid w:val="000534EE"/>
    <w:rsid w:val="00053D26"/>
    <w:rsid w:val="000548FC"/>
    <w:rsid w:val="0005563A"/>
    <w:rsid w:val="000568EE"/>
    <w:rsid w:val="000607FC"/>
    <w:rsid w:val="00060FD7"/>
    <w:rsid w:val="00061B61"/>
    <w:rsid w:val="00062667"/>
    <w:rsid w:val="00062808"/>
    <w:rsid w:val="00063543"/>
    <w:rsid w:val="00064A60"/>
    <w:rsid w:val="000652D9"/>
    <w:rsid w:val="00066DDA"/>
    <w:rsid w:val="00071285"/>
    <w:rsid w:val="000715D4"/>
    <w:rsid w:val="00072B9F"/>
    <w:rsid w:val="00073A2B"/>
    <w:rsid w:val="00074076"/>
    <w:rsid w:val="000752B8"/>
    <w:rsid w:val="000758D9"/>
    <w:rsid w:val="000758DD"/>
    <w:rsid w:val="00076CF6"/>
    <w:rsid w:val="000773A2"/>
    <w:rsid w:val="00080749"/>
    <w:rsid w:val="00084FCD"/>
    <w:rsid w:val="00086BB8"/>
    <w:rsid w:val="0009191E"/>
    <w:rsid w:val="00092068"/>
    <w:rsid w:val="000925EC"/>
    <w:rsid w:val="00093987"/>
    <w:rsid w:val="00094C74"/>
    <w:rsid w:val="00095A97"/>
    <w:rsid w:val="00095F51"/>
    <w:rsid w:val="000A0382"/>
    <w:rsid w:val="000A1B8A"/>
    <w:rsid w:val="000A1DE6"/>
    <w:rsid w:val="000A5671"/>
    <w:rsid w:val="000A5CC7"/>
    <w:rsid w:val="000A6F6E"/>
    <w:rsid w:val="000A7A9C"/>
    <w:rsid w:val="000B1049"/>
    <w:rsid w:val="000B191D"/>
    <w:rsid w:val="000B26FA"/>
    <w:rsid w:val="000B7DCC"/>
    <w:rsid w:val="000C2AC2"/>
    <w:rsid w:val="000C39E8"/>
    <w:rsid w:val="000C42F5"/>
    <w:rsid w:val="000C4EE6"/>
    <w:rsid w:val="000D0162"/>
    <w:rsid w:val="000D195F"/>
    <w:rsid w:val="000D2AEA"/>
    <w:rsid w:val="000D4A34"/>
    <w:rsid w:val="000D5F23"/>
    <w:rsid w:val="000D7378"/>
    <w:rsid w:val="000D74E9"/>
    <w:rsid w:val="000D7C63"/>
    <w:rsid w:val="000E0003"/>
    <w:rsid w:val="000E268A"/>
    <w:rsid w:val="000E43EC"/>
    <w:rsid w:val="000E7D88"/>
    <w:rsid w:val="000F07C5"/>
    <w:rsid w:val="000F2105"/>
    <w:rsid w:val="000F3564"/>
    <w:rsid w:val="000F5D6C"/>
    <w:rsid w:val="000F652E"/>
    <w:rsid w:val="000F6889"/>
    <w:rsid w:val="000F6E29"/>
    <w:rsid w:val="000F7E90"/>
    <w:rsid w:val="00102BEE"/>
    <w:rsid w:val="001034E3"/>
    <w:rsid w:val="00105CFF"/>
    <w:rsid w:val="001066DF"/>
    <w:rsid w:val="00107EEE"/>
    <w:rsid w:val="001124B4"/>
    <w:rsid w:val="00113BCD"/>
    <w:rsid w:val="00113C79"/>
    <w:rsid w:val="001149FB"/>
    <w:rsid w:val="00114AB7"/>
    <w:rsid w:val="001155CB"/>
    <w:rsid w:val="0011618E"/>
    <w:rsid w:val="00117F1B"/>
    <w:rsid w:val="001215A2"/>
    <w:rsid w:val="00121A29"/>
    <w:rsid w:val="00122740"/>
    <w:rsid w:val="001235D5"/>
    <w:rsid w:val="00123862"/>
    <w:rsid w:val="001238D1"/>
    <w:rsid w:val="00123D97"/>
    <w:rsid w:val="00123F2B"/>
    <w:rsid w:val="00124217"/>
    <w:rsid w:val="00124943"/>
    <w:rsid w:val="00125170"/>
    <w:rsid w:val="00125B56"/>
    <w:rsid w:val="00127FA2"/>
    <w:rsid w:val="00131464"/>
    <w:rsid w:val="00132548"/>
    <w:rsid w:val="00136421"/>
    <w:rsid w:val="00136A26"/>
    <w:rsid w:val="001409AD"/>
    <w:rsid w:val="001421A8"/>
    <w:rsid w:val="001424BE"/>
    <w:rsid w:val="001435DE"/>
    <w:rsid w:val="0014514F"/>
    <w:rsid w:val="001459BD"/>
    <w:rsid w:val="0015077E"/>
    <w:rsid w:val="00152408"/>
    <w:rsid w:val="00152AE2"/>
    <w:rsid w:val="00154044"/>
    <w:rsid w:val="001545D7"/>
    <w:rsid w:val="001572C5"/>
    <w:rsid w:val="0016113A"/>
    <w:rsid w:val="0016163A"/>
    <w:rsid w:val="00163FC5"/>
    <w:rsid w:val="00164831"/>
    <w:rsid w:val="00165051"/>
    <w:rsid w:val="00166010"/>
    <w:rsid w:val="001707E0"/>
    <w:rsid w:val="00173E6F"/>
    <w:rsid w:val="001741BA"/>
    <w:rsid w:val="00175554"/>
    <w:rsid w:val="001757AC"/>
    <w:rsid w:val="00176366"/>
    <w:rsid w:val="00176682"/>
    <w:rsid w:val="00176B22"/>
    <w:rsid w:val="00177395"/>
    <w:rsid w:val="00177C7A"/>
    <w:rsid w:val="00181572"/>
    <w:rsid w:val="001820BA"/>
    <w:rsid w:val="00182132"/>
    <w:rsid w:val="0018432D"/>
    <w:rsid w:val="001849B8"/>
    <w:rsid w:val="00186611"/>
    <w:rsid w:val="00193961"/>
    <w:rsid w:val="001943D2"/>
    <w:rsid w:val="0019578F"/>
    <w:rsid w:val="001960F7"/>
    <w:rsid w:val="00197EE0"/>
    <w:rsid w:val="001A06DC"/>
    <w:rsid w:val="001A0C8E"/>
    <w:rsid w:val="001A3869"/>
    <w:rsid w:val="001A5D01"/>
    <w:rsid w:val="001A68B5"/>
    <w:rsid w:val="001A6EDB"/>
    <w:rsid w:val="001B0011"/>
    <w:rsid w:val="001B13E7"/>
    <w:rsid w:val="001B2BD6"/>
    <w:rsid w:val="001B33EF"/>
    <w:rsid w:val="001B46AA"/>
    <w:rsid w:val="001B488A"/>
    <w:rsid w:val="001B577F"/>
    <w:rsid w:val="001B5947"/>
    <w:rsid w:val="001B60D2"/>
    <w:rsid w:val="001B6811"/>
    <w:rsid w:val="001B7947"/>
    <w:rsid w:val="001C07B6"/>
    <w:rsid w:val="001C18F5"/>
    <w:rsid w:val="001C1A2F"/>
    <w:rsid w:val="001C25EE"/>
    <w:rsid w:val="001C3A23"/>
    <w:rsid w:val="001C3C09"/>
    <w:rsid w:val="001C3C22"/>
    <w:rsid w:val="001C56DC"/>
    <w:rsid w:val="001C5E4A"/>
    <w:rsid w:val="001D0654"/>
    <w:rsid w:val="001D1153"/>
    <w:rsid w:val="001D4776"/>
    <w:rsid w:val="001D7A82"/>
    <w:rsid w:val="001D7DF4"/>
    <w:rsid w:val="001E49B6"/>
    <w:rsid w:val="001E5E6C"/>
    <w:rsid w:val="001E70B7"/>
    <w:rsid w:val="001E76B1"/>
    <w:rsid w:val="001E7C03"/>
    <w:rsid w:val="001F1D64"/>
    <w:rsid w:val="001F3205"/>
    <w:rsid w:val="001F3842"/>
    <w:rsid w:val="001F41A1"/>
    <w:rsid w:val="001F4D50"/>
    <w:rsid w:val="001F503C"/>
    <w:rsid w:val="001F573E"/>
    <w:rsid w:val="001F661D"/>
    <w:rsid w:val="001F7B3B"/>
    <w:rsid w:val="0020083C"/>
    <w:rsid w:val="00201272"/>
    <w:rsid w:val="00201512"/>
    <w:rsid w:val="00203033"/>
    <w:rsid w:val="0020364E"/>
    <w:rsid w:val="00205090"/>
    <w:rsid w:val="00205642"/>
    <w:rsid w:val="002076FF"/>
    <w:rsid w:val="00207FA7"/>
    <w:rsid w:val="00211ACC"/>
    <w:rsid w:val="00213B90"/>
    <w:rsid w:val="002165FD"/>
    <w:rsid w:val="002212FC"/>
    <w:rsid w:val="00221411"/>
    <w:rsid w:val="00223DE5"/>
    <w:rsid w:val="0022418B"/>
    <w:rsid w:val="00224FCF"/>
    <w:rsid w:val="00225DA3"/>
    <w:rsid w:val="00232FD9"/>
    <w:rsid w:val="0023439F"/>
    <w:rsid w:val="002346E2"/>
    <w:rsid w:val="0023488F"/>
    <w:rsid w:val="0023584B"/>
    <w:rsid w:val="00236634"/>
    <w:rsid w:val="00236A35"/>
    <w:rsid w:val="00240A54"/>
    <w:rsid w:val="00241F9C"/>
    <w:rsid w:val="0024266E"/>
    <w:rsid w:val="00243A02"/>
    <w:rsid w:val="002443BD"/>
    <w:rsid w:val="00252678"/>
    <w:rsid w:val="00254953"/>
    <w:rsid w:val="0025512B"/>
    <w:rsid w:val="00260EB7"/>
    <w:rsid w:val="002619AE"/>
    <w:rsid w:val="0026386B"/>
    <w:rsid w:val="00267EEB"/>
    <w:rsid w:val="00271D85"/>
    <w:rsid w:val="00272CE1"/>
    <w:rsid w:val="00272F59"/>
    <w:rsid w:val="002730CD"/>
    <w:rsid w:val="00273FD7"/>
    <w:rsid w:val="002740EB"/>
    <w:rsid w:val="00275316"/>
    <w:rsid w:val="00276E0C"/>
    <w:rsid w:val="00276FA8"/>
    <w:rsid w:val="0027736D"/>
    <w:rsid w:val="00277BAE"/>
    <w:rsid w:val="00277FC0"/>
    <w:rsid w:val="002819A5"/>
    <w:rsid w:val="00282621"/>
    <w:rsid w:val="00283891"/>
    <w:rsid w:val="00283AD4"/>
    <w:rsid w:val="0028450B"/>
    <w:rsid w:val="00284DF0"/>
    <w:rsid w:val="00285AF8"/>
    <w:rsid w:val="00286CA5"/>
    <w:rsid w:val="00286DF9"/>
    <w:rsid w:val="00287158"/>
    <w:rsid w:val="00287CFE"/>
    <w:rsid w:val="002908A2"/>
    <w:rsid w:val="002922F0"/>
    <w:rsid w:val="00294832"/>
    <w:rsid w:val="0029543F"/>
    <w:rsid w:val="0029555D"/>
    <w:rsid w:val="002959F3"/>
    <w:rsid w:val="00295F2E"/>
    <w:rsid w:val="002962F0"/>
    <w:rsid w:val="00296E6B"/>
    <w:rsid w:val="0029769C"/>
    <w:rsid w:val="002A142A"/>
    <w:rsid w:val="002A34B8"/>
    <w:rsid w:val="002A54D7"/>
    <w:rsid w:val="002A5E1D"/>
    <w:rsid w:val="002A695B"/>
    <w:rsid w:val="002B0F18"/>
    <w:rsid w:val="002B2745"/>
    <w:rsid w:val="002B2EA4"/>
    <w:rsid w:val="002B42C8"/>
    <w:rsid w:val="002B79F4"/>
    <w:rsid w:val="002B7F53"/>
    <w:rsid w:val="002C18D6"/>
    <w:rsid w:val="002C1DF2"/>
    <w:rsid w:val="002C2104"/>
    <w:rsid w:val="002C2B74"/>
    <w:rsid w:val="002C34AB"/>
    <w:rsid w:val="002C3521"/>
    <w:rsid w:val="002C38D1"/>
    <w:rsid w:val="002C41DB"/>
    <w:rsid w:val="002C4A0E"/>
    <w:rsid w:val="002C71DD"/>
    <w:rsid w:val="002D05CA"/>
    <w:rsid w:val="002D0C80"/>
    <w:rsid w:val="002D0CE4"/>
    <w:rsid w:val="002D1FCD"/>
    <w:rsid w:val="002D3783"/>
    <w:rsid w:val="002D3924"/>
    <w:rsid w:val="002D6B58"/>
    <w:rsid w:val="002D6E16"/>
    <w:rsid w:val="002D6F9F"/>
    <w:rsid w:val="002D7336"/>
    <w:rsid w:val="002E0CF8"/>
    <w:rsid w:val="002E0EFA"/>
    <w:rsid w:val="002E1B4A"/>
    <w:rsid w:val="002E1DFC"/>
    <w:rsid w:val="002E2E15"/>
    <w:rsid w:val="002E328D"/>
    <w:rsid w:val="002E3F8B"/>
    <w:rsid w:val="002E550F"/>
    <w:rsid w:val="002E5865"/>
    <w:rsid w:val="002E5DA4"/>
    <w:rsid w:val="002E6622"/>
    <w:rsid w:val="002E74F2"/>
    <w:rsid w:val="002F2295"/>
    <w:rsid w:val="002F47A0"/>
    <w:rsid w:val="002F4EF0"/>
    <w:rsid w:val="002F60E4"/>
    <w:rsid w:val="003037D5"/>
    <w:rsid w:val="00304E1D"/>
    <w:rsid w:val="00306BB7"/>
    <w:rsid w:val="003072FA"/>
    <w:rsid w:val="00307AD0"/>
    <w:rsid w:val="00310311"/>
    <w:rsid w:val="00311C81"/>
    <w:rsid w:val="00312918"/>
    <w:rsid w:val="00312AE2"/>
    <w:rsid w:val="00312BA6"/>
    <w:rsid w:val="00315AE0"/>
    <w:rsid w:val="00317438"/>
    <w:rsid w:val="00320B8C"/>
    <w:rsid w:val="00321EC7"/>
    <w:rsid w:val="00321FAD"/>
    <w:rsid w:val="003259BE"/>
    <w:rsid w:val="00325FEC"/>
    <w:rsid w:val="00326893"/>
    <w:rsid w:val="00330288"/>
    <w:rsid w:val="0033096C"/>
    <w:rsid w:val="00330A36"/>
    <w:rsid w:val="00331AA3"/>
    <w:rsid w:val="00331CE7"/>
    <w:rsid w:val="00331DD8"/>
    <w:rsid w:val="003342C3"/>
    <w:rsid w:val="00334984"/>
    <w:rsid w:val="00334BBF"/>
    <w:rsid w:val="00334FF9"/>
    <w:rsid w:val="0033537D"/>
    <w:rsid w:val="00335413"/>
    <w:rsid w:val="00340A2A"/>
    <w:rsid w:val="003418C3"/>
    <w:rsid w:val="003423DC"/>
    <w:rsid w:val="00342D3A"/>
    <w:rsid w:val="003434A8"/>
    <w:rsid w:val="003459C5"/>
    <w:rsid w:val="0034678F"/>
    <w:rsid w:val="00346866"/>
    <w:rsid w:val="00352302"/>
    <w:rsid w:val="0035404A"/>
    <w:rsid w:val="00355481"/>
    <w:rsid w:val="0035720A"/>
    <w:rsid w:val="003576AE"/>
    <w:rsid w:val="0036124A"/>
    <w:rsid w:val="00362793"/>
    <w:rsid w:val="00362E8D"/>
    <w:rsid w:val="00362F82"/>
    <w:rsid w:val="003652F4"/>
    <w:rsid w:val="00365483"/>
    <w:rsid w:val="00371E9D"/>
    <w:rsid w:val="00372459"/>
    <w:rsid w:val="003734E1"/>
    <w:rsid w:val="00373CA3"/>
    <w:rsid w:val="00374190"/>
    <w:rsid w:val="0037479E"/>
    <w:rsid w:val="00376697"/>
    <w:rsid w:val="003770BC"/>
    <w:rsid w:val="00377485"/>
    <w:rsid w:val="0037791E"/>
    <w:rsid w:val="00377DD5"/>
    <w:rsid w:val="00380990"/>
    <w:rsid w:val="003841F2"/>
    <w:rsid w:val="00387FA7"/>
    <w:rsid w:val="0039060E"/>
    <w:rsid w:val="0039069E"/>
    <w:rsid w:val="00391A8B"/>
    <w:rsid w:val="00396EC7"/>
    <w:rsid w:val="00397904"/>
    <w:rsid w:val="003A3084"/>
    <w:rsid w:val="003A337E"/>
    <w:rsid w:val="003A4B3A"/>
    <w:rsid w:val="003A561D"/>
    <w:rsid w:val="003A580E"/>
    <w:rsid w:val="003B0D3B"/>
    <w:rsid w:val="003B1EAD"/>
    <w:rsid w:val="003B1FBF"/>
    <w:rsid w:val="003B279E"/>
    <w:rsid w:val="003B404C"/>
    <w:rsid w:val="003B4A1F"/>
    <w:rsid w:val="003B50A9"/>
    <w:rsid w:val="003B5DE4"/>
    <w:rsid w:val="003B5E75"/>
    <w:rsid w:val="003B7315"/>
    <w:rsid w:val="003C1142"/>
    <w:rsid w:val="003C2BA4"/>
    <w:rsid w:val="003C2BFB"/>
    <w:rsid w:val="003C4388"/>
    <w:rsid w:val="003C7529"/>
    <w:rsid w:val="003C7EB6"/>
    <w:rsid w:val="003D1435"/>
    <w:rsid w:val="003D199B"/>
    <w:rsid w:val="003D2286"/>
    <w:rsid w:val="003D2374"/>
    <w:rsid w:val="003D2F62"/>
    <w:rsid w:val="003D41A3"/>
    <w:rsid w:val="003D4883"/>
    <w:rsid w:val="003D5FC2"/>
    <w:rsid w:val="003D7F22"/>
    <w:rsid w:val="003E1377"/>
    <w:rsid w:val="003E1501"/>
    <w:rsid w:val="003E1AC3"/>
    <w:rsid w:val="003E22CC"/>
    <w:rsid w:val="003E30A2"/>
    <w:rsid w:val="003E693A"/>
    <w:rsid w:val="003E6AB2"/>
    <w:rsid w:val="003E7BC4"/>
    <w:rsid w:val="003F036F"/>
    <w:rsid w:val="003F1CCA"/>
    <w:rsid w:val="003F2964"/>
    <w:rsid w:val="003F6158"/>
    <w:rsid w:val="003F7D45"/>
    <w:rsid w:val="004000FD"/>
    <w:rsid w:val="004023D0"/>
    <w:rsid w:val="004034CB"/>
    <w:rsid w:val="00411A67"/>
    <w:rsid w:val="0041214F"/>
    <w:rsid w:val="00412787"/>
    <w:rsid w:val="00412C16"/>
    <w:rsid w:val="004132E0"/>
    <w:rsid w:val="00413626"/>
    <w:rsid w:val="00413ACB"/>
    <w:rsid w:val="00415D33"/>
    <w:rsid w:val="00420362"/>
    <w:rsid w:val="00420FC4"/>
    <w:rsid w:val="00421224"/>
    <w:rsid w:val="00424735"/>
    <w:rsid w:val="004247CF"/>
    <w:rsid w:val="00426844"/>
    <w:rsid w:val="00426E41"/>
    <w:rsid w:val="004272AB"/>
    <w:rsid w:val="00430550"/>
    <w:rsid w:val="00430965"/>
    <w:rsid w:val="00430C88"/>
    <w:rsid w:val="00433516"/>
    <w:rsid w:val="004341F5"/>
    <w:rsid w:val="00434620"/>
    <w:rsid w:val="0043475A"/>
    <w:rsid w:val="00437842"/>
    <w:rsid w:val="0044033E"/>
    <w:rsid w:val="004426E4"/>
    <w:rsid w:val="00442DC8"/>
    <w:rsid w:val="004431E2"/>
    <w:rsid w:val="00443A53"/>
    <w:rsid w:val="00444980"/>
    <w:rsid w:val="00446321"/>
    <w:rsid w:val="004507C0"/>
    <w:rsid w:val="00451F4F"/>
    <w:rsid w:val="0045663D"/>
    <w:rsid w:val="00457A8A"/>
    <w:rsid w:val="0046036F"/>
    <w:rsid w:val="00460A00"/>
    <w:rsid w:val="00460F79"/>
    <w:rsid w:val="0046100F"/>
    <w:rsid w:val="00461346"/>
    <w:rsid w:val="004614A8"/>
    <w:rsid w:val="00461878"/>
    <w:rsid w:val="0046268D"/>
    <w:rsid w:val="00462A47"/>
    <w:rsid w:val="00462AEC"/>
    <w:rsid w:val="00462F41"/>
    <w:rsid w:val="00464ACA"/>
    <w:rsid w:val="00464C48"/>
    <w:rsid w:val="00464DB4"/>
    <w:rsid w:val="0046500C"/>
    <w:rsid w:val="00465123"/>
    <w:rsid w:val="00466892"/>
    <w:rsid w:val="00470B2F"/>
    <w:rsid w:val="00470E3A"/>
    <w:rsid w:val="004712D9"/>
    <w:rsid w:val="00471BC0"/>
    <w:rsid w:val="00472D2B"/>
    <w:rsid w:val="0047386C"/>
    <w:rsid w:val="00473977"/>
    <w:rsid w:val="00473D28"/>
    <w:rsid w:val="0047669C"/>
    <w:rsid w:val="004772A9"/>
    <w:rsid w:val="00477A74"/>
    <w:rsid w:val="00480369"/>
    <w:rsid w:val="00482568"/>
    <w:rsid w:val="00482603"/>
    <w:rsid w:val="00482C76"/>
    <w:rsid w:val="00484B7F"/>
    <w:rsid w:val="00485D51"/>
    <w:rsid w:val="0048616B"/>
    <w:rsid w:val="00487254"/>
    <w:rsid w:val="0049040C"/>
    <w:rsid w:val="00490C44"/>
    <w:rsid w:val="00491E0F"/>
    <w:rsid w:val="00493252"/>
    <w:rsid w:val="00493793"/>
    <w:rsid w:val="00496F76"/>
    <w:rsid w:val="004A146B"/>
    <w:rsid w:val="004A3B1C"/>
    <w:rsid w:val="004A3DB1"/>
    <w:rsid w:val="004A6CCD"/>
    <w:rsid w:val="004A7038"/>
    <w:rsid w:val="004A716A"/>
    <w:rsid w:val="004A7DA6"/>
    <w:rsid w:val="004B076F"/>
    <w:rsid w:val="004B10D7"/>
    <w:rsid w:val="004B18CF"/>
    <w:rsid w:val="004B2400"/>
    <w:rsid w:val="004B26B0"/>
    <w:rsid w:val="004B2857"/>
    <w:rsid w:val="004B63EE"/>
    <w:rsid w:val="004B6500"/>
    <w:rsid w:val="004B6BAA"/>
    <w:rsid w:val="004C06FE"/>
    <w:rsid w:val="004C1714"/>
    <w:rsid w:val="004C29F4"/>
    <w:rsid w:val="004C2A08"/>
    <w:rsid w:val="004C4CC8"/>
    <w:rsid w:val="004C59B6"/>
    <w:rsid w:val="004D1246"/>
    <w:rsid w:val="004D12E0"/>
    <w:rsid w:val="004D2022"/>
    <w:rsid w:val="004D21BA"/>
    <w:rsid w:val="004D2D8D"/>
    <w:rsid w:val="004D2E8B"/>
    <w:rsid w:val="004D4768"/>
    <w:rsid w:val="004D48FC"/>
    <w:rsid w:val="004D5061"/>
    <w:rsid w:val="004D5729"/>
    <w:rsid w:val="004D593F"/>
    <w:rsid w:val="004D5B54"/>
    <w:rsid w:val="004E0EC1"/>
    <w:rsid w:val="004E2650"/>
    <w:rsid w:val="004E4189"/>
    <w:rsid w:val="004E49AF"/>
    <w:rsid w:val="004E60B2"/>
    <w:rsid w:val="004E72E2"/>
    <w:rsid w:val="004F097A"/>
    <w:rsid w:val="004F32BE"/>
    <w:rsid w:val="004F4B06"/>
    <w:rsid w:val="004F563E"/>
    <w:rsid w:val="004F5EDF"/>
    <w:rsid w:val="004F6A45"/>
    <w:rsid w:val="0050057C"/>
    <w:rsid w:val="005005A7"/>
    <w:rsid w:val="00500F65"/>
    <w:rsid w:val="005014BF"/>
    <w:rsid w:val="005018F7"/>
    <w:rsid w:val="00501939"/>
    <w:rsid w:val="005022A1"/>
    <w:rsid w:val="00502D7A"/>
    <w:rsid w:val="005034F3"/>
    <w:rsid w:val="00503873"/>
    <w:rsid w:val="00503BCF"/>
    <w:rsid w:val="00504322"/>
    <w:rsid w:val="00506404"/>
    <w:rsid w:val="00507144"/>
    <w:rsid w:val="00507D5F"/>
    <w:rsid w:val="005108CE"/>
    <w:rsid w:val="005135B9"/>
    <w:rsid w:val="005135D7"/>
    <w:rsid w:val="00513F2A"/>
    <w:rsid w:val="00514277"/>
    <w:rsid w:val="00520700"/>
    <w:rsid w:val="00521399"/>
    <w:rsid w:val="00522526"/>
    <w:rsid w:val="00524596"/>
    <w:rsid w:val="005247E9"/>
    <w:rsid w:val="005273D2"/>
    <w:rsid w:val="00527506"/>
    <w:rsid w:val="00531198"/>
    <w:rsid w:val="00531B69"/>
    <w:rsid w:val="00531D7C"/>
    <w:rsid w:val="0053230B"/>
    <w:rsid w:val="0053398A"/>
    <w:rsid w:val="00533E26"/>
    <w:rsid w:val="005362E4"/>
    <w:rsid w:val="005364AD"/>
    <w:rsid w:val="00536543"/>
    <w:rsid w:val="0053656F"/>
    <w:rsid w:val="00537F20"/>
    <w:rsid w:val="00540D68"/>
    <w:rsid w:val="005422E9"/>
    <w:rsid w:val="005423F5"/>
    <w:rsid w:val="00542B74"/>
    <w:rsid w:val="00543336"/>
    <w:rsid w:val="005436B4"/>
    <w:rsid w:val="00543B22"/>
    <w:rsid w:val="00544B8B"/>
    <w:rsid w:val="00544D65"/>
    <w:rsid w:val="00546B2F"/>
    <w:rsid w:val="00547597"/>
    <w:rsid w:val="00550325"/>
    <w:rsid w:val="00551B6E"/>
    <w:rsid w:val="005522F7"/>
    <w:rsid w:val="00552AE6"/>
    <w:rsid w:val="00552DDE"/>
    <w:rsid w:val="005533F0"/>
    <w:rsid w:val="00553780"/>
    <w:rsid w:val="00554078"/>
    <w:rsid w:val="00555D61"/>
    <w:rsid w:val="00556898"/>
    <w:rsid w:val="005573B0"/>
    <w:rsid w:val="00561664"/>
    <w:rsid w:val="00571C5A"/>
    <w:rsid w:val="00573849"/>
    <w:rsid w:val="00577490"/>
    <w:rsid w:val="005779A3"/>
    <w:rsid w:val="00577EAB"/>
    <w:rsid w:val="0058010A"/>
    <w:rsid w:val="00580293"/>
    <w:rsid w:val="00581708"/>
    <w:rsid w:val="0058187E"/>
    <w:rsid w:val="005839B3"/>
    <w:rsid w:val="00584C2A"/>
    <w:rsid w:val="00584D77"/>
    <w:rsid w:val="00584FC7"/>
    <w:rsid w:val="00584FF6"/>
    <w:rsid w:val="005852F2"/>
    <w:rsid w:val="00585648"/>
    <w:rsid w:val="00585E14"/>
    <w:rsid w:val="00585F58"/>
    <w:rsid w:val="00590098"/>
    <w:rsid w:val="00590DA7"/>
    <w:rsid w:val="00592E43"/>
    <w:rsid w:val="00592F5E"/>
    <w:rsid w:val="005930DC"/>
    <w:rsid w:val="0059339B"/>
    <w:rsid w:val="0059544E"/>
    <w:rsid w:val="005A14FC"/>
    <w:rsid w:val="005A1B8F"/>
    <w:rsid w:val="005A24AC"/>
    <w:rsid w:val="005A2A10"/>
    <w:rsid w:val="005A2B18"/>
    <w:rsid w:val="005A6827"/>
    <w:rsid w:val="005B1424"/>
    <w:rsid w:val="005B2E59"/>
    <w:rsid w:val="005B3143"/>
    <w:rsid w:val="005B660E"/>
    <w:rsid w:val="005C1318"/>
    <w:rsid w:val="005C1CDF"/>
    <w:rsid w:val="005C222D"/>
    <w:rsid w:val="005C2486"/>
    <w:rsid w:val="005C286C"/>
    <w:rsid w:val="005C4014"/>
    <w:rsid w:val="005C49ED"/>
    <w:rsid w:val="005C4FA4"/>
    <w:rsid w:val="005C78C0"/>
    <w:rsid w:val="005D0669"/>
    <w:rsid w:val="005D31E0"/>
    <w:rsid w:val="005D4385"/>
    <w:rsid w:val="005D5B99"/>
    <w:rsid w:val="005D6E47"/>
    <w:rsid w:val="005E06C8"/>
    <w:rsid w:val="005E0C21"/>
    <w:rsid w:val="005E1B29"/>
    <w:rsid w:val="005E3A0C"/>
    <w:rsid w:val="005E3A70"/>
    <w:rsid w:val="005E4AA1"/>
    <w:rsid w:val="005E5763"/>
    <w:rsid w:val="005E6AD3"/>
    <w:rsid w:val="005F0205"/>
    <w:rsid w:val="005F04A6"/>
    <w:rsid w:val="005F08EE"/>
    <w:rsid w:val="005F0C5F"/>
    <w:rsid w:val="005F253E"/>
    <w:rsid w:val="005F31BB"/>
    <w:rsid w:val="005F39AD"/>
    <w:rsid w:val="005F42E3"/>
    <w:rsid w:val="005F5501"/>
    <w:rsid w:val="005F5A13"/>
    <w:rsid w:val="00602E8E"/>
    <w:rsid w:val="00603638"/>
    <w:rsid w:val="00603FD1"/>
    <w:rsid w:val="00604321"/>
    <w:rsid w:val="006056D6"/>
    <w:rsid w:val="00606723"/>
    <w:rsid w:val="00606D0C"/>
    <w:rsid w:val="00606E3F"/>
    <w:rsid w:val="0060769C"/>
    <w:rsid w:val="006076AE"/>
    <w:rsid w:val="00610E45"/>
    <w:rsid w:val="00612FDC"/>
    <w:rsid w:val="006135DE"/>
    <w:rsid w:val="00615141"/>
    <w:rsid w:val="00616F9F"/>
    <w:rsid w:val="00617153"/>
    <w:rsid w:val="00617E25"/>
    <w:rsid w:val="00621BFA"/>
    <w:rsid w:val="00623AC5"/>
    <w:rsid w:val="00625659"/>
    <w:rsid w:val="006260CB"/>
    <w:rsid w:val="006271C1"/>
    <w:rsid w:val="006303E5"/>
    <w:rsid w:val="00632468"/>
    <w:rsid w:val="00633453"/>
    <w:rsid w:val="00633C63"/>
    <w:rsid w:val="006403F4"/>
    <w:rsid w:val="00640541"/>
    <w:rsid w:val="006410F1"/>
    <w:rsid w:val="00642AB4"/>
    <w:rsid w:val="00642C3E"/>
    <w:rsid w:val="006431B6"/>
    <w:rsid w:val="00643E19"/>
    <w:rsid w:val="00644524"/>
    <w:rsid w:val="006450CE"/>
    <w:rsid w:val="00651269"/>
    <w:rsid w:val="00652178"/>
    <w:rsid w:val="006532DE"/>
    <w:rsid w:val="00653794"/>
    <w:rsid w:val="00653EE8"/>
    <w:rsid w:val="00655802"/>
    <w:rsid w:val="00655DE4"/>
    <w:rsid w:val="00657B7E"/>
    <w:rsid w:val="00660814"/>
    <w:rsid w:val="00663BB5"/>
    <w:rsid w:val="00663C9B"/>
    <w:rsid w:val="00663D25"/>
    <w:rsid w:val="00665486"/>
    <w:rsid w:val="0066768F"/>
    <w:rsid w:val="0067164D"/>
    <w:rsid w:val="006731B4"/>
    <w:rsid w:val="00675230"/>
    <w:rsid w:val="00676A6A"/>
    <w:rsid w:val="00681A78"/>
    <w:rsid w:val="00683325"/>
    <w:rsid w:val="00683D79"/>
    <w:rsid w:val="006848D5"/>
    <w:rsid w:val="00685CFF"/>
    <w:rsid w:val="00687164"/>
    <w:rsid w:val="006875FC"/>
    <w:rsid w:val="00687B04"/>
    <w:rsid w:val="00690127"/>
    <w:rsid w:val="00690CB0"/>
    <w:rsid w:val="0069162A"/>
    <w:rsid w:val="006932E1"/>
    <w:rsid w:val="00693A10"/>
    <w:rsid w:val="00694899"/>
    <w:rsid w:val="0069795C"/>
    <w:rsid w:val="00697AD5"/>
    <w:rsid w:val="006A06EC"/>
    <w:rsid w:val="006A1931"/>
    <w:rsid w:val="006A2E3C"/>
    <w:rsid w:val="006A5B83"/>
    <w:rsid w:val="006A62A2"/>
    <w:rsid w:val="006A647A"/>
    <w:rsid w:val="006A6C0B"/>
    <w:rsid w:val="006A6CE2"/>
    <w:rsid w:val="006A747E"/>
    <w:rsid w:val="006B17FD"/>
    <w:rsid w:val="006B4430"/>
    <w:rsid w:val="006B55F2"/>
    <w:rsid w:val="006B5C96"/>
    <w:rsid w:val="006B5F06"/>
    <w:rsid w:val="006B7AB3"/>
    <w:rsid w:val="006B7E29"/>
    <w:rsid w:val="006C106D"/>
    <w:rsid w:val="006C4E77"/>
    <w:rsid w:val="006C5E84"/>
    <w:rsid w:val="006C7669"/>
    <w:rsid w:val="006D0CB5"/>
    <w:rsid w:val="006D23CF"/>
    <w:rsid w:val="006D5023"/>
    <w:rsid w:val="006D5D74"/>
    <w:rsid w:val="006D5DA1"/>
    <w:rsid w:val="006D6F9F"/>
    <w:rsid w:val="006D787D"/>
    <w:rsid w:val="006E1B8B"/>
    <w:rsid w:val="006E3965"/>
    <w:rsid w:val="006F0D51"/>
    <w:rsid w:val="006F44F3"/>
    <w:rsid w:val="006F534E"/>
    <w:rsid w:val="006F75E6"/>
    <w:rsid w:val="00701A1E"/>
    <w:rsid w:val="007023E1"/>
    <w:rsid w:val="0070319A"/>
    <w:rsid w:val="007036E4"/>
    <w:rsid w:val="00710176"/>
    <w:rsid w:val="00711D57"/>
    <w:rsid w:val="00712A72"/>
    <w:rsid w:val="00713415"/>
    <w:rsid w:val="00713F99"/>
    <w:rsid w:val="00715F4A"/>
    <w:rsid w:val="00715F62"/>
    <w:rsid w:val="00720A03"/>
    <w:rsid w:val="00722451"/>
    <w:rsid w:val="00722714"/>
    <w:rsid w:val="007236D4"/>
    <w:rsid w:val="007262A1"/>
    <w:rsid w:val="00726397"/>
    <w:rsid w:val="00730225"/>
    <w:rsid w:val="0073192E"/>
    <w:rsid w:val="00735A1B"/>
    <w:rsid w:val="00737831"/>
    <w:rsid w:val="00740769"/>
    <w:rsid w:val="00742E4C"/>
    <w:rsid w:val="007430DD"/>
    <w:rsid w:val="00744C5F"/>
    <w:rsid w:val="00744F17"/>
    <w:rsid w:val="007469C8"/>
    <w:rsid w:val="007478D2"/>
    <w:rsid w:val="00747DE2"/>
    <w:rsid w:val="007504E8"/>
    <w:rsid w:val="0075247F"/>
    <w:rsid w:val="0075249F"/>
    <w:rsid w:val="00752A2C"/>
    <w:rsid w:val="00752DEB"/>
    <w:rsid w:val="00753253"/>
    <w:rsid w:val="00753379"/>
    <w:rsid w:val="00753545"/>
    <w:rsid w:val="007544A1"/>
    <w:rsid w:val="0075574B"/>
    <w:rsid w:val="0075619F"/>
    <w:rsid w:val="00757771"/>
    <w:rsid w:val="00765CDA"/>
    <w:rsid w:val="00766B14"/>
    <w:rsid w:val="00767344"/>
    <w:rsid w:val="00770099"/>
    <w:rsid w:val="0077142D"/>
    <w:rsid w:val="007714A6"/>
    <w:rsid w:val="007717B5"/>
    <w:rsid w:val="007743A0"/>
    <w:rsid w:val="0077532F"/>
    <w:rsid w:val="007758D3"/>
    <w:rsid w:val="00782D9E"/>
    <w:rsid w:val="007844F3"/>
    <w:rsid w:val="00784F45"/>
    <w:rsid w:val="007858D7"/>
    <w:rsid w:val="00786804"/>
    <w:rsid w:val="00786916"/>
    <w:rsid w:val="00790A8C"/>
    <w:rsid w:val="00790B0E"/>
    <w:rsid w:val="00790FBF"/>
    <w:rsid w:val="00791944"/>
    <w:rsid w:val="00792C05"/>
    <w:rsid w:val="00793273"/>
    <w:rsid w:val="007A03EE"/>
    <w:rsid w:val="007A0D1A"/>
    <w:rsid w:val="007A14BE"/>
    <w:rsid w:val="007A1CFD"/>
    <w:rsid w:val="007A2B28"/>
    <w:rsid w:val="007A323E"/>
    <w:rsid w:val="007A3389"/>
    <w:rsid w:val="007A3CCF"/>
    <w:rsid w:val="007A4A17"/>
    <w:rsid w:val="007A4DDC"/>
    <w:rsid w:val="007A724B"/>
    <w:rsid w:val="007A7567"/>
    <w:rsid w:val="007B006E"/>
    <w:rsid w:val="007B24B6"/>
    <w:rsid w:val="007B3301"/>
    <w:rsid w:val="007B51D1"/>
    <w:rsid w:val="007B7DF5"/>
    <w:rsid w:val="007C0DF7"/>
    <w:rsid w:val="007C18CF"/>
    <w:rsid w:val="007C1A71"/>
    <w:rsid w:val="007C2265"/>
    <w:rsid w:val="007C2E5E"/>
    <w:rsid w:val="007C3A1C"/>
    <w:rsid w:val="007C5659"/>
    <w:rsid w:val="007C5A7B"/>
    <w:rsid w:val="007C6A8D"/>
    <w:rsid w:val="007D1790"/>
    <w:rsid w:val="007D2B04"/>
    <w:rsid w:val="007D2C5B"/>
    <w:rsid w:val="007D4545"/>
    <w:rsid w:val="007D4DA2"/>
    <w:rsid w:val="007E215C"/>
    <w:rsid w:val="007E27B8"/>
    <w:rsid w:val="007E28C2"/>
    <w:rsid w:val="007E5DB3"/>
    <w:rsid w:val="007E72DB"/>
    <w:rsid w:val="007F2947"/>
    <w:rsid w:val="007F2C44"/>
    <w:rsid w:val="007F46DE"/>
    <w:rsid w:val="007F51B3"/>
    <w:rsid w:val="00800D9F"/>
    <w:rsid w:val="00803142"/>
    <w:rsid w:val="008037FD"/>
    <w:rsid w:val="00804BA3"/>
    <w:rsid w:val="00806E2E"/>
    <w:rsid w:val="00811295"/>
    <w:rsid w:val="00811A70"/>
    <w:rsid w:val="00812D0F"/>
    <w:rsid w:val="00814724"/>
    <w:rsid w:val="00821534"/>
    <w:rsid w:val="00821C55"/>
    <w:rsid w:val="008227E0"/>
    <w:rsid w:val="00822FA8"/>
    <w:rsid w:val="008237CE"/>
    <w:rsid w:val="00823AE3"/>
    <w:rsid w:val="008259FC"/>
    <w:rsid w:val="00827BF8"/>
    <w:rsid w:val="0083015D"/>
    <w:rsid w:val="00830F68"/>
    <w:rsid w:val="00831632"/>
    <w:rsid w:val="00831A6B"/>
    <w:rsid w:val="008320C0"/>
    <w:rsid w:val="00833BF6"/>
    <w:rsid w:val="00833CA2"/>
    <w:rsid w:val="00836633"/>
    <w:rsid w:val="00837257"/>
    <w:rsid w:val="008405CB"/>
    <w:rsid w:val="00840FC3"/>
    <w:rsid w:val="008426E7"/>
    <w:rsid w:val="00844563"/>
    <w:rsid w:val="008462F1"/>
    <w:rsid w:val="00847C3D"/>
    <w:rsid w:val="0085298E"/>
    <w:rsid w:val="00852C72"/>
    <w:rsid w:val="00852D22"/>
    <w:rsid w:val="00852F57"/>
    <w:rsid w:val="008530C1"/>
    <w:rsid w:val="008532E3"/>
    <w:rsid w:val="00854BC2"/>
    <w:rsid w:val="00855040"/>
    <w:rsid w:val="00855AB1"/>
    <w:rsid w:val="008574C0"/>
    <w:rsid w:val="00861BD8"/>
    <w:rsid w:val="00865A8C"/>
    <w:rsid w:val="00865BFB"/>
    <w:rsid w:val="00865C55"/>
    <w:rsid w:val="00866355"/>
    <w:rsid w:val="00867824"/>
    <w:rsid w:val="00867E85"/>
    <w:rsid w:val="008726C2"/>
    <w:rsid w:val="008739A2"/>
    <w:rsid w:val="00873D09"/>
    <w:rsid w:val="0087500D"/>
    <w:rsid w:val="00875237"/>
    <w:rsid w:val="008752F4"/>
    <w:rsid w:val="00876AA3"/>
    <w:rsid w:val="00877B07"/>
    <w:rsid w:val="00881378"/>
    <w:rsid w:val="00884D3A"/>
    <w:rsid w:val="00884E47"/>
    <w:rsid w:val="00887B6D"/>
    <w:rsid w:val="0089003F"/>
    <w:rsid w:val="00891975"/>
    <w:rsid w:val="00892413"/>
    <w:rsid w:val="0089388F"/>
    <w:rsid w:val="00895D98"/>
    <w:rsid w:val="008A0400"/>
    <w:rsid w:val="008A0EE5"/>
    <w:rsid w:val="008A1347"/>
    <w:rsid w:val="008A39B3"/>
    <w:rsid w:val="008A4CC2"/>
    <w:rsid w:val="008A4D66"/>
    <w:rsid w:val="008A5804"/>
    <w:rsid w:val="008A5F03"/>
    <w:rsid w:val="008B14F3"/>
    <w:rsid w:val="008B56D3"/>
    <w:rsid w:val="008B574B"/>
    <w:rsid w:val="008B6206"/>
    <w:rsid w:val="008B62E7"/>
    <w:rsid w:val="008B6711"/>
    <w:rsid w:val="008C1DE9"/>
    <w:rsid w:val="008C206B"/>
    <w:rsid w:val="008C22F3"/>
    <w:rsid w:val="008C2366"/>
    <w:rsid w:val="008C2635"/>
    <w:rsid w:val="008C36E8"/>
    <w:rsid w:val="008C422A"/>
    <w:rsid w:val="008C49EF"/>
    <w:rsid w:val="008C631A"/>
    <w:rsid w:val="008C67A5"/>
    <w:rsid w:val="008D046F"/>
    <w:rsid w:val="008D2219"/>
    <w:rsid w:val="008D2F1A"/>
    <w:rsid w:val="008D39C9"/>
    <w:rsid w:val="008D5CA3"/>
    <w:rsid w:val="008D6EF2"/>
    <w:rsid w:val="008E0EF8"/>
    <w:rsid w:val="008E1398"/>
    <w:rsid w:val="008E2EAC"/>
    <w:rsid w:val="008E339D"/>
    <w:rsid w:val="008E3745"/>
    <w:rsid w:val="008E603B"/>
    <w:rsid w:val="008E64D9"/>
    <w:rsid w:val="008E70C8"/>
    <w:rsid w:val="008E7832"/>
    <w:rsid w:val="008F06A6"/>
    <w:rsid w:val="008F1BF4"/>
    <w:rsid w:val="008F21B0"/>
    <w:rsid w:val="008F3988"/>
    <w:rsid w:val="008F3E9B"/>
    <w:rsid w:val="008F491B"/>
    <w:rsid w:val="008F7832"/>
    <w:rsid w:val="008F7F89"/>
    <w:rsid w:val="009001A7"/>
    <w:rsid w:val="0090062A"/>
    <w:rsid w:val="009014D0"/>
    <w:rsid w:val="00901AC8"/>
    <w:rsid w:val="00901BD2"/>
    <w:rsid w:val="009022C0"/>
    <w:rsid w:val="0090292A"/>
    <w:rsid w:val="00905031"/>
    <w:rsid w:val="009125C7"/>
    <w:rsid w:val="009137F2"/>
    <w:rsid w:val="00914635"/>
    <w:rsid w:val="00915934"/>
    <w:rsid w:val="0091702D"/>
    <w:rsid w:val="00917C2F"/>
    <w:rsid w:val="0092153C"/>
    <w:rsid w:val="009229F6"/>
    <w:rsid w:val="00922F6E"/>
    <w:rsid w:val="0092359B"/>
    <w:rsid w:val="009239F0"/>
    <w:rsid w:val="009244D2"/>
    <w:rsid w:val="00925E80"/>
    <w:rsid w:val="009300C2"/>
    <w:rsid w:val="00930189"/>
    <w:rsid w:val="0093084A"/>
    <w:rsid w:val="00931AD8"/>
    <w:rsid w:val="009341D5"/>
    <w:rsid w:val="009367CA"/>
    <w:rsid w:val="0093762F"/>
    <w:rsid w:val="00937DCC"/>
    <w:rsid w:val="00937F9B"/>
    <w:rsid w:val="00943C8F"/>
    <w:rsid w:val="00945775"/>
    <w:rsid w:val="00945B1A"/>
    <w:rsid w:val="00950C55"/>
    <w:rsid w:val="009525CD"/>
    <w:rsid w:val="00952675"/>
    <w:rsid w:val="00952C41"/>
    <w:rsid w:val="00960AE8"/>
    <w:rsid w:val="009623AF"/>
    <w:rsid w:val="00962797"/>
    <w:rsid w:val="0096319F"/>
    <w:rsid w:val="00963305"/>
    <w:rsid w:val="0096344E"/>
    <w:rsid w:val="0096538A"/>
    <w:rsid w:val="00967BEE"/>
    <w:rsid w:val="00967C30"/>
    <w:rsid w:val="00974735"/>
    <w:rsid w:val="0097478D"/>
    <w:rsid w:val="00974D5B"/>
    <w:rsid w:val="009765F6"/>
    <w:rsid w:val="00977BBE"/>
    <w:rsid w:val="00981EE7"/>
    <w:rsid w:val="00987BEA"/>
    <w:rsid w:val="00990B67"/>
    <w:rsid w:val="0099139C"/>
    <w:rsid w:val="00991B05"/>
    <w:rsid w:val="00992D5E"/>
    <w:rsid w:val="0099379B"/>
    <w:rsid w:val="0099431A"/>
    <w:rsid w:val="00994814"/>
    <w:rsid w:val="00995A0C"/>
    <w:rsid w:val="0099643E"/>
    <w:rsid w:val="00996B1A"/>
    <w:rsid w:val="0099711E"/>
    <w:rsid w:val="00997137"/>
    <w:rsid w:val="009A1417"/>
    <w:rsid w:val="009A1A9B"/>
    <w:rsid w:val="009A23CF"/>
    <w:rsid w:val="009A3E31"/>
    <w:rsid w:val="009A4CC8"/>
    <w:rsid w:val="009A7371"/>
    <w:rsid w:val="009A76FB"/>
    <w:rsid w:val="009A7BF4"/>
    <w:rsid w:val="009A7F63"/>
    <w:rsid w:val="009B16BB"/>
    <w:rsid w:val="009B4C23"/>
    <w:rsid w:val="009B4D9E"/>
    <w:rsid w:val="009B538B"/>
    <w:rsid w:val="009B5FF2"/>
    <w:rsid w:val="009B6526"/>
    <w:rsid w:val="009B75D3"/>
    <w:rsid w:val="009C0107"/>
    <w:rsid w:val="009C16B8"/>
    <w:rsid w:val="009C2117"/>
    <w:rsid w:val="009C38B9"/>
    <w:rsid w:val="009C5C0A"/>
    <w:rsid w:val="009C78C8"/>
    <w:rsid w:val="009D0732"/>
    <w:rsid w:val="009D1618"/>
    <w:rsid w:val="009D2985"/>
    <w:rsid w:val="009D2E20"/>
    <w:rsid w:val="009D4313"/>
    <w:rsid w:val="009D53DF"/>
    <w:rsid w:val="009D6EEC"/>
    <w:rsid w:val="009E03EE"/>
    <w:rsid w:val="009E1ABC"/>
    <w:rsid w:val="009E246C"/>
    <w:rsid w:val="009E24EA"/>
    <w:rsid w:val="009E36B2"/>
    <w:rsid w:val="009E37C2"/>
    <w:rsid w:val="009E3B46"/>
    <w:rsid w:val="009E483B"/>
    <w:rsid w:val="009E48EF"/>
    <w:rsid w:val="009E75D2"/>
    <w:rsid w:val="009F10F1"/>
    <w:rsid w:val="009F2340"/>
    <w:rsid w:val="009F23DB"/>
    <w:rsid w:val="009F361F"/>
    <w:rsid w:val="009F3F48"/>
    <w:rsid w:val="009F5484"/>
    <w:rsid w:val="00A00198"/>
    <w:rsid w:val="00A01438"/>
    <w:rsid w:val="00A0437F"/>
    <w:rsid w:val="00A05BD4"/>
    <w:rsid w:val="00A06EC2"/>
    <w:rsid w:val="00A11460"/>
    <w:rsid w:val="00A114E5"/>
    <w:rsid w:val="00A11EBB"/>
    <w:rsid w:val="00A11EF8"/>
    <w:rsid w:val="00A12759"/>
    <w:rsid w:val="00A141B1"/>
    <w:rsid w:val="00A14310"/>
    <w:rsid w:val="00A1671A"/>
    <w:rsid w:val="00A2171D"/>
    <w:rsid w:val="00A253BF"/>
    <w:rsid w:val="00A25673"/>
    <w:rsid w:val="00A26B0E"/>
    <w:rsid w:val="00A2742B"/>
    <w:rsid w:val="00A3123F"/>
    <w:rsid w:val="00A31876"/>
    <w:rsid w:val="00A32DBF"/>
    <w:rsid w:val="00A332F7"/>
    <w:rsid w:val="00A36447"/>
    <w:rsid w:val="00A37CCB"/>
    <w:rsid w:val="00A42D32"/>
    <w:rsid w:val="00A44D5C"/>
    <w:rsid w:val="00A45855"/>
    <w:rsid w:val="00A46215"/>
    <w:rsid w:val="00A46AE8"/>
    <w:rsid w:val="00A46BCC"/>
    <w:rsid w:val="00A50DE8"/>
    <w:rsid w:val="00A50F16"/>
    <w:rsid w:val="00A5100B"/>
    <w:rsid w:val="00A51948"/>
    <w:rsid w:val="00A52232"/>
    <w:rsid w:val="00A542B2"/>
    <w:rsid w:val="00A55A67"/>
    <w:rsid w:val="00A55D45"/>
    <w:rsid w:val="00A56254"/>
    <w:rsid w:val="00A562B9"/>
    <w:rsid w:val="00A56740"/>
    <w:rsid w:val="00A577FB"/>
    <w:rsid w:val="00A603B4"/>
    <w:rsid w:val="00A610F7"/>
    <w:rsid w:val="00A63138"/>
    <w:rsid w:val="00A639AE"/>
    <w:rsid w:val="00A646B8"/>
    <w:rsid w:val="00A64D90"/>
    <w:rsid w:val="00A65841"/>
    <w:rsid w:val="00A661E1"/>
    <w:rsid w:val="00A6711C"/>
    <w:rsid w:val="00A70847"/>
    <w:rsid w:val="00A70E72"/>
    <w:rsid w:val="00A71983"/>
    <w:rsid w:val="00A71AB1"/>
    <w:rsid w:val="00A7321B"/>
    <w:rsid w:val="00A7325C"/>
    <w:rsid w:val="00A7440D"/>
    <w:rsid w:val="00A748DF"/>
    <w:rsid w:val="00A75764"/>
    <w:rsid w:val="00A75DA4"/>
    <w:rsid w:val="00A809B9"/>
    <w:rsid w:val="00A80A3E"/>
    <w:rsid w:val="00A820D2"/>
    <w:rsid w:val="00A850CB"/>
    <w:rsid w:val="00A8563C"/>
    <w:rsid w:val="00A87B32"/>
    <w:rsid w:val="00A90956"/>
    <w:rsid w:val="00A91912"/>
    <w:rsid w:val="00A958A4"/>
    <w:rsid w:val="00A96387"/>
    <w:rsid w:val="00AA05B6"/>
    <w:rsid w:val="00AA06EF"/>
    <w:rsid w:val="00AA460A"/>
    <w:rsid w:val="00AA4CA7"/>
    <w:rsid w:val="00AB2A3E"/>
    <w:rsid w:val="00AB2CFC"/>
    <w:rsid w:val="00AB4716"/>
    <w:rsid w:val="00AB6828"/>
    <w:rsid w:val="00AB6D8D"/>
    <w:rsid w:val="00AB7081"/>
    <w:rsid w:val="00AC06E4"/>
    <w:rsid w:val="00AC0C24"/>
    <w:rsid w:val="00AC5558"/>
    <w:rsid w:val="00AC56DE"/>
    <w:rsid w:val="00AC64ED"/>
    <w:rsid w:val="00AC7B9A"/>
    <w:rsid w:val="00AD1EA8"/>
    <w:rsid w:val="00AD27D7"/>
    <w:rsid w:val="00AD5F3D"/>
    <w:rsid w:val="00AD6DA7"/>
    <w:rsid w:val="00AD6E1A"/>
    <w:rsid w:val="00AE1561"/>
    <w:rsid w:val="00AE2D82"/>
    <w:rsid w:val="00AE41F7"/>
    <w:rsid w:val="00AE610D"/>
    <w:rsid w:val="00AE67D8"/>
    <w:rsid w:val="00AF046C"/>
    <w:rsid w:val="00AF2CF0"/>
    <w:rsid w:val="00AF36E0"/>
    <w:rsid w:val="00AF5935"/>
    <w:rsid w:val="00AF7F56"/>
    <w:rsid w:val="00B032A5"/>
    <w:rsid w:val="00B04C51"/>
    <w:rsid w:val="00B04E39"/>
    <w:rsid w:val="00B062FF"/>
    <w:rsid w:val="00B07A03"/>
    <w:rsid w:val="00B12C55"/>
    <w:rsid w:val="00B170AD"/>
    <w:rsid w:val="00B21E4D"/>
    <w:rsid w:val="00B22282"/>
    <w:rsid w:val="00B22417"/>
    <w:rsid w:val="00B23772"/>
    <w:rsid w:val="00B23E6F"/>
    <w:rsid w:val="00B23FAA"/>
    <w:rsid w:val="00B256A2"/>
    <w:rsid w:val="00B2573B"/>
    <w:rsid w:val="00B277D5"/>
    <w:rsid w:val="00B27D9A"/>
    <w:rsid w:val="00B3204C"/>
    <w:rsid w:val="00B32054"/>
    <w:rsid w:val="00B32319"/>
    <w:rsid w:val="00B32857"/>
    <w:rsid w:val="00B329C1"/>
    <w:rsid w:val="00B346F3"/>
    <w:rsid w:val="00B348C4"/>
    <w:rsid w:val="00B36362"/>
    <w:rsid w:val="00B40813"/>
    <w:rsid w:val="00B409C8"/>
    <w:rsid w:val="00B41462"/>
    <w:rsid w:val="00B42645"/>
    <w:rsid w:val="00B42FCA"/>
    <w:rsid w:val="00B44609"/>
    <w:rsid w:val="00B455E9"/>
    <w:rsid w:val="00B46405"/>
    <w:rsid w:val="00B50223"/>
    <w:rsid w:val="00B523BB"/>
    <w:rsid w:val="00B52EEE"/>
    <w:rsid w:val="00B5373D"/>
    <w:rsid w:val="00B53D8C"/>
    <w:rsid w:val="00B56E1A"/>
    <w:rsid w:val="00B5722E"/>
    <w:rsid w:val="00B614AC"/>
    <w:rsid w:val="00B62DCE"/>
    <w:rsid w:val="00B63239"/>
    <w:rsid w:val="00B71FA8"/>
    <w:rsid w:val="00B726FD"/>
    <w:rsid w:val="00B73820"/>
    <w:rsid w:val="00B74313"/>
    <w:rsid w:val="00B74407"/>
    <w:rsid w:val="00B7548F"/>
    <w:rsid w:val="00B75A66"/>
    <w:rsid w:val="00B76216"/>
    <w:rsid w:val="00B8141F"/>
    <w:rsid w:val="00B87778"/>
    <w:rsid w:val="00B9073D"/>
    <w:rsid w:val="00B92761"/>
    <w:rsid w:val="00B93B09"/>
    <w:rsid w:val="00B93F2D"/>
    <w:rsid w:val="00B951E9"/>
    <w:rsid w:val="00B95532"/>
    <w:rsid w:val="00B95859"/>
    <w:rsid w:val="00B9629F"/>
    <w:rsid w:val="00B96FCB"/>
    <w:rsid w:val="00B979CC"/>
    <w:rsid w:val="00BA15C6"/>
    <w:rsid w:val="00BA1D36"/>
    <w:rsid w:val="00BA27C4"/>
    <w:rsid w:val="00BA3079"/>
    <w:rsid w:val="00BA430F"/>
    <w:rsid w:val="00BA52AF"/>
    <w:rsid w:val="00BA601F"/>
    <w:rsid w:val="00BA643D"/>
    <w:rsid w:val="00BB3369"/>
    <w:rsid w:val="00BB3CE8"/>
    <w:rsid w:val="00BB3DAA"/>
    <w:rsid w:val="00BB5CA9"/>
    <w:rsid w:val="00BB7856"/>
    <w:rsid w:val="00BB7DF3"/>
    <w:rsid w:val="00BC44C9"/>
    <w:rsid w:val="00BC7BF7"/>
    <w:rsid w:val="00BC7C23"/>
    <w:rsid w:val="00BD03F4"/>
    <w:rsid w:val="00BD09DC"/>
    <w:rsid w:val="00BD13E5"/>
    <w:rsid w:val="00BD1A08"/>
    <w:rsid w:val="00BD1BDF"/>
    <w:rsid w:val="00BD238D"/>
    <w:rsid w:val="00BD3632"/>
    <w:rsid w:val="00BD416C"/>
    <w:rsid w:val="00BD580A"/>
    <w:rsid w:val="00BD6AEA"/>
    <w:rsid w:val="00BD7253"/>
    <w:rsid w:val="00BD74EB"/>
    <w:rsid w:val="00BE015E"/>
    <w:rsid w:val="00BE06FB"/>
    <w:rsid w:val="00BE0977"/>
    <w:rsid w:val="00BE3139"/>
    <w:rsid w:val="00BE4EB3"/>
    <w:rsid w:val="00BE7F60"/>
    <w:rsid w:val="00BF0DA8"/>
    <w:rsid w:val="00BF1A5E"/>
    <w:rsid w:val="00BF1A9B"/>
    <w:rsid w:val="00BF612F"/>
    <w:rsid w:val="00C0151B"/>
    <w:rsid w:val="00C01D16"/>
    <w:rsid w:val="00C01DA2"/>
    <w:rsid w:val="00C02CFF"/>
    <w:rsid w:val="00C04318"/>
    <w:rsid w:val="00C0550A"/>
    <w:rsid w:val="00C05D71"/>
    <w:rsid w:val="00C0798D"/>
    <w:rsid w:val="00C10617"/>
    <w:rsid w:val="00C109F4"/>
    <w:rsid w:val="00C10F20"/>
    <w:rsid w:val="00C1209B"/>
    <w:rsid w:val="00C1290B"/>
    <w:rsid w:val="00C12EC0"/>
    <w:rsid w:val="00C13621"/>
    <w:rsid w:val="00C15CEA"/>
    <w:rsid w:val="00C15FEE"/>
    <w:rsid w:val="00C20A2A"/>
    <w:rsid w:val="00C21107"/>
    <w:rsid w:val="00C2538E"/>
    <w:rsid w:val="00C26910"/>
    <w:rsid w:val="00C32294"/>
    <w:rsid w:val="00C33A78"/>
    <w:rsid w:val="00C3411B"/>
    <w:rsid w:val="00C35F27"/>
    <w:rsid w:val="00C36ED5"/>
    <w:rsid w:val="00C371FC"/>
    <w:rsid w:val="00C42A3B"/>
    <w:rsid w:val="00C44DB1"/>
    <w:rsid w:val="00C45AD7"/>
    <w:rsid w:val="00C45C13"/>
    <w:rsid w:val="00C46519"/>
    <w:rsid w:val="00C46636"/>
    <w:rsid w:val="00C52502"/>
    <w:rsid w:val="00C5258D"/>
    <w:rsid w:val="00C54B51"/>
    <w:rsid w:val="00C57FFE"/>
    <w:rsid w:val="00C617E5"/>
    <w:rsid w:val="00C623AD"/>
    <w:rsid w:val="00C64525"/>
    <w:rsid w:val="00C67069"/>
    <w:rsid w:val="00C67B44"/>
    <w:rsid w:val="00C725A5"/>
    <w:rsid w:val="00C74AF4"/>
    <w:rsid w:val="00C7653F"/>
    <w:rsid w:val="00C76B02"/>
    <w:rsid w:val="00C76D5C"/>
    <w:rsid w:val="00C80F1D"/>
    <w:rsid w:val="00C836CE"/>
    <w:rsid w:val="00C84A30"/>
    <w:rsid w:val="00C853C4"/>
    <w:rsid w:val="00C86A35"/>
    <w:rsid w:val="00C8768F"/>
    <w:rsid w:val="00C91C20"/>
    <w:rsid w:val="00C91F96"/>
    <w:rsid w:val="00C96F9F"/>
    <w:rsid w:val="00C9779A"/>
    <w:rsid w:val="00CA0509"/>
    <w:rsid w:val="00CA1085"/>
    <w:rsid w:val="00CA3A97"/>
    <w:rsid w:val="00CA4DE9"/>
    <w:rsid w:val="00CA6408"/>
    <w:rsid w:val="00CA6488"/>
    <w:rsid w:val="00CB0D71"/>
    <w:rsid w:val="00CB15DA"/>
    <w:rsid w:val="00CB16B5"/>
    <w:rsid w:val="00CB2049"/>
    <w:rsid w:val="00CB260E"/>
    <w:rsid w:val="00CB5277"/>
    <w:rsid w:val="00CB70DD"/>
    <w:rsid w:val="00CB7792"/>
    <w:rsid w:val="00CC02B4"/>
    <w:rsid w:val="00CC05FE"/>
    <w:rsid w:val="00CC143F"/>
    <w:rsid w:val="00CC1DF1"/>
    <w:rsid w:val="00CC2A6D"/>
    <w:rsid w:val="00CC2EBF"/>
    <w:rsid w:val="00CC415C"/>
    <w:rsid w:val="00CC5F69"/>
    <w:rsid w:val="00CC6372"/>
    <w:rsid w:val="00CC6D8C"/>
    <w:rsid w:val="00CC752B"/>
    <w:rsid w:val="00CD3380"/>
    <w:rsid w:val="00CD33B8"/>
    <w:rsid w:val="00CD38A8"/>
    <w:rsid w:val="00CD5176"/>
    <w:rsid w:val="00CD552D"/>
    <w:rsid w:val="00CD679A"/>
    <w:rsid w:val="00CE0BD0"/>
    <w:rsid w:val="00CE5256"/>
    <w:rsid w:val="00CE5F17"/>
    <w:rsid w:val="00CE60F7"/>
    <w:rsid w:val="00CE63A3"/>
    <w:rsid w:val="00CF1DE3"/>
    <w:rsid w:val="00CF1E2F"/>
    <w:rsid w:val="00CF36A1"/>
    <w:rsid w:val="00CF5F3C"/>
    <w:rsid w:val="00CF7964"/>
    <w:rsid w:val="00D00B16"/>
    <w:rsid w:val="00D00F0F"/>
    <w:rsid w:val="00D02873"/>
    <w:rsid w:val="00D049E4"/>
    <w:rsid w:val="00D05801"/>
    <w:rsid w:val="00D07C50"/>
    <w:rsid w:val="00D07D8A"/>
    <w:rsid w:val="00D1089D"/>
    <w:rsid w:val="00D1482E"/>
    <w:rsid w:val="00D20181"/>
    <w:rsid w:val="00D21030"/>
    <w:rsid w:val="00D21C42"/>
    <w:rsid w:val="00D21DDA"/>
    <w:rsid w:val="00D22167"/>
    <w:rsid w:val="00D22804"/>
    <w:rsid w:val="00D23FB5"/>
    <w:rsid w:val="00D2407C"/>
    <w:rsid w:val="00D24530"/>
    <w:rsid w:val="00D251E6"/>
    <w:rsid w:val="00D25794"/>
    <w:rsid w:val="00D27712"/>
    <w:rsid w:val="00D27F56"/>
    <w:rsid w:val="00D30129"/>
    <w:rsid w:val="00D335AE"/>
    <w:rsid w:val="00D34854"/>
    <w:rsid w:val="00D3561B"/>
    <w:rsid w:val="00D35852"/>
    <w:rsid w:val="00D36FE7"/>
    <w:rsid w:val="00D37A74"/>
    <w:rsid w:val="00D42610"/>
    <w:rsid w:val="00D4275C"/>
    <w:rsid w:val="00D42950"/>
    <w:rsid w:val="00D43BF0"/>
    <w:rsid w:val="00D43EDE"/>
    <w:rsid w:val="00D43F03"/>
    <w:rsid w:val="00D44CF1"/>
    <w:rsid w:val="00D44F35"/>
    <w:rsid w:val="00D46F69"/>
    <w:rsid w:val="00D47292"/>
    <w:rsid w:val="00D47767"/>
    <w:rsid w:val="00D51182"/>
    <w:rsid w:val="00D51417"/>
    <w:rsid w:val="00D52B60"/>
    <w:rsid w:val="00D54F23"/>
    <w:rsid w:val="00D57071"/>
    <w:rsid w:val="00D608C1"/>
    <w:rsid w:val="00D60BB6"/>
    <w:rsid w:val="00D6152F"/>
    <w:rsid w:val="00D61B29"/>
    <w:rsid w:val="00D62056"/>
    <w:rsid w:val="00D63C49"/>
    <w:rsid w:val="00D64A7D"/>
    <w:rsid w:val="00D6537C"/>
    <w:rsid w:val="00D702E4"/>
    <w:rsid w:val="00D70D5E"/>
    <w:rsid w:val="00D72086"/>
    <w:rsid w:val="00D72AFE"/>
    <w:rsid w:val="00D734C9"/>
    <w:rsid w:val="00D75553"/>
    <w:rsid w:val="00D8000E"/>
    <w:rsid w:val="00D81868"/>
    <w:rsid w:val="00D81BBF"/>
    <w:rsid w:val="00D83A1B"/>
    <w:rsid w:val="00D851E8"/>
    <w:rsid w:val="00D85689"/>
    <w:rsid w:val="00D861BC"/>
    <w:rsid w:val="00D91368"/>
    <w:rsid w:val="00D919DF"/>
    <w:rsid w:val="00D935C2"/>
    <w:rsid w:val="00D93C81"/>
    <w:rsid w:val="00D9423A"/>
    <w:rsid w:val="00DA15A3"/>
    <w:rsid w:val="00DA42B2"/>
    <w:rsid w:val="00DA6396"/>
    <w:rsid w:val="00DA6597"/>
    <w:rsid w:val="00DA691E"/>
    <w:rsid w:val="00DA7D40"/>
    <w:rsid w:val="00DA7ECC"/>
    <w:rsid w:val="00DB0B01"/>
    <w:rsid w:val="00DB1CB0"/>
    <w:rsid w:val="00DB2D13"/>
    <w:rsid w:val="00DB3AAD"/>
    <w:rsid w:val="00DB45EA"/>
    <w:rsid w:val="00DB4739"/>
    <w:rsid w:val="00DB4939"/>
    <w:rsid w:val="00DB4DDD"/>
    <w:rsid w:val="00DB4E9B"/>
    <w:rsid w:val="00DB52A0"/>
    <w:rsid w:val="00DB5AC7"/>
    <w:rsid w:val="00DB64AC"/>
    <w:rsid w:val="00DB6DE0"/>
    <w:rsid w:val="00DB778D"/>
    <w:rsid w:val="00DC5DAF"/>
    <w:rsid w:val="00DC7999"/>
    <w:rsid w:val="00DD0BC1"/>
    <w:rsid w:val="00DD1E9A"/>
    <w:rsid w:val="00DD2196"/>
    <w:rsid w:val="00DD230E"/>
    <w:rsid w:val="00DD3B66"/>
    <w:rsid w:val="00DD46D5"/>
    <w:rsid w:val="00DD4ABB"/>
    <w:rsid w:val="00DD50BC"/>
    <w:rsid w:val="00DE01BE"/>
    <w:rsid w:val="00DE1EE3"/>
    <w:rsid w:val="00DE5247"/>
    <w:rsid w:val="00DE5AF5"/>
    <w:rsid w:val="00DF165A"/>
    <w:rsid w:val="00DF1937"/>
    <w:rsid w:val="00DF2275"/>
    <w:rsid w:val="00DF4D4B"/>
    <w:rsid w:val="00DF5EB1"/>
    <w:rsid w:val="00E00A39"/>
    <w:rsid w:val="00E00B4C"/>
    <w:rsid w:val="00E014F5"/>
    <w:rsid w:val="00E021D5"/>
    <w:rsid w:val="00E0377E"/>
    <w:rsid w:val="00E051B6"/>
    <w:rsid w:val="00E06156"/>
    <w:rsid w:val="00E10448"/>
    <w:rsid w:val="00E129CE"/>
    <w:rsid w:val="00E1324C"/>
    <w:rsid w:val="00E1514E"/>
    <w:rsid w:val="00E15232"/>
    <w:rsid w:val="00E156EB"/>
    <w:rsid w:val="00E170A2"/>
    <w:rsid w:val="00E171C5"/>
    <w:rsid w:val="00E17DBA"/>
    <w:rsid w:val="00E2005F"/>
    <w:rsid w:val="00E208A6"/>
    <w:rsid w:val="00E20A32"/>
    <w:rsid w:val="00E21F54"/>
    <w:rsid w:val="00E257B3"/>
    <w:rsid w:val="00E27937"/>
    <w:rsid w:val="00E27D93"/>
    <w:rsid w:val="00E30B04"/>
    <w:rsid w:val="00E31747"/>
    <w:rsid w:val="00E31853"/>
    <w:rsid w:val="00E3198B"/>
    <w:rsid w:val="00E32299"/>
    <w:rsid w:val="00E346D4"/>
    <w:rsid w:val="00E35809"/>
    <w:rsid w:val="00E36667"/>
    <w:rsid w:val="00E3719A"/>
    <w:rsid w:val="00E408DD"/>
    <w:rsid w:val="00E416A9"/>
    <w:rsid w:val="00E41BBE"/>
    <w:rsid w:val="00E41D4C"/>
    <w:rsid w:val="00E423B2"/>
    <w:rsid w:val="00E43406"/>
    <w:rsid w:val="00E44537"/>
    <w:rsid w:val="00E44BC6"/>
    <w:rsid w:val="00E4592D"/>
    <w:rsid w:val="00E467D3"/>
    <w:rsid w:val="00E53A1B"/>
    <w:rsid w:val="00E54A41"/>
    <w:rsid w:val="00E55102"/>
    <w:rsid w:val="00E57586"/>
    <w:rsid w:val="00E600EF"/>
    <w:rsid w:val="00E623A3"/>
    <w:rsid w:val="00E63598"/>
    <w:rsid w:val="00E64096"/>
    <w:rsid w:val="00E6490A"/>
    <w:rsid w:val="00E666C0"/>
    <w:rsid w:val="00E67E33"/>
    <w:rsid w:val="00E70064"/>
    <w:rsid w:val="00E70EBD"/>
    <w:rsid w:val="00E71D5B"/>
    <w:rsid w:val="00E72413"/>
    <w:rsid w:val="00E72978"/>
    <w:rsid w:val="00E74C47"/>
    <w:rsid w:val="00E76AE3"/>
    <w:rsid w:val="00E76F5E"/>
    <w:rsid w:val="00E77CBD"/>
    <w:rsid w:val="00E8239D"/>
    <w:rsid w:val="00E828F5"/>
    <w:rsid w:val="00E82CEF"/>
    <w:rsid w:val="00E85448"/>
    <w:rsid w:val="00E85C3F"/>
    <w:rsid w:val="00E87BF9"/>
    <w:rsid w:val="00E92CBA"/>
    <w:rsid w:val="00E94916"/>
    <w:rsid w:val="00E956F6"/>
    <w:rsid w:val="00E9789A"/>
    <w:rsid w:val="00EA3F7F"/>
    <w:rsid w:val="00EA414D"/>
    <w:rsid w:val="00EA4E65"/>
    <w:rsid w:val="00EA627D"/>
    <w:rsid w:val="00EB1E26"/>
    <w:rsid w:val="00EB209F"/>
    <w:rsid w:val="00EB25E7"/>
    <w:rsid w:val="00EB2BF6"/>
    <w:rsid w:val="00EB40B3"/>
    <w:rsid w:val="00EB419C"/>
    <w:rsid w:val="00EB53BC"/>
    <w:rsid w:val="00EB65F4"/>
    <w:rsid w:val="00EB6B25"/>
    <w:rsid w:val="00EB7288"/>
    <w:rsid w:val="00EC1A92"/>
    <w:rsid w:val="00EC3484"/>
    <w:rsid w:val="00EC469E"/>
    <w:rsid w:val="00EC4A79"/>
    <w:rsid w:val="00EC5619"/>
    <w:rsid w:val="00ED210F"/>
    <w:rsid w:val="00ED3603"/>
    <w:rsid w:val="00ED6239"/>
    <w:rsid w:val="00ED7FA3"/>
    <w:rsid w:val="00EE00D5"/>
    <w:rsid w:val="00EE0EC7"/>
    <w:rsid w:val="00EE2296"/>
    <w:rsid w:val="00EE38BF"/>
    <w:rsid w:val="00EE4C7C"/>
    <w:rsid w:val="00EE6119"/>
    <w:rsid w:val="00EE66ED"/>
    <w:rsid w:val="00EE66EE"/>
    <w:rsid w:val="00EE725F"/>
    <w:rsid w:val="00EE73CD"/>
    <w:rsid w:val="00EE78D6"/>
    <w:rsid w:val="00EF2076"/>
    <w:rsid w:val="00EF218B"/>
    <w:rsid w:val="00EF234C"/>
    <w:rsid w:val="00EF34B6"/>
    <w:rsid w:val="00EF3B62"/>
    <w:rsid w:val="00F0088B"/>
    <w:rsid w:val="00F01524"/>
    <w:rsid w:val="00F0250B"/>
    <w:rsid w:val="00F02592"/>
    <w:rsid w:val="00F0271D"/>
    <w:rsid w:val="00F03401"/>
    <w:rsid w:val="00F055EF"/>
    <w:rsid w:val="00F0660F"/>
    <w:rsid w:val="00F071E4"/>
    <w:rsid w:val="00F1303F"/>
    <w:rsid w:val="00F150B6"/>
    <w:rsid w:val="00F170B9"/>
    <w:rsid w:val="00F17B70"/>
    <w:rsid w:val="00F20F6D"/>
    <w:rsid w:val="00F25C70"/>
    <w:rsid w:val="00F27CEF"/>
    <w:rsid w:val="00F316C7"/>
    <w:rsid w:val="00F31DBE"/>
    <w:rsid w:val="00F32122"/>
    <w:rsid w:val="00F337F9"/>
    <w:rsid w:val="00F34990"/>
    <w:rsid w:val="00F355BF"/>
    <w:rsid w:val="00F35C57"/>
    <w:rsid w:val="00F36EED"/>
    <w:rsid w:val="00F377F7"/>
    <w:rsid w:val="00F4246D"/>
    <w:rsid w:val="00F43584"/>
    <w:rsid w:val="00F4367E"/>
    <w:rsid w:val="00F43B86"/>
    <w:rsid w:val="00F44FA1"/>
    <w:rsid w:val="00F45424"/>
    <w:rsid w:val="00F472F2"/>
    <w:rsid w:val="00F5112B"/>
    <w:rsid w:val="00F51B24"/>
    <w:rsid w:val="00F5212C"/>
    <w:rsid w:val="00F53F8F"/>
    <w:rsid w:val="00F55911"/>
    <w:rsid w:val="00F563E6"/>
    <w:rsid w:val="00F60161"/>
    <w:rsid w:val="00F610FA"/>
    <w:rsid w:val="00F628E0"/>
    <w:rsid w:val="00F64047"/>
    <w:rsid w:val="00F647CB"/>
    <w:rsid w:val="00F64E25"/>
    <w:rsid w:val="00F6528A"/>
    <w:rsid w:val="00F6592E"/>
    <w:rsid w:val="00F66487"/>
    <w:rsid w:val="00F7081F"/>
    <w:rsid w:val="00F70CF6"/>
    <w:rsid w:val="00F7202F"/>
    <w:rsid w:val="00F7319B"/>
    <w:rsid w:val="00F754DD"/>
    <w:rsid w:val="00F759FC"/>
    <w:rsid w:val="00F75A5B"/>
    <w:rsid w:val="00F75EE5"/>
    <w:rsid w:val="00F76A6B"/>
    <w:rsid w:val="00F771B9"/>
    <w:rsid w:val="00F7797A"/>
    <w:rsid w:val="00F826FC"/>
    <w:rsid w:val="00F82A3B"/>
    <w:rsid w:val="00F82A96"/>
    <w:rsid w:val="00F8351A"/>
    <w:rsid w:val="00F83785"/>
    <w:rsid w:val="00F83DAB"/>
    <w:rsid w:val="00F84341"/>
    <w:rsid w:val="00F85B33"/>
    <w:rsid w:val="00F86134"/>
    <w:rsid w:val="00F86B8C"/>
    <w:rsid w:val="00F90092"/>
    <w:rsid w:val="00F90BF5"/>
    <w:rsid w:val="00F94640"/>
    <w:rsid w:val="00F95520"/>
    <w:rsid w:val="00F9581B"/>
    <w:rsid w:val="00F962E6"/>
    <w:rsid w:val="00F96FC2"/>
    <w:rsid w:val="00F97209"/>
    <w:rsid w:val="00FA2626"/>
    <w:rsid w:val="00FA3BDB"/>
    <w:rsid w:val="00FA51BD"/>
    <w:rsid w:val="00FA5F85"/>
    <w:rsid w:val="00FA6E09"/>
    <w:rsid w:val="00FB12E7"/>
    <w:rsid w:val="00FB5AE0"/>
    <w:rsid w:val="00FB5CBC"/>
    <w:rsid w:val="00FB6E9B"/>
    <w:rsid w:val="00FC0B4B"/>
    <w:rsid w:val="00FC2A04"/>
    <w:rsid w:val="00FC2FAA"/>
    <w:rsid w:val="00FD4E17"/>
    <w:rsid w:val="00FD5832"/>
    <w:rsid w:val="00FD5F01"/>
    <w:rsid w:val="00FD7116"/>
    <w:rsid w:val="00FE0B10"/>
    <w:rsid w:val="00FE15BC"/>
    <w:rsid w:val="00FE5602"/>
    <w:rsid w:val="00FE6ED8"/>
    <w:rsid w:val="00FE7B1A"/>
    <w:rsid w:val="00FE7CC5"/>
    <w:rsid w:val="00FE7DEE"/>
    <w:rsid w:val="00FF01A3"/>
    <w:rsid w:val="00FF1FBD"/>
    <w:rsid w:val="00FF28A1"/>
    <w:rsid w:val="00FF32BD"/>
    <w:rsid w:val="00FF540C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6D32"/>
  <w15:docId w15:val="{91D2315C-102B-45C0-8DE6-6D5F838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16505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4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5051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FF540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rsid w:val="001650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05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uiPriority w:val="99"/>
    <w:semiHidden/>
    <w:rsid w:val="00165051"/>
    <w:rPr>
      <w:vertAlign w:val="superscript"/>
    </w:rPr>
  </w:style>
  <w:style w:type="character" w:styleId="Hyperlink">
    <w:name w:val="Hyperlink"/>
    <w:uiPriority w:val="99"/>
    <w:rsid w:val="00165051"/>
    <w:rPr>
      <w:color w:val="0000FF"/>
      <w:u w:val="single"/>
    </w:rPr>
  </w:style>
  <w:style w:type="paragraph" w:customStyle="1" w:styleId="Tytutablicy">
    <w:name w:val="Tytuł tablicy"/>
    <w:aliases w:val="wykresu"/>
    <w:basedOn w:val="Normal"/>
    <w:next w:val="Normal"/>
    <w:rsid w:val="00165051"/>
    <w:pPr>
      <w:keepNext/>
      <w:spacing w:before="240"/>
    </w:pPr>
    <w:rPr>
      <w:rFonts w:ascii="Palatino Linotype" w:hAnsi="Palatino Linotype"/>
      <w:b/>
      <w:sz w:val="20"/>
      <w:szCs w:val="20"/>
    </w:rPr>
  </w:style>
  <w:style w:type="paragraph" w:customStyle="1" w:styleId="rdo">
    <w:name w:val="żródło"/>
    <w:basedOn w:val="Normal"/>
    <w:next w:val="Normal"/>
    <w:rsid w:val="00165051"/>
    <w:rPr>
      <w:rFonts w:ascii="Palatino Linotype" w:hAnsi="Palatino Linotype"/>
      <w:sz w:val="18"/>
      <w:szCs w:val="20"/>
    </w:rPr>
  </w:style>
  <w:style w:type="paragraph" w:styleId="NoSpacing">
    <w:name w:val="No Spacing"/>
    <w:link w:val="NoSpacingChar"/>
    <w:uiPriority w:val="1"/>
    <w:qFormat/>
    <w:rsid w:val="00165051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NoSpacingChar">
    <w:name w:val="No Spacing Char"/>
    <w:link w:val="NoSpacing"/>
    <w:uiPriority w:val="1"/>
    <w:rsid w:val="00165051"/>
    <w:rPr>
      <w:rFonts w:ascii="Times New Roman" w:eastAsia="Calibri" w:hAnsi="Times New Roman" w:cs="Times New Roman"/>
    </w:rPr>
  </w:style>
  <w:style w:type="paragraph" w:styleId="Header">
    <w:name w:val="header"/>
    <w:basedOn w:val="Normal"/>
    <w:link w:val="HeaderChar"/>
    <w:rsid w:val="001650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650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1650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05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rsid w:val="0016505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051"/>
    <w:rPr>
      <w:rFonts w:ascii="Tahoma" w:eastAsia="Times New Roman" w:hAnsi="Tahoma" w:cs="Times New Roman"/>
      <w:sz w:val="16"/>
      <w:szCs w:val="16"/>
      <w:lang w:eastAsia="pl-PL"/>
    </w:rPr>
  </w:style>
  <w:style w:type="paragraph" w:styleId="EndnoteText">
    <w:name w:val="endnote text"/>
    <w:basedOn w:val="Normal"/>
    <w:link w:val="EndnoteTextChar"/>
    <w:rsid w:val="001650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16505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rsid w:val="00165051"/>
    <w:rPr>
      <w:vertAlign w:val="superscript"/>
    </w:rPr>
  </w:style>
  <w:style w:type="table" w:styleId="TableGrid">
    <w:name w:val="Table Grid"/>
    <w:basedOn w:val="TableNormal"/>
    <w:uiPriority w:val="59"/>
    <w:rsid w:val="00165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505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62A47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62A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47"/>
    <w:pPr>
      <w:tabs>
        <w:tab w:val="left" w:pos="880"/>
        <w:tab w:val="right" w:leader="dot" w:pos="8777"/>
      </w:tabs>
      <w:spacing w:after="100"/>
      <w:ind w:left="240"/>
    </w:pPr>
    <w:rPr>
      <w:b/>
      <w:noProof/>
    </w:rPr>
  </w:style>
  <w:style w:type="paragraph" w:styleId="ListParagraph">
    <w:name w:val="List Paragraph"/>
    <w:basedOn w:val="Normal"/>
    <w:uiPriority w:val="34"/>
    <w:qFormat/>
    <w:rsid w:val="00EF3B6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CC5F69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uiPriority w:val="99"/>
    <w:rsid w:val="00CC5F6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A">
    <w:name w:val="TEKST PRACA"/>
    <w:basedOn w:val="Normal"/>
    <w:link w:val="TEKSTPRACAZnak"/>
    <w:qFormat/>
    <w:rsid w:val="00A06EC2"/>
    <w:pPr>
      <w:spacing w:line="360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TEKSTPRACAZnak">
    <w:name w:val="TEKST PRACA Znak"/>
    <w:basedOn w:val="DefaultParagraphFont"/>
    <w:link w:val="TEKSTPRACA"/>
    <w:rsid w:val="00A06EC2"/>
    <w:rPr>
      <w:rFonts w:ascii="Times New Roman" w:hAnsi="Times New Roman"/>
      <w:sz w:val="24"/>
    </w:rPr>
  </w:style>
  <w:style w:type="paragraph" w:customStyle="1" w:styleId="licencjat">
    <w:name w:val="licencjat"/>
    <w:basedOn w:val="Normal"/>
    <w:link w:val="licencjatZnak"/>
    <w:qFormat/>
    <w:rsid w:val="00E94916"/>
    <w:pPr>
      <w:spacing w:line="360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licencjatZnak">
    <w:name w:val="licencjat Znak"/>
    <w:basedOn w:val="DefaultParagraphFont"/>
    <w:link w:val="licencjat"/>
    <w:rsid w:val="00E94916"/>
    <w:rPr>
      <w:rFonts w:ascii="Times New Roman" w:hAnsi="Times New Roman"/>
      <w:sz w:val="24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75574B"/>
    <w:rPr>
      <w:color w:val="605E5C"/>
      <w:shd w:val="clear" w:color="auto" w:fill="E1DFDD"/>
    </w:rPr>
  </w:style>
  <w:style w:type="character" w:customStyle="1" w:styleId="Nierozpoznanawzmianka2">
    <w:name w:val="Nierozpoznana wzmianka2"/>
    <w:basedOn w:val="DefaultParagraphFont"/>
    <w:uiPriority w:val="99"/>
    <w:semiHidden/>
    <w:unhideWhenUsed/>
    <w:rsid w:val="003D2F62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B743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1034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034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034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574B"/>
    <w:rPr>
      <w:color w:val="954F72"/>
      <w:u w:val="single"/>
    </w:rPr>
  </w:style>
  <w:style w:type="paragraph" w:customStyle="1" w:styleId="msonormal0">
    <w:name w:val="msonormal"/>
    <w:basedOn w:val="Normal"/>
    <w:rsid w:val="008B574B"/>
    <w:pPr>
      <w:spacing w:before="100" w:beforeAutospacing="1" w:after="100" w:afterAutospacing="1"/>
    </w:pPr>
    <w:rPr>
      <w:lang w:val="en-US" w:eastAsia="en-US"/>
    </w:rPr>
  </w:style>
  <w:style w:type="paragraph" w:customStyle="1" w:styleId="xl65">
    <w:name w:val="xl65"/>
    <w:basedOn w:val="Normal"/>
    <w:rsid w:val="008B574B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66">
    <w:name w:val="xl66"/>
    <w:basedOn w:val="Normal"/>
    <w:rsid w:val="00F97209"/>
    <w:pPr>
      <w:spacing w:before="100" w:beforeAutospacing="1" w:after="100" w:afterAutospacing="1"/>
      <w:jc w:val="right"/>
    </w:pPr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5A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A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A1B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A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A1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styleId="Strong">
    <w:name w:val="Strong"/>
    <w:basedOn w:val="DefaultParagraphFont"/>
    <w:uiPriority w:val="22"/>
    <w:qFormat/>
    <w:rsid w:val="004E4189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62F4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D39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9C9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BodyText">
    <w:name w:val="Body Text"/>
    <w:basedOn w:val="Normal"/>
    <w:link w:val="BodyTextChar"/>
    <w:uiPriority w:val="99"/>
    <w:unhideWhenUsed/>
    <w:rsid w:val="008D39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39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9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39C9"/>
    <w:rPr>
      <w:rFonts w:eastAsiaTheme="minorEastAsia"/>
      <w:color w:val="5A5A5A" w:themeColor="text1" w:themeTint="A5"/>
      <w:spacing w:val="15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39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39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D39C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D39C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8D39C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490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BD5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www.kaggle.com/andrewmvd/heart-failure-clinical-data" TargetMode="External"/><Relationship Id="rId5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8E10-8F03-47A7-ABAF-E82FE7B2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2545</Words>
  <Characters>14508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Wizzy</dc:creator>
  <cp:lastModifiedBy>Wojciech Piaskowski</cp:lastModifiedBy>
  <cp:revision>6</cp:revision>
  <cp:lastPrinted>2020-11-21T18:35:00Z</cp:lastPrinted>
  <dcterms:created xsi:type="dcterms:W3CDTF">2021-01-27T18:06:00Z</dcterms:created>
  <dcterms:modified xsi:type="dcterms:W3CDTF">2021-02-18T17:01:00Z</dcterms:modified>
</cp:coreProperties>
</file>