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m="http://schemas.openxmlformats.org/officeDocument/2006/math">
  <w:body>
    <w:p>
      <w:pPr>
        <w:pStyle w:val="Title"/>
      </w:pPr>
      <w:r>
        <w:t xml:space="preserve">2</w:t>
      </w:r>
    </w:p>
    <w:p>
      <w:pPr>
        <w:pStyle w:val="Subtitle"/>
      </w:pPr>
      <w:r>
        <w:t xml:space="preserve">MaxStudy</w:t>
      </w:r>
    </w:p>
    <w:p>
      <w:pPr>
        <w:pStyle w:val="Metadata"/>
      </w:pPr>
      <w:r>
        <w:t xml:space="preserve">Oct 24, 2026</w:t>
      </w:r>
    </w:p>
    <w:p>
      <w:pPr>
        <w:pStyle w:val="Metadata"/>
      </w:pPr>
      <w:r>
        <w:t xml:space="preserve">makroekonomia</w:t>
      </w:r>
    </w:p>
    <w:p>
      <w:pPr>
        <w:pStyle w:val="Normal"/>
      </w:pPr>
      <w:r>
        <w:t/>
      </w:r>
    </w:p>
    <w:p>
      <w:pPr>
        <w:pStyle w:val="Heading1"/>
        <w:keepNext/>
      </w:pPr>
      <w:r>
        <w:t xml:space="preserve">3</w:t>
      </w:r>
    </w:p>
    <w:p>
      <w:pPr>
        <w:pStyle w:val="Normal"/>
      </w:pPr>
      <w:r>
        <w:t xml:space="preserve">Niniejsze notatki omawiają często pomijany w teorii ekonomii problem dystrybucji oraz nieuchronny konflikt interesów między światem kapitału a światem pracy. Przedstawiono w nich znaczenie lojalności pracowników oraz rołę transparentnej komunikacji w zarządzaniu kryzysowym na przykładzie firmy Pesa.</w:t>
      </w:r>
    </w:p>
    <w:p>
      <w:pPr>
        <w:spacing w:before="120" w:after="120"/>
        <w:pBdr>
          <w:bottom w:val="single" w:sz="8" w:space="1" w:color="D8DDE8"/>
        </w:pBdr>
      </w:pPr>
    </w:p>
    <w:p>
      <w:pPr>
        <w:pStyle w:val="Heading2"/>
        <w:keepNext/>
      </w:pPr>
      <w:r>
        <w:t xml:space="preserve">Problem dystrybucji w teorii ekonomii 💸</w:t>
      </w:r>
    </w:p>
    <w:p>
      <w:pPr>
        <w:pStyle w:val="Normal"/>
      </w:pPr>
      <w:r>
        <w:t xml:space="preserve">Współczesna teoria ekonomii, zarówno na poziomie makro, jak i mikro, wykazuje tendencję do </w:t>
      </w:r>
      <w:r>
        <w:rPr>
          <w:b/>
        </w:rPr>
        <w:t xml:space="preserve">pomijania milczeniem kwestii dystrybucji</w:t>
      </w:r>
      <w:r>
        <w:t xml:space="preserve"> (podziału) wypracowanych dóbr. Przyczyną tego stanu rzeczy jest fakt, że temat ten dotyka fundamentalnych, zapalnych punktów w strukturze społeczno-gospodarczej. Rozważania nad dystrybucją nieuchronnie prowadzą do analizy konfliktów, które są postrzegane jako zbyt ryzykowne lub trudne do ujęcia w sztywne ramy teoretyczne głównego nurtu.</w:t>
      </w:r>
    </w:p>
    <w:p>
      <w:pPr>
        <w:spacing w:before="120" w:after="120"/>
        <w:pBdr>
          <w:bottom w:val="single" w:sz="8" w:space="1" w:color="D8DDE8"/>
        </w:pBdr>
      </w:pPr>
    </w:p>
    <w:p>
      <w:pPr>
        <w:pStyle w:val="Heading3"/>
        <w:keepNext/>
      </w:pPr>
      <w:r>
        <w:t xml:space="preserve">Istota konfliktu interesów</w:t>
      </w:r>
    </w:p>
    <w:p>
      <w:pPr>
        <w:pStyle w:val="Normal"/>
      </w:pPr>
      <w:r>
        <w:t xml:space="preserve">U podstaw problemu dystrybucji leży trwała </w:t>
      </w:r>
      <w:r>
        <w:rPr>
          <w:b/>
        </w:rPr>
        <w:t xml:space="preserve">sprzeczność interesów</w:t>
      </w:r>
      <w:r>
        <w:t xml:space="preserve"> między dwiema kluczowymi grupami gospodarczymi:</w:t>
      </w:r>
    </w:p>
    <w:p>
      <w:pPr>
        <w:pStyle w:val="ListParagraph"/>
      </w:pPr>
      <w:r>
        <w:t xml:space="preserve">• </w:t>
      </w:r>
      <w:r>
        <w:rPr>
          <w:b/>
        </w:rPr>
        <w:t xml:space="preserve">Świat pracy</w:t>
      </w:r>
      <w:r>
        <w:t xml:space="preserve">: dąży do maksymalizacji wynagrodzeń (płac), co stanowi bezpośredni koszt dla pracodawcy, ale jest źródłem utrzymania pracowników.</w:t>
      </w:r>
    </w:p>
    <w:p>
      <w:pPr>
        <w:pStyle w:val="ListParagraph"/>
      </w:pPr>
      <w:r>
        <w:t xml:space="preserve">• </w:t>
      </w:r>
      <w:r>
        <w:rPr>
          <w:b/>
        </w:rPr>
        <w:t xml:space="preserve">Świat kapitału</w:t>
      </w:r>
      <w:r>
        <w:t xml:space="preserve">: dąży do maksymalizacji zysku, co często odbywa się kosztem redukcji wydatków na fundusz płac.</w:t>
      </w:r>
    </w:p>
    <w:p>
      <w:pPr>
        <w:pStyle w:val="Normal"/>
      </w:pPr>
      <w:r>
        <w:t xml:space="preserve">Relacja ta charakteryzuje się asymetrią sił. </w:t>
      </w:r>
      <w:r>
        <w:rPr>
          <w:b/>
        </w:rPr>
        <w:t xml:space="preserve">Właściciel środków produkcji</w:t>
      </w:r>
      <w:r>
        <w:t xml:space="preserve"> posiada strukturalną przewagę nad pojedynczym pracownikiem, ponieważ to on dysponuje narzędziami pozwalającymi na generowanie dochodu i decyduje o zatrudnieniu. W tym kontekście kluczową rolę odgrywają </w:t>
      </w:r>
      <w:r>
        <w:rPr>
          <w:b/>
        </w:rPr>
        <w:t xml:space="preserve">związki zawodowe</w:t>
      </w:r>
      <w:r>
        <w:t xml:space="preserve">, które pełnią funkcję instytucjonalnego obrońcy słabszej strony. Ich istnienie pozwala na wyrównanie szans w negocjacjach ze światem kapitału i ochronę interesów bytowych zatrudnionych.</w:t>
      </w:r>
    </w:p>
    <w:p>
      <w:pPr>
        <w:spacing w:before="120" w:after="120"/>
        <w:pBdr>
          <w:bottom w:val="single" w:sz="8" w:space="1" w:color="D8DDE8"/>
        </w:pBdr>
      </w:pPr>
    </w:p>
    <w:p>
      <w:pPr>
        <w:pStyle w:val="Heading3"/>
        <w:keepNext/>
      </w:pPr>
      <w:r>
        <w:t xml:space="preserve">Alternatywne podejście do zarządzania</w:t>
      </w:r>
    </w:p>
    <w:p>
      <w:pPr>
        <w:pStyle w:val="Normal"/>
      </w:pPr>
      <w:r>
        <w:t xml:space="preserve">Mimo naturalnego konfliktu, w praktyce gospodarczej istnieje możliwość budowania </w:t>
      </w:r>
      <w:r>
        <w:rPr>
          <w:b/>
        </w:rPr>
        <w:t xml:space="preserve">lojalności opartej na wysokich zarobkach</w:t>
      </w:r>
      <w:r>
        <w:t xml:space="preserve">. Oferowanie pracownikom godziwego wynagrodzenia może przynieść korzyści długofalowe dla właścicieli kapitału. Związanie wykwalifikowanej kadry z przedsiębiorstwem owocuje oddaniem, które przejawia się szczególnie w okresach kryzysu. Historia gospodarcza zna przypadki, w których pracownicy, czując się częścią wspólnoty, rezygnowali czasowo z pensji lub zaciągali zobowiązania na rozwój technologii, by ratować firmę przed upadkiem. Takie podejście pokazuje, że choć konflikt interesów jest wpisany w system, to świadoma polityka dystrybucji płac może go mitygować.</w:t>
      </w:r>
    </w:p>
    <w:p>
      <w:pPr>
        <w:spacing w:before="120" w:after="120"/>
        <w:pBdr>
          <w:bottom w:val="single" w:sz="8" w:space="1" w:color="D8DDE8"/>
        </w:pBdr>
      </w:pPr>
    </w:p>
    <w:p>
      <w:pPr>
        <w:pStyle w:val="Heading2"/>
        <w:keepNext/>
      </w:pPr>
      <w:r>
        <w:t xml:space="preserve">Zarządzanie relacjami i lojalnością pracowników 🤝</w:t>
      </w:r>
    </w:p>
    <w:p>
      <w:pPr>
        <w:pStyle w:val="Normal"/>
      </w:pPr>
      <w:r>
        <w:t xml:space="preserve">Współczesna ekonomia często pomija temat </w:t>
      </w:r>
      <w:r>
        <w:rPr>
          <w:b/>
        </w:rPr>
        <w:t xml:space="preserve">dystrybucji</w:t>
      </w:r>
      <w:r>
        <w:t xml:space="preserve">, czyli podziału wypracowanych środków między świat kapitału a świat pracy. Istnieje tu naturalna sprzeczność interesów: właściciele dążą do maksymalizacji zysku, podczas gdy pracownicy oczekują jak najwyższych płac. Dla przyszłych menedżerów i właścicieli kluczowe powinno być jednak zrozumienie, że wysokie wynagrodzenia nie są jedynie kosztem, ale inwestycją w </w:t>
      </w:r>
      <w:r>
        <w:rPr>
          <w:b/>
        </w:rPr>
        <w:t xml:space="preserve">lojalność kadr</w:t>
      </w:r>
      <w:r>
        <w:t xml:space="preserve">, która przynosi wymierne korzyści w sytuacjach kryzysowych.</w:t>
      </w:r>
    </w:p>
    <w:p>
      <w:pPr>
        <w:spacing w:before="120" w:after="120"/>
        <w:pBdr>
          <w:bottom w:val="single" w:sz="8" w:space="1" w:color="D8DDE8"/>
        </w:pBdr>
      </w:pPr>
    </w:p>
    <w:p>
      <w:pPr>
        <w:pStyle w:val="Heading3"/>
        <w:keepNext/>
      </w:pPr>
      <w:r>
        <w:t xml:space="preserve">Strategiczna rola lojalności w czasie kryzysu</w:t>
      </w:r>
    </w:p>
    <w:p>
      <w:pPr>
        <w:pStyle w:val="Normal"/>
      </w:pPr>
      <w:r>
        <w:t xml:space="preserve">Budowanie silnej więzi z pracownikami sprawia, że stają się oni oddani firmie i nie odchodzą przy pierwszej lepszej okazji. W momentach załamania rynkowego lojalna załoga wykazuje gotowość do bezprecedensowych poświęceń, takich jak czasowa </w:t>
      </w:r>
      <w:r>
        <w:rPr>
          <w:b/>
        </w:rPr>
        <w:t xml:space="preserve">rezygnacja z pobierania pensji</w:t>
      </w:r>
      <w:r>
        <w:t xml:space="preserve">. Pracownicy, dysponując oszczędnościami z wcześniejszych wysokich zarobków, mogą pozwolić przedsiębiorstwu „złapać oddech” i przeprowadzić niezbędną restrukturyzację bez ryzyka natychmiastowej upadłości.</w:t>
      </w:r>
    </w:p>
    <w:p>
      <w:pPr>
        <w:spacing w:before="120" w:after="120"/>
        <w:pBdr>
          <w:bottom w:val="single" w:sz="8" w:space="1" w:color="D8DDE8"/>
        </w:pBdr>
      </w:pPr>
    </w:p>
    <w:p>
      <w:pPr>
        <w:pStyle w:val="Heading3"/>
        <w:keepNext/>
      </w:pPr>
      <w:r>
        <w:t xml:space="preserve">Case study firmy Pesa</w:t>
      </w:r>
    </w:p>
    <w:p>
      <w:pPr>
        <w:pStyle w:val="Normal"/>
      </w:pPr>
      <w:r>
        <w:t xml:space="preserve">Wyjątkowym przykładem skutecznego zarządzania kryzysowego opartego na zaufaniu jest historia bydgoskiej firmy </w:t>
      </w:r>
      <w:r>
        <w:rPr>
          <w:b/>
        </w:rPr>
        <w:t xml:space="preserve">Pesa</w:t>
      </w:r>
      <w:r>
        <w:t xml:space="preserve">. Kluczową rolę odegrał tu Tomasz Zaboklicki, który jako dyrektor ekonomiczny, a później szef przedsiębiorstwa, zdołał uratować je przed upadkiem. Mechanizm ratunkowy opierał się na dwóch filarach:</w:t>
      </w:r>
    </w:p>
    <w:p>
      <w:pPr>
        <w:pStyle w:val="ListParagraph"/>
      </w:pPr>
      <w:r>
        <w:t xml:space="preserve">• </w:t>
      </w:r>
      <w:r>
        <w:rPr>
          <w:b/>
        </w:rPr>
        <w:t xml:space="preserve">Solidarność zarządu</w:t>
      </w:r>
      <w:r>
        <w:t xml:space="preserve">: Kierownictwo zrezygnowało z pobierania wynagrodzeń, dając sygnał o powadze sytuacji i własnym zaangażowaniu.</w:t>
      </w:r>
    </w:p>
    <w:p>
      <w:pPr>
        <w:pStyle w:val="ListParagraph"/>
      </w:pPr>
      <w:r>
        <w:t xml:space="preserve">• </w:t>
      </w:r>
      <w:r>
        <w:rPr>
          <w:b/>
        </w:rPr>
        <w:t xml:space="preserve">Poświęcenie załogi</w:t>
      </w:r>
      <w:r>
        <w:t xml:space="preserve">: Pracownicy nie tylko zrezygnowali z pensji, ale zdecydowali się na zaciągnięcie prywatnych </w:t>
      </w:r>
      <w:r>
        <w:rPr>
          <w:b/>
        </w:rPr>
        <w:t xml:space="preserve">kredytów konsumpcyjnych</w:t>
      </w:r>
      <w:r>
        <w:t xml:space="preserve">, aby sfinansować zakup nowych technologii. Dzięki temu firma zmodernizowała się i przetrwała na rynku.</w:t>
      </w:r>
    </w:p>
    <w:p>
      <w:pPr>
        <w:spacing w:before="120" w:after="120"/>
        <w:pBdr>
          <w:bottom w:val="single" w:sz="8" w:space="1" w:color="D8DDE8"/>
        </w:pBdr>
      </w:pPr>
    </w:p>
    <w:p>
      <w:pPr>
        <w:pStyle w:val="Heading3"/>
        <w:keepNext/>
      </w:pPr>
      <w:r>
        <w:t xml:space="preserve">Znaczenie komunikacji i motywacji</w:t>
      </w:r>
    </w:p>
    <w:p>
      <w:pPr>
        <w:pStyle w:val="Normal"/>
      </w:pPr>
      <w:r>
        <w:t xml:space="preserve">Sukces takich działań zależy od </w:t>
      </w:r>
      <w:r>
        <w:rPr>
          <w:b/>
        </w:rPr>
        <w:t xml:space="preserve">skutecznej komunikacji</w:t>
      </w:r>
      <w:r>
        <w:t xml:space="preserve"> managementu z załogą. Menadżerowie muszą potrafić szczerze wyjaśnić trudności i zaapelować o wsparcie, pokazując wspólną korzyść z utrzymania zakładu pracy. Pracownik jest naturalnie zmotywowany do unikania bankructwa firmy, ponieważ w obliczu braku lepszych alternatyw na rynku, przetrwanie obecnego pracodawcy jest w jego żywotnym interesie. Właściwy podział dóbr w okresach prosperity tworzy fundament zaufania, który staje się polisą ubezpieczeniową dla organizacji w czasach trudnych.</w:t>
      </w:r>
    </w:p>
    <w:p>
      <w:pPr>
        <w:pStyle w:val="Normal"/>
      </w:pPr>
      <w:r>
        <w:t xml:space="preserve">Podsumowując, mimo że kwestie podziału dochodów są tematem trudnym i konfliktowym, ich zrozumienie jest kluczowe dla stabilności przedsiębiorstwa. Inwestycja w lojalność kadr oraz otwartość zarządu wobec załogi stanowią fundament przetrwania firmy w okresach dekoniunktury.</w:t>
      </w:r>
    </w:p>
    <w:p>
      <w:pPr>
        <w:pStyle w:val="Normal"/>
      </w:pPr>
      <w:r>
        <w:t/>
      </w:r>
    </w:p>
    <w:p>
      <w:pPr>
        <w:pStyle w:val="Subtitle"/>
      </w:pPr>
      <w:r>
        <w:t xml:space="preserve">Z miłością od MaxStudy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  <m:dispDef/>
  </m:mathPr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Subtitle"/>
    <w:qFormat/>
    <w:pPr>
      <w:keepNext/>
      <w:spacing w:before="0" w:after="80"/>
    </w:pPr>
    <w:rPr>
      <w:b/>
      <w:color w:val="172554"/>
      <w:sz w:val="48"/>
      <w:szCs w:val="48"/>
    </w:rPr>
  </w:style>
  <w:style w:type="paragraph" w:styleId="Subtitle">
    <w:name w:val="Subtitle"/>
    <w:basedOn w:val="Normal"/>
    <w:next w:val="Metadata"/>
    <w:pPr>
      <w:spacing w:after="40"/>
    </w:pPr>
    <w:rPr>
      <w:b/>
      <w:color w:val="4169E1"/>
      <w:sz w:val="24"/>
      <w:szCs w:val="24"/>
    </w:rPr>
  </w:style>
  <w:style w:type="paragraph" w:styleId="Metadata">
    <w:name w:val="Metadata"/>
    <w:basedOn w:val="Normal"/>
    <w:pPr>
      <w:spacing w:after="20"/>
    </w:pPr>
    <w:rPr>
      <w:color w:val="64748B"/>
      <w:sz w:val="19"/>
      <w:szCs w:val="19"/>
    </w:rPr>
  </w:style>
  <w:style w:type="paragraph" w:styleId="Heading1">
    <w:name w:val="heading 1"/>
    <w:basedOn w:val="Normal"/>
    <w:next w:val="Normal"/>
    <w:qFormat/>
    <w:uiPriority w:val="9"/>
    <w:pPr>
      <w:keepNext/>
      <w:keepLines/>
      <w:spacing w:before="240" w:after="120"/>
      <w:outlineLvl w:val="0"/>
    </w:pPr>
    <w:rPr>
      <w:b/>
      <w:color w:val="2343A5"/>
      <w:sz w:val="34"/>
      <w:szCs w:val="34"/>
    </w:rPr>
  </w:style>
  <w:style w:type="paragraph" w:styleId="Heading2">
    <w:name w:val="heading 2"/>
    <w:basedOn w:val="Normal"/>
    <w:next w:val="Normal"/>
    <w:qFormat/>
    <w:uiPriority w:val="9"/>
    <w:pPr>
      <w:keepNext/>
      <w:keepLines/>
      <w:spacing w:before="220" w:after="100"/>
      <w:outlineLvl w:val="1"/>
    </w:pPr>
    <w:rPr>
      <w:b/>
      <w:color w:val="3156C8"/>
      <w:sz w:val="29"/>
      <w:szCs w:val="29"/>
    </w:rPr>
  </w:style>
  <w:style w:type="paragraph" w:styleId="Heading3">
    <w:name w:val="heading 3"/>
    <w:basedOn w:val="Normal"/>
    <w:next w:val="Normal"/>
    <w:qFormat/>
    <w:uiPriority w:val="9"/>
    <w:pPr>
      <w:keepNext/>
      <w:keepLines/>
      <w:spacing w:before="180" w:after="80"/>
      <w:outlineLvl w:val="2"/>
    </w:pPr>
    <w:rPr>
      <w:b/>
      <w:color w:val="334155"/>
      <w:sz w:val="25"/>
      <w:szCs w:val="25"/>
    </w:rPr>
  </w:style>
  <w:style w:type="paragraph" w:styleId="ListParagraph">
    <w:name w:val="List Paragraph"/>
    <w:basedOn w:val="Normal"/>
    <w:pPr>
      <w:spacing w:after="80"/>
      <w:ind w:left="360" w:right="360" w:hanging="240"/>
    </w:pPr>
  </w:style>
  <w:style w:type="paragraph" w:styleId="Quote">
    <w:name w:val="Quote"/>
    <w:basedOn w:val="Normal"/>
    <w:pPr>
      <w:spacing w:before="100" w:after="180"/>
      <w:ind w:left="360" w:right="360"/>
    </w:pPr>
    <w:rPr>
      <w:i/>
      <w:color w:val="475569"/>
    </w:rPr>
  </w:style>
  <w:style w:type="paragraph" w:styleId="TableText">
    <w:name w:val="Table Text"/>
    <w:basedOn w:val="Normal"/>
    <w:pPr>
      <w:spacing w:before="0" w:after="0" w:line="240" w:lineRule="auto"/>
    </w:pPr>
    <w:rPr>
      <w:sz w:val="20"/>
      <w:szCs w:val="20"/>
    </w:rPr>
  </w:style>
  <w:style w:type="paragraph" w:styleId="TableHeader">
    <w:name w:val="Table Header"/>
    <w:basedOn w:val="TableText"/>
    <w:pPr/>
    <w:rPr>
      <w:b/>
      <w:color w:val="172554"/>
    </w:rPr>
  </w:style>
  <w:style w:type="paragraph" w:styleId="Equation">
    <w:name w:val="Equation"/>
    <w:basedOn w:val="Normal"/>
    <w:pPr>
      <w:keepLines/>
      <w:spacing w:before="100" w:after="180"/>
      <w:jc w:val="center"/>
    </w:pPr>
  </w:style>
  <w:style w:type="table" w:styleId="MaxStudyTable">
    <w:name w:val="MaxStudy Table"/>
    <w:tblPr>
      <w:tblBorders>
        <w:top w:val="single" w:sz="8" w:color="CBD5E1"/>
        <w:left w:val="single" w:sz="8" w:color="CBD5E1"/>
        <w:bottom w:val="single" w:sz="8" w:color="CBD5E1"/>
        <w:right w:val="single" w:sz="8" w:color="CBD5E1"/>
        <w:insideH w:val="single" w:sz="6" w:color="D8DDE8"/>
        <w:insideV w:val="single" w:sz="6" w:color="D8DDE8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