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png" ContentType="image/png"/>
  <Override PartName="/word/media/image9.jpeg" ContentType="image/jpeg"/>
  <Override PartName="/word/media/image10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ab/>
        <w:t>1.Wstęp</w:t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smart-opaski, smartwatch-e za pomocą których jesteśmy </w:t>
        <w:br/>
        <w:t xml:space="preserve">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 xml:space="preserve">Cały projekt jest prowadzony w ramach grantu z NCBiR. Gdzie biorą udział przedstawiciele IT, elektronicy, lekarze a także fizjoterapeuci, mając na celu wspólne opracowanie systemu pomiarowo-diagnostycznego. 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ab/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przepływ krwi,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tętno.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1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82875" cy="2717165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360" cy="27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1. Schemat systemu pomiarowego - moduł akwizycji danych MAD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o:allowincell="f" style="position:absolute;margin-left:73.25pt;margin-top:3.25pt;width:211.15pt;height:213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1. Schemat systemu pomiarowego - moduł akwizycji danych MAD (Opracowanie Własne)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82875" cy="2907665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360" cy="290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2. Schemat systemu pomiarowego - stacja diagnostyczna (SD)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o:allowincell="f" style="position:absolute;margin-left:73pt;margin-top:0.05pt;width:211.15pt;height:228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2. Schemat systemu pomiarowego - stacja diagnostyczna (SD) 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9500" cy="233616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23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Rys. 3. Schemat systemu pomiarowego - komputer diagnosty (KD) 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white" stroked="f" o:allowincell="f" style="position:absolute;margin-left:86.1pt;margin-top:0.05pt;width:184.9pt;height:183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Rys. 3. Schemat systemu pomiarowego - komputer diagnosty (KD) 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Komputer Diagnosty:​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 xml:space="preserve">oddzielny screen opisany w oddzielnym pliku z rozszerzeniem ‘.kv’. </w:t>
        <w:br/>
        <w:t>Niniejsza technologia wyróżnia się osobną metodą oprogramowania(posiada własny język) a także wysoka wydajnością użytkowania[1].​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danych[2, 3].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 xml:space="preserve">przepustowości danych, zapewnia stabilność łącza a także można to wykorzystywać  na obrębie całej sieci LAN[4]. 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Następnie dla konkretnego rozwiązania tworzy się interfejsy</w:t>
      </w:r>
      <w:r>
        <w:rPr>
          <w:sz w:val="22"/>
          <w:szCs w:val="22"/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zbieranych informacji</w:t>
      </w:r>
      <w:r>
        <w:rPr>
          <w:sz w:val="22"/>
          <w:szCs w:val="22"/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danych</w:t>
      </w:r>
      <w:r>
        <w:rPr>
          <w:sz w:val="22"/>
          <w:szCs w:val="22"/>
          <w:lang w:val="pl-PL"/>
        </w:rPr>
        <w:t xml:space="preserve"> na całym urządzeniu pomiarowym. ​Framework także posiada duże wsparcie społeczności i czytelną dokumentacje[5]. </w:t>
      </w:r>
    </w:p>
    <w:p>
      <w:pPr>
        <w:pStyle w:val="Tretekstu"/>
        <w:numPr>
          <w:ilvl w:val="0"/>
          <w:numId w:val="3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tworzonego systemu</w:t>
      </w:r>
      <w:r>
        <w:rPr>
          <w:sz w:val="22"/>
          <w:szCs w:val="22"/>
          <w:lang w:val="pl-PL"/>
        </w:rPr>
        <w:t xml:space="preserve">.[6,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7</w:t>
      </w:r>
      <w:r>
        <w:rPr>
          <w:sz w:val="22"/>
          <w:szCs w:val="22"/>
          <w:lang w:val="pl-PL"/>
        </w:rPr>
        <w:t xml:space="preserve">] </w:t>
      </w:r>
    </w:p>
    <w:p>
      <w:pPr>
        <w:pStyle w:val="Tretekstu"/>
        <w:spacing w:before="0" w:after="0"/>
        <w:ind w:left="48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44240" cy="2843530"/>
                <wp:effectExtent l="0" t="0" r="0" b="0"/>
                <wp:wrapTopAndBottom/>
                <wp:docPr id="13" name="Ramk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2843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3444240" cy="2559685"/>
                                  <wp:effectExtent l="0" t="0" r="0" b="0"/>
                                  <wp:docPr id="14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4240" cy="2559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Rys.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Zdjęcie aplikacji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1.2pt;height:223.9pt;mso-wrap-distance-left:0pt;mso-wrap-distance-right:0pt;mso-wrap-distance-top:0pt;mso-wrap-distance-bottom:0pt;margin-top:0pt;mso-position-vertical:top;mso-position-vertical-relative:text;margin-left:43pt;mso-position-horizontal:center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3444240" cy="2559685"/>
                            <wp:effectExtent l="0" t="0" r="0" b="0"/>
                            <wp:docPr id="15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4240" cy="2559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Rys.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 xml:space="preserve">. Zdjęcie aplikacji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96310" cy="3173095"/>
                <wp:effectExtent l="0" t="0" r="0" b="0"/>
                <wp:wrapTopAndBottom/>
                <wp:docPr id="16" name="Ramk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31730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Rysunek1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3496310" cy="2889250"/>
                                  <wp:effectExtent l="0" t="0" r="0" b="0"/>
                                  <wp:docPr id="17" name="Obraz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braz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6310" cy="288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Rys.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Zdjęcie aplikacji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5.3pt;height:249.85pt;mso-wrap-distance-left:0pt;mso-wrap-distance-right:0pt;mso-wrap-distance-top:0pt;mso-wrap-distance-bottom:0pt;margin-top:0pt;mso-position-vertical:top;mso-position-vertical-relative:text;margin-left:40.95pt;mso-position-horizontal:center;mso-position-horizontal-relative:text">
                <v:textbox inset="0in,0in,0in,0in">
                  <w:txbxContent>
                    <w:p>
                      <w:pPr>
                        <w:pStyle w:val="Rysunek1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3496310" cy="2889250"/>
                            <wp:effectExtent l="0" t="0" r="0" b="0"/>
                            <wp:docPr id="18" name="Obraz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Obraz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6310" cy="288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Rys.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>. Zdjęcie aplikacji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spacing w:before="0" w:after="0"/>
        <w:ind w:left="255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Stacja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Python 3.9 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>gRPC  1.44.0 –  framework ten opisano powyżej, z tą równicą tutaj wykorzystywany jako serwer w odróżnieniu od KD gdzie występuje w roli clienta.​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 </w:t>
      </w:r>
      <w:r>
        <w:rPr>
          <w:sz w:val="22"/>
          <w:szCs w:val="22"/>
          <w:lang w:val="pl-PL"/>
        </w:rPr>
        <w:t xml:space="preserve">Protobuf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Spirit -  shield z rodziny STM32, wykorzystywany do komunikacji bezprzewodowej między urządzeniami używającymi ten sam shield.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Niniejsza technologia komunikuje się poprzez sygnał radiowy.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 xml:space="preserve">STM32 – mikrokontrolery 32-bitowe oparte na procesorach Arm® Cortex®. Efektywne 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220345</wp:posOffset>
                </wp:positionH>
                <wp:positionV relativeFrom="paragraph">
                  <wp:posOffset>66040</wp:posOffset>
                </wp:positionV>
                <wp:extent cx="4382135" cy="2700655"/>
                <wp:effectExtent l="0" t="0" r="0" b="0"/>
                <wp:wrapTopAndBottom/>
                <wp:docPr id="19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6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53535" cy="2211705"/>
                                  <wp:effectExtent l="0" t="0" r="0" b="0"/>
                                  <wp:docPr id="21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3535" cy="2211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Rys.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 Zdjęcie przedstawiające stacje diagnostyczną – tył(Opracowanie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path="m0,0l-2147483645,0l-2147483645,-2147483646l0,-2147483646xe" fillcolor="white" stroked="f" o:allowincell="f" style="position:absolute;margin-left:17.35pt;margin-top:5.2pt;width:344.95pt;height:212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53535" cy="2211705"/>
                            <wp:effectExtent l="0" t="0" r="0" b="0"/>
                            <wp:docPr id="22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3535" cy="2211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Rys.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 Zdjęcie przedstawiające stacje diagnostyczną – tył(Opracowanie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239395</wp:posOffset>
                </wp:positionH>
                <wp:positionV relativeFrom="paragraph">
                  <wp:posOffset>2794000</wp:posOffset>
                </wp:positionV>
                <wp:extent cx="4342765" cy="3065780"/>
                <wp:effectExtent l="0" t="0" r="0" b="0"/>
                <wp:wrapTopAndBottom/>
                <wp:docPr id="23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06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90365" cy="2714625"/>
                                  <wp:effectExtent l="0" t="0" r="0" b="0"/>
                                  <wp:docPr id="25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0365" cy="2714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Rys.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 Zdjęcie przedstawiające stację diagnostyczną - przód(Opracowanie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path="m0,0l-2147483645,0l-2147483645,-2147483646l0,-2147483646xe" fillcolor="white" stroked="f" o:allowincell="f" style="position:absolute;margin-left:18.85pt;margin-top:220pt;width:341.85pt;height:241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190365" cy="2714625"/>
                            <wp:effectExtent l="0" t="0" r="0" b="0"/>
                            <wp:docPr id="26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0365" cy="2714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Rys.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 Zdjęcie przedstawiające stację diagnostyczną - przód(Opracowanie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2"/>
          <w:szCs w:val="22"/>
          <w:lang w:val="pl-PL"/>
        </w:rPr>
        <w:t>​</w:t>
      </w:r>
    </w:p>
    <w:p>
      <w:pPr>
        <w:pStyle w:val="Tretekstu"/>
        <w:spacing w:before="0" w:after="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Moduł Akwizycji Danych​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C++ - język programowania który, został wykorzystany do implementacji modułu jakim jest STM32. Odpowiadający za odbieranie rozkazów z KD, próbkowanie sygnałów z sensorów a następnie przesłanie ich do SD za pomocą modułu Spirit.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Spirit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>STM32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  <w:lang w:val="pl-PL"/>
        </w:rPr>
        <w:t xml:space="preserve">MAX30301 – zintegrowany moduł przeznaczony do monitorowania </w:t>
        <w:br/>
        <w:t>p</w:t>
      </w:r>
      <w:r>
        <w:rPr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pl-PL"/>
        </w:rPr>
        <w:t>ulsoksymetrii i tętna. Komunikacja urządzenia odbywa się za pomocą I^2.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rFonts w:ascii="Times New Roman" w:hAnsi="Times New Roman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2"/>
          <w:szCs w:val="22"/>
          <w:lang w:val="pl-PL"/>
        </w:rPr>
        <w:t xml:space="preserve">Moduł posiada niskoszumową elektronikę, która ma bardzo mały wpływ na zakłócenia pozyskiwanych sygnałów. Na wyposażeniu jest także </w:t>
        <w:br/>
        <w:t>fotodetektory i elementy optyczne. [8]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245110</wp:posOffset>
                </wp:positionH>
                <wp:positionV relativeFrom="paragraph">
                  <wp:posOffset>102235</wp:posOffset>
                </wp:positionV>
                <wp:extent cx="3872230" cy="2618740"/>
                <wp:effectExtent l="0" t="0" r="0" b="0"/>
                <wp:wrapSquare wrapText="largest"/>
                <wp:docPr id="27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440" cy="261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71595" cy="2381885"/>
                                  <wp:effectExtent l="0" t="0" r="0" b="0"/>
                                  <wp:docPr id="29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1595" cy="2381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Rys.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Schemat taśmy pomiarowej - MAX30101  (fotopletyzmograf)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8" path="m0,0l-2147483645,0l-2147483645,-2147483646l0,-2147483646xe" fillcolor="white" stroked="f" o:allowincell="f" style="position:absolute;margin-left:19.3pt;margin-top:8.05pt;width:304.8pt;height:206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871595" cy="2381885"/>
                            <wp:effectExtent l="0" t="0" r="0" b="0"/>
                            <wp:docPr id="30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1595" cy="2381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Rys. 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>. Schemat taśmy pomiarowej - MAX30101  (fotopletyzmograf)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281940</wp:posOffset>
                </wp:positionH>
                <wp:positionV relativeFrom="paragraph">
                  <wp:posOffset>-15875</wp:posOffset>
                </wp:positionV>
                <wp:extent cx="3835400" cy="2186940"/>
                <wp:effectExtent l="0" t="0" r="0" b="0"/>
                <wp:wrapTopAndBottom/>
                <wp:docPr id="31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20" cy="21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52140" cy="1737360"/>
                                  <wp:effectExtent l="0" t="0" r="0" b="0"/>
                                  <wp:docPr id="33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14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Rys.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 Moduł Akwizycji Danych z taśmą pomiarową(Opracowanie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7" path="m0,0l-2147483645,0l-2147483645,-2147483646l0,-2147483646xe" fillcolor="white" stroked="f" o:allowincell="f" style="position:absolute;margin-left:22.2pt;margin-top:-1.25pt;width:301.9pt;height:172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152140" cy="1737360"/>
                            <wp:effectExtent l="0" t="0" r="0" b="0"/>
                            <wp:docPr id="34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140" cy="1737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Rys.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 Moduł Akwizycji Danych z taśmą pomiarową(Opracowanie Własne)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 Klasyfikacja</w:t>
      </w:r>
    </w:p>
    <w:p>
      <w:pPr>
        <w:pStyle w:val="Normalny115"/>
        <w:ind w:left="0" w:right="0" w:hanging="0"/>
        <w:rPr/>
      </w:pPr>
      <w:r>
        <w:rPr/>
        <w:tab/>
        <w:t>Ten rozdział przeznaczony jest klasyfikacji sygnałów odebranych ze stacji diagnostycznej na komputerze diagnosty. Parametry, które zostaną poddane głębszej analizie: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lang w:val="pl-PL"/>
        </w:rPr>
        <w:t xml:space="preserve">EMG – jest to badanie mierzące odpowiedź mięśni lub elektrycznej aktywności w odpowiedzi na stymulację nerwów mięśnia. Test wykorzystywany jest w diagnostyce zaburzeń nero-mięśniowych. Badanie </w:t>
        <w:br/>
        <w:t>przebiega z wykorzystaniem elektrod przyklejonych do skóry[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9</w:t>
      </w:r>
      <w:r>
        <w:rPr>
          <w:lang w:val="pl-PL"/>
        </w:rPr>
        <w:t>].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lang w:val="pl-PL"/>
        </w:rPr>
        <w:t xml:space="preserve">Impedancja skóry– badanie opierające się na rodzaju oporności </w:t>
        <w:br/>
        <w:t xml:space="preserve">elektrycznej tkanek człowieka (kompartmencie wodnym </w:t>
        <w:br/>
        <w:t>i tłuszczowym ). przez które przepływa prąd o niskim natężeniu. Badanie to pozwala na oszacowanie zawartości wody w organizmie a także szczegółowe  określenie poszczególnych składowych masy ciała[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10</w:t>
      </w:r>
      <w:r>
        <w:rPr>
          <w:lang w:val="pl-PL"/>
        </w:rPr>
        <w:t>].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S</w:t>
      </w:r>
      <w:r>
        <w:rPr>
          <w:lang w:val="pl-PL"/>
        </w:rPr>
        <w:t xml:space="preserve">ztywność mięśni – jest to badanie zakłóceń komunikacji pomiędzy </w:t>
        <w:br/>
        <w:t>systemem nerwowym a mięśniem. Z wykorzystaniem powyższego testu możemy określić stopień uszkodzeń poszczególnego mięśnia[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11</w:t>
      </w:r>
      <w:r>
        <w:rPr>
          <w:lang w:val="pl-PL"/>
        </w:rPr>
        <w:t xml:space="preserve">]. 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</w:t>
      </w:r>
      <w:r>
        <w:rPr>
          <w:lang w:val="pl-PL"/>
        </w:rPr>
        <w:t xml:space="preserve">rzepływ krwi – badanie wykorzystujące fotopletyzmograf za </w:t>
        <w:br/>
        <w:t>pomocą którego jesteśmy wstanie oszacować zaburzenia przepływu krwi w badanej części ciała. Dzięki powyższemu możliwe jest wykrycie dysfunkcji pracy serca[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12</w:t>
      </w:r>
      <w:r>
        <w:rPr>
          <w:lang w:val="pl-PL"/>
        </w:rPr>
        <w:t>].</w:t>
      </w:r>
    </w:p>
    <w:p>
      <w:pPr>
        <w:pStyle w:val="Normalny115"/>
        <w:numPr>
          <w:ilvl w:val="0"/>
          <w:numId w:val="6"/>
        </w:numPr>
        <w:ind w:left="720" w:right="0" w:hanging="360"/>
        <w:rPr>
          <w:lang w:val="pl-PL"/>
        </w:rPr>
      </w:pPr>
      <w:r>
        <w:rPr>
          <w:lang w:val="pl-PL"/>
        </w:rPr>
        <w:t xml:space="preserve">Tętno –  badanie wykorzystujące fotopletyzmograf, które </w:t>
        <w:br/>
        <w:t>odpowiedzialne jest za pomiar ilości uderzeń serca w określonej jednostce czasu (  liczba uderzeń na minutę ). Za pomocą powyższego możliwe jest określenie intensywności wysiłku fizycznego dla wykorzystywanej jednostki[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13</w:t>
      </w:r>
      <w:r>
        <w:rPr>
          <w:lang w:val="pl-PL"/>
        </w:rPr>
        <w:t>].</w: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4.1 Przebieg badania</w:t>
      </w:r>
    </w:p>
    <w:p>
      <w:pPr>
        <w:pStyle w:val="Normalny115"/>
        <w:ind w:left="0" w:right="0" w:hanging="0"/>
        <w:rPr/>
      </w:pPr>
      <w:r>
        <w:rPr/>
        <w:t>Badanie, które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 xml:space="preserve">Zebranie 20 osób w przedziale wiekowym 19-25 lat, z różnym </w:t>
        <w:br/>
        <w:t>zaawansowaniem sprawnościowym.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Przeprowadzonej ostatniej próby wysiłkowej: intensywny bieg</w:t>
      </w:r>
    </w:p>
    <w:p>
      <w:pPr>
        <w:pStyle w:val="Normalny115"/>
        <w:numPr>
          <w:ilvl w:val="0"/>
          <w:numId w:val="7"/>
        </w:numPr>
        <w:ind w:left="720" w:right="0" w:hanging="360"/>
        <w:rPr/>
      </w:pPr>
      <w:r>
        <w:rPr/>
        <w:t>Zebranie wszystkich danych uzyskanych podczas eksperymentu w postaci tabeli danych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/>
        <w:t>Cały przebieg a także część diagnostyczna otrzymanych danych z badania przebiega pod nadzorem osób odpowiednio wykwalifikowanych z zakresu organizmu człowieka a także jego wydolności. Z ich pomocą zostaną wytoczone wartości progowe świadczące o zaburzeniach pracy badanych elementów ciała człowieka.</w:t>
      </w:r>
    </w:p>
    <w:p>
      <w:pPr>
        <w:pStyle w:val="Normalny115"/>
        <w:ind w:left="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47625</wp:posOffset>
                </wp:positionH>
                <wp:positionV relativeFrom="paragraph">
                  <wp:posOffset>153670</wp:posOffset>
                </wp:positionV>
                <wp:extent cx="4539615" cy="1038225"/>
                <wp:effectExtent l="0" t="0" r="0" b="0"/>
                <wp:wrapSquare wrapText="largest"/>
                <wp:docPr id="35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880" cy="103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36440" cy="751205"/>
                                  <wp:effectExtent l="0" t="0" r="0" b="0"/>
                                  <wp:docPr id="37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440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Rys.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 zestaw diod z akwizytorem danych(Opracowanie Własne)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6" path="m0,0l-2147483645,0l-2147483645,-2147483646l0,-2147483646xe" fillcolor="white" stroked="f" o:allowincell="f" style="position:absolute;margin-left:3.75pt;margin-top:12.1pt;width:357.35pt;height:81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A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536440" cy="751205"/>
                            <wp:effectExtent l="0" t="0" r="0" b="0"/>
                            <wp:docPr id="38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440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Rys.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 zestaw diod z akwizytorem danych(Opracowanie Własne)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4.2 Progowanie danych</w:t>
      </w:r>
    </w:p>
    <w:p>
      <w:pPr>
        <w:pStyle w:val="Normalny115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Dla każdej osoby biorącej udział w eksperymencie zostaną wyznaczone wskaźniki odnoszące się do wyżej opisywanych parametrów. Proces opracowywania markerów nastąpi w konsultacji z ekspertem z dziedziny fizjoterapii. Dane z próby chodu zostaną wykorzystane jako referencje, natomiast z truchtu i intensywnego biegu, pozwolą nam znalezienie ekstremów w wydolności </w:t>
        <w:br/>
        <w:t xml:space="preserve">ochotników. Oczywiście zostaną uwzględnione parametry biologiczne jak i </w:t>
        <w:br/>
        <w:t xml:space="preserve">wydolność uczestników eksperymentu, na wzgląd różnego wytrenowania, kondycji. Następnym krokiem będzie powtórzenie badań z zastosowaniem opracowanych wskaźników i weryfikacja ich trafności. W razie znaczących odchyleń zostaną one na nowo wyznaczone, bądź w przypadku znaczącej poprawy </w:t>
        <w:br/>
        <w:t xml:space="preserve">wydolności danego ochotnika. 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Jednym z najciekawszych a także najtrudniejszych kamieni milowych jest znalezienie wspólnych charakterystyk mierzonych sygnałów przy jednoczesnym pomiarem. Opracowanie wspólnego mianownika wszystkich sygnałów </w:t>
        <w:br/>
        <w:t xml:space="preserve">przyczyni się do poprawy skuteczności algorytmu klasyfikacji badanych </w:t>
        <w:br/>
        <w:t xml:space="preserve">pomiarów. 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Niniejszy system klasyfikacji sygnałów w dużej mierze będzie opierać się </w:t>
        <w:br/>
        <w:t xml:space="preserve">począwszy na pomiarze referencyjnym, wypracowaniu wskaźnika </w:t>
        <w:br/>
        <w:t xml:space="preserve">wydolnościowego opierającego się na wcześniejszych sesjach treningowych </w:t>
        <w:br/>
        <w:t>danej osoby. Ostrzeżenia przed urazowe w trakcie wykonywanego badania będą polegać na wielo-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warunkowej analizie wykrywania krytycznych wartości </w:t>
        <w:br/>
        <w:t xml:space="preserve">odebranego sygnału.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Kluczową kwestią opracowywania algorytmu klasyfikacji jest zwrócenie uwagi na powstawanie błędów z poprawnym  nadaniem </w:t>
        <w:br/>
        <w:t xml:space="preserve">i odebraniem wartości, która może mieć negatywny wpływ na interpretację </w:t>
        <w:br/>
        <w:t>pozyskanych sygnałów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5. Podsumowanie</w:t>
      </w:r>
    </w:p>
    <w:p>
      <w:pPr>
        <w:pStyle w:val="Normalny115"/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ab/>
        <w:t xml:space="preserve">Projekt systemu pomiarowego sygnałów biologicznych w diagnostyce </w:t>
        <w:br/>
        <w:t xml:space="preserve">obciążenia w sesjach treningowych sportowców został zrealizowany </w:t>
        <w:br/>
        <w:t>w następującym stopniu: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Oprogramowanie toru pomiarowego na badanie EMG,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Przygotowanie toru pomiarowego do pomiaru impedancji skóry,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Badanie przepływu krwi i tętna w momencie opracowywania artykułu nie zostało zaimplementowane.</w:t>
      </w:r>
    </w:p>
    <w:p>
      <w:pPr>
        <w:pStyle w:val="Normalny115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Udało się spełnić następujące założenia: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wizualizacja danych,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stabilność połączenia, 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możliwość zarządzania całym systemem z poziomu komputera </w:t>
        <w:br/>
        <w:t>diagnosty.</w:t>
      </w:r>
    </w:p>
    <w:p>
      <w:pPr>
        <w:pStyle w:val="Normalny115"/>
        <w:numPr>
          <w:ilvl w:val="0"/>
          <w:numId w:val="0"/>
        </w:numPr>
        <w:ind w:left="0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Sukces jaki udało się osiągnąć poprzez pomyślną komunikację przez cały tor </w:t>
        <w:br/>
        <w:t xml:space="preserve">pomiarowy, w najbliższym czasie znacznie przyczyni się do przeprowadzenia </w:t>
        <w:br/>
        <w:t xml:space="preserve">badań pomiarowych, które zaowocują pojawieniem się prototypu algorytmu </w:t>
        <w:br/>
        <w:t xml:space="preserve">klasyfikacji.  Przeprowadzenie badania pomiarowego będzie polegać w kilku etapach gdzie zostanie przeprowadzone na kilku etapach zaawansowania </w:t>
        <w:br/>
        <w:t>intensywności fizycznej, poczynając od zwykłego chodu do biegu,</w:t>
        <w:br/>
        <w:t xml:space="preserve">warto zaznaczyć że osoby biorące udział w badaniu będą różniły się </w:t>
        <w:br/>
        <w:t>poziomem wydolności organizmu.</w:t>
      </w:r>
    </w:p>
    <w:p>
      <w:pPr>
        <w:pStyle w:val="Normalny115"/>
        <w:numPr>
          <w:ilvl w:val="0"/>
          <w:numId w:val="0"/>
        </w:numPr>
        <w:ind w:left="1080" w:right="0" w:hanging="0"/>
        <w:jc w:val="both"/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  <w:r>
        <w:br w:type="page"/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b/>
          <w:bCs/>
          <w:smallCaps/>
          <w:color w:val="auto"/>
          <w:kern w:val="0"/>
          <w:sz w:val="22"/>
          <w:szCs w:val="22"/>
          <w:lang w:val="pl-PL" w:eastAsia="pl-PL" w:bidi="ar-SA"/>
        </w:rPr>
        <w:t>6. Literatura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b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b/>
          <w:bCs/>
          <w:smallCaps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[1] Dokumentacja do wykorzystywanego narzędzia Kivy </w:t>
      </w:r>
      <w:hyperlink r:id="rId22">
        <w:r>
          <w:rPr>
            <w:rStyle w:val="Czeinternetowe"/>
            <w:rFonts w:eastAsia="Times New Roman" w:cs="Times New Roman"/>
            <w:color w:val="auto"/>
            <w:kern w:val="0"/>
            <w:sz w:val="20"/>
            <w:szCs w:val="20"/>
            <w:lang w:val="pl-PL" w:eastAsia="pl-PL" w:bidi="ar-SA"/>
          </w:rPr>
          <w:t>https://kivy.org/doc/stable/</w:t>
        </w:r>
      </w:hyperlink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[2] </w:t>
        <w:tab/>
        <w:t xml:space="preserve">Matplotlib  </w:t>
      </w:r>
      <w:hyperlink r:id="rId23">
        <w:r>
          <w:rPr>
            <w:rStyle w:val="Czeinternetowe"/>
            <w:rFonts w:eastAsia="Times New Roman" w:cs="Times New Roman"/>
            <w:color w:val="auto"/>
            <w:kern w:val="0"/>
            <w:sz w:val="20"/>
            <w:szCs w:val="20"/>
            <w:lang w:val="pl-PL" w:eastAsia="pl-PL" w:bidi="ar-SA"/>
          </w:rPr>
          <w:t>https://matplotlib.org/stable/index.html</w:t>
        </w:r>
      </w:hyperlink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 </w:t>
      </w:r>
    </w:p>
    <w:p>
      <w:pPr>
        <w:pStyle w:val="Normalny115"/>
        <w:spacing w:lineRule="auto" w:line="276" w:before="0" w:after="0"/>
        <w:ind w:left="0" w:right="0" w:hanging="0"/>
        <w:jc w:val="both"/>
        <w:rPr>
          <w:sz w:val="20"/>
          <w:szCs w:val="20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[3] </w:t>
        <w:tab/>
        <w:t xml:space="preserve">Barrett P., Hunter J., Miller J. T., Hsu JC., Greenfield P.:"matplotlib – A Portable </w:t>
        <w:br/>
        <w:t>Python Plotting Package", ASP Conference Series, Vol. 347, 2005.</w:t>
      </w:r>
    </w:p>
    <w:p>
      <w:pPr>
        <w:pStyle w:val="Normalny115"/>
        <w:spacing w:lineRule="auto" w:line="276" w:before="0" w:after="0"/>
        <w:ind w:left="0" w:right="0" w:hanging="0"/>
        <w:jc w:val="both"/>
        <w:rPr/>
      </w:pPr>
      <w:hyperlink r:id="rId24" w:tgtFrame="_blank">
        <w:r>
          <w:rPr>
            <w:rStyle w:val="Czeinternetowe"/>
            <w:rFonts w:eastAsia="Times New Roman" w:cs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kern w:val="0"/>
            <w:sz w:val="20"/>
            <w:szCs w:val="20"/>
            <w:u w:val="none"/>
            <w:effect w:val="none"/>
            <w:lang w:val="pl-PL" w:eastAsia="pl-PL" w:bidi="ar-SA"/>
          </w:rPr>
          <w:t>[</w:t>
        </w:r>
      </w:hyperlink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111111"/>
          <w:spacing w:val="0"/>
          <w:kern w:val="0"/>
          <w:sz w:val="20"/>
          <w:szCs w:val="20"/>
          <w:u w:val="none"/>
          <w:effect w:val="none"/>
          <w:lang w:val="pl-PL" w:eastAsia="pl-PL" w:bidi="ar-SA"/>
        </w:rPr>
        <w:t>4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111111"/>
          <w:spacing w:val="0"/>
          <w:kern w:val="0"/>
          <w:sz w:val="20"/>
          <w:szCs w:val="20"/>
          <w:lang w:val="pl-PL" w:eastAsia="pl-PL" w:bidi="ar-SA"/>
        </w:rPr>
        <w:t xml:space="preserve">] </w:t>
        <w:tab/>
        <w:t xml:space="preserve">gRPC, </w:t>
      </w:r>
      <w:hyperlink r:id="rId25" w:tgtFrame="_blank">
        <w:r>
          <w:rPr>
            <w:rStyle w:val="Czeinternetowe"/>
            <w:rFonts w:eastAsia="Times New Roman" w:cs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kern w:val="0"/>
            <w:sz w:val="20"/>
            <w:szCs w:val="20"/>
            <w:u w:val="none"/>
            <w:effect w:val="none"/>
            <w:lang w:val="pl-PL" w:eastAsia="pl-PL" w:bidi="ar-SA"/>
          </w:rPr>
          <w:t>https://grpc.io/docs/</w:t>
        </w:r>
      </w:hyperlink>
      <w:r>
        <w:rPr>
          <w:rFonts w:eastAsia="Times New Roman" w:cs="Times New Roman"/>
          <w:b/>
          <w:bCs/>
          <w:smallCaps/>
          <w:color w:val="auto"/>
          <w:kern w:val="0"/>
          <w:sz w:val="20"/>
          <w:szCs w:val="20"/>
          <w:lang w:val="pl-PL" w:eastAsia="pl-PL" w:bidi="ar-SA"/>
        </w:rPr>
        <w:t xml:space="preserve"> </w:t>
      </w:r>
    </w:p>
    <w:p>
      <w:pPr>
        <w:pStyle w:val="Normalny115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111111"/>
          <w:spacing w:val="0"/>
          <w:kern w:val="0"/>
          <w:sz w:val="20"/>
          <w:szCs w:val="20"/>
          <w:lang w:val="pl-PL" w:eastAsia="pl-PL" w:bidi="ar-SA"/>
        </w:rPr>
        <w:t>[5]</w:t>
        <w:tab/>
        <w:tab/>
        <w:t xml:space="preserve">ProtoBuf, </w:t>
      </w:r>
      <w:hyperlink r:id="rId26">
        <w:r>
          <w:rPr>
            <w:rStyle w:val="Czeinternetowe"/>
            <w:rFonts w:eastAsia="Times New Roman" w:cs="Times New Roman"/>
            <w:b w:val="false"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kern w:val="0"/>
            <w:sz w:val="20"/>
            <w:szCs w:val="20"/>
            <w:u w:val="none"/>
            <w:effect w:val="none"/>
            <w:lang w:val="pl-PL" w:eastAsia="pl-PL" w:bidi="ar-SA"/>
          </w:rPr>
          <w:t>https://developers.google.com/protocol-buffers/docs/overview</w:t>
        </w:r>
      </w:hyperlink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[6]     Md. Hossain I., Mahmud S., Santa T. D.: "Oracle, MySQL, PostgreSQL, SQLite, SQL Server: Performance based competitive analysis", Daffodil International Univerisity Dhaka, Bangladesh, April 2019</w:t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 xml:space="preserve">[7] </w:t>
        <w:tab/>
        <w:t xml:space="preserve">SQLite, </w:t>
      </w:r>
      <w:r>
        <w:rPr>
          <w:rStyle w:val="Czeinternetowe"/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https://www.sqlite.org/docs.html</w:t>
      </w:r>
    </w:p>
    <w:p>
      <w:pPr>
        <w:pStyle w:val="Normalny115"/>
        <w:spacing w:lineRule="auto" w:line="276" w:before="0" w:after="0"/>
        <w:ind w:left="0" w:right="0" w:hanging="0"/>
        <w:jc w:val="left"/>
        <w:rPr/>
      </w:pPr>
      <w:r>
        <w:rPr>
          <w:rStyle w:val="Czeinternetowe"/>
          <w:rFonts w:eastAsia="Times New Roman" w:cs="Times New Roman"/>
          <w:color w:val="auto"/>
          <w:kern w:val="0"/>
          <w:sz w:val="20"/>
          <w:szCs w:val="20"/>
          <w:u w:val="none"/>
          <w:lang w:val="pl-PL" w:eastAsia="pl-PL" w:bidi="ar-SA"/>
        </w:rPr>
        <w:t>[8]</w:t>
        <w:tab/>
      </w:r>
      <w:r>
        <w:rPr>
          <w:rStyle w:val="Czeinternetowe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l-PL" w:eastAsia="pl-PL" w:bidi="ar-SA"/>
        </w:rPr>
        <w:t xml:space="preserve">MAX30101 High-Sensitivity Pulse Oximeter and Heart-Rate Sensor for </w:t>
        <w:br/>
        <w:t xml:space="preserve">Wearable Health datasheets </w:t>
      </w:r>
      <w:r>
        <w:rPr>
          <w:rStyle w:val="Czeinternetowe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pl-PL" w:eastAsia="pl-PL" w:bidi="ar-SA"/>
        </w:rPr>
        <w:br/>
      </w:r>
      <w:r>
        <w:rPr>
          <w:rStyle w:val="Czeinternetowe"/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auto" w:val="clear"/>
          <w:lang w:val="pl-PL" w:eastAsia="pl-PL" w:bidi="ar-SA"/>
        </w:rPr>
        <w:t>https://datasheets.maximintegrated.com/en/ds/MAX30101.pdf</w:t>
      </w:r>
    </w:p>
    <w:p>
      <w:pPr>
        <w:pStyle w:val="Normalny115"/>
        <w:ind w:left="0" w:right="0" w:hanging="0"/>
        <w:rPr/>
      </w:pP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pl-PL" w:eastAsia="pl-PL" w:bidi="ar-SA"/>
        </w:rPr>
        <w:t>[9]</w:t>
        <w:tab/>
        <w:tab/>
      </w:r>
      <w:r>
        <w:rPr>
          <w:rFonts w:eastAsia="Times New Roman" w:cs="Times New Roman"/>
          <w:color w:val="000000"/>
          <w:kern w:val="0"/>
          <w:sz w:val="20"/>
          <w:szCs w:val="20"/>
          <w:u w:val="none"/>
          <w:shd w:fill="auto" w:val="clear"/>
          <w:lang w:val="pl-PL" w:eastAsia="pl-PL" w:bidi="ar-SA"/>
        </w:rPr>
        <w:t>Johns Hopkins Medicine,</w:t>
      </w:r>
      <w:bookmarkStart w:id="0" w:name="introduction"/>
      <w:bookmarkEnd w:id="0"/>
      <w:r>
        <w:rPr>
          <w:rFonts w:eastAsia="Times New Roman" w:cs="Times New Roman"/>
          <w:color w:val="000000"/>
          <w:kern w:val="0"/>
          <w:sz w:val="20"/>
          <w:szCs w:val="20"/>
          <w:u w:val="none"/>
          <w:shd w:fill="auto" w:val="clear"/>
          <w:lang w:val="pl-PL" w:eastAsia="pl-PL" w:bidi="ar-SA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pl-PL" w:eastAsia="pl-PL" w:bidi="ar-SA"/>
        </w:rPr>
        <w:t>Electromyography (EMG),</w:t>
      </w:r>
      <w:r>
        <w:rPr>
          <w:rFonts w:eastAsia="Times New Roman" w:cs="Times New Roman"/>
          <w:color w:val="000000"/>
          <w:kern w:val="0"/>
          <w:sz w:val="20"/>
          <w:szCs w:val="20"/>
          <w:u w:val="none"/>
          <w:shd w:fill="auto" w:val="clear"/>
          <w:lang w:val="pl-PL" w:eastAsia="pl-PL" w:bidi="ar-SA"/>
        </w:rPr>
        <w:t xml:space="preserve"> </w:t>
        <w:br/>
      </w:r>
      <w:hyperlink r:id="rId27">
        <w:r>
          <w:rPr>
            <w:rStyle w:val="Czeinternetowe"/>
            <w:rFonts w:eastAsia="Times New Roman" w:cs="Times New Roman"/>
            <w:color w:val="000000"/>
            <w:kern w:val="0"/>
            <w:sz w:val="20"/>
            <w:szCs w:val="20"/>
            <w:u w:val="none"/>
            <w:shd w:fill="auto" w:val="clear"/>
            <w:lang w:val="pl-PL" w:eastAsia="pl-PL" w:bidi="ar-SA"/>
          </w:rPr>
          <w:t>https://www.hopkinsmedicine.org/health/treatment-tests-and-therapies/electromyography-emg</w:t>
        </w:r>
      </w:hyperlink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10</w:t>
      </w:r>
      <w:r>
        <w:rPr>
          <w:sz w:val="20"/>
          <w:szCs w:val="20"/>
        </w:rPr>
        <w:t>]</w:t>
        <w:tab/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Dr n. med. Serafin A., 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>Na czym polega badanie metodą impedancji bioelektrycznej?, https://www.mp.pl/pacjent/dieta/sport/126901,na-czym-polega-badanie-metoda-impedancji-bioelektrycznej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[1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1</w:t>
      </w:r>
      <w:r>
        <w:rPr>
          <w:sz w:val="20"/>
          <w:szCs w:val="20"/>
        </w:rPr>
        <w:t>]</w:t>
        <w:tab/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effect w:val="none"/>
          <w:shd w:fill="FFFFFF" w:val="clear"/>
        </w:rPr>
        <w:t>lek. med. Bartoszek K., Kurcze i sztywność mięśni,  https://www.mp.pl/pacjent/objawy/152437,kurcze-i-sztywnosc-miesni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[1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2</w:t>
      </w:r>
      <w:r>
        <w:rPr>
          <w:sz w:val="20"/>
          <w:szCs w:val="20"/>
        </w:rPr>
        <w:t>]</w:t>
        <w:tab/>
        <w:t xml:space="preserve"> Neubauer-Geryk J., Bieniaszewski  L., Metody oceny funkcji naczyń — pletyzmografia , Choroby Serca i Naczyń 2009, tom 6, nr 4, 184–187 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[1</w:t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3</w:t>
      </w:r>
      <w:r>
        <w:rPr>
          <w:sz w:val="20"/>
          <w:szCs w:val="20"/>
        </w:rPr>
        <w:t>]</w:t>
        <w:tab/>
      </w:r>
      <w:r>
        <w:rPr>
          <w:rFonts w:eastAsia="Times New Roman" w:cs="Times New Roman"/>
          <w:color w:val="auto"/>
          <w:kern w:val="0"/>
          <w:sz w:val="20"/>
          <w:szCs w:val="20"/>
          <w:lang w:val="pl-PL" w:eastAsia="pl-PL" w:bidi="ar-SA"/>
        </w:rPr>
        <w:t>UCSFH</w:t>
      </w:r>
      <w:r>
        <w:rPr>
          <w:sz w:val="20"/>
          <w:szCs w:val="20"/>
        </w:rPr>
        <w:t xml:space="preserve">ealth, Medical Tests Pulse, </w:t>
      </w:r>
    </w:p>
    <w:p>
      <w:pPr>
        <w:pStyle w:val="Normalny115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https://www.ucsfhealth.org/medical-tests/pulse</w:t>
      </w:r>
    </w:p>
    <w:sectPr>
      <w:footerReference w:type="even" r:id="rId28"/>
      <w:footerReference w:type="default" r:id="rId29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"/>
    <w:next w:val="Caption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  <w:outlineLvl w:val="9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fals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fals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A">
    <w:name w:val="a"/>
    <w:basedOn w:val="Podpis"/>
    <w:qFormat/>
    <w:pPr/>
    <w:rPr/>
  </w:style>
  <w:style w:type="paragraph" w:styleId="Rysunek1">
    <w:name w:val="Table of Figures"/>
    <w:basedOn w:val="Podpis"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0.jpeg"/><Relationship Id="rId22" Type="http://schemas.openxmlformats.org/officeDocument/2006/relationships/hyperlink" Target="https://kivy.org/doc/stable/" TargetMode="External"/><Relationship Id="rId23" Type="http://schemas.openxmlformats.org/officeDocument/2006/relationships/hyperlink" Target="https://matplotlib.org/stable/index.html" TargetMode="External"/><Relationship Id="rId24" Type="http://schemas.openxmlformats.org/officeDocument/2006/relationships/hyperlink" Target="https://developers.google.com/protocol-buffers/docs/overview%5B5" TargetMode="External"/><Relationship Id="rId25" Type="http://schemas.openxmlformats.org/officeDocument/2006/relationships/hyperlink" Target="https://grpc.io/docs/" TargetMode="External"/><Relationship Id="rId26" Type="http://schemas.openxmlformats.org/officeDocument/2006/relationships/hyperlink" Target="https://developers.google.com/protocol-buffers/docs/overview" TargetMode="External"/><Relationship Id="rId27" Type="http://schemas.openxmlformats.org/officeDocument/2006/relationships/hyperlink" Target="https://www.hopkinsmedicine.org/health/treatment-tests-and-therapies/electromyography-emg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LibreOffice/7.2.4.1$Windows_X86_64 LibreOffice_project/27d75539669ac387bb498e35313b970b7fe9c4f9</Application>
  <AppVersion>15.0000</AppVersion>
  <Pages>12</Pages>
  <Words>1730</Words>
  <Characters>12261</Characters>
  <CharactersWithSpaces>13992</CharactersWithSpaces>
  <Paragraphs>115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2022-04-28T09:31:32Z</dcterms:modified>
  <cp:revision>64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