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OCHeading"/>
        <w:spacing w:after="240"/>
      </w:pPr>
      <w:r>
        <w:rPr>
          <w:rFonts w:ascii="Times New Roman" w:hAnsi="Times New Roman" w:eastAsia="Times New Roman" w:cs="Times New Roman"/>
        </w:rPr>
        <w:t>SPIS TREŚCI</w:t>
      </w:r>
    </w:p>
    <w:p>
      <w:pPr>
        <w:pStyle w:val="TOCEntry"/>
        <w:tabs>
          <w:tab w:pos="8617" w:val="right" w:leader="dot"/>
        </w:tabs>
        <w:ind w:left="0"/>
      </w:pPr>
      <w:r>
        <w:rPr>
          <w:rFonts w:ascii="Times New Roman" w:hAnsi="Times New Roman" w:eastAsia="Times New Roman" w:cs="Times New Roman"/>
        </w:rPr>
        <w:t>STRESZCZENIE</w:t>
      </w:r>
      <w:r>
        <w:rPr>
          <w:rFonts w:ascii="Times New Roman" w:hAnsi="Times New Roman" w:eastAsia="Times New Roman" w:cs="Times New Roman"/>
        </w:rPr>
        <w:tab/>
      </w:r>
      <w:r>
        <w:rPr>
          <w:rFonts w:ascii="Times New Roman" w:hAnsi="Times New Roman" w:eastAsia="Times New Roman" w:cs="Times New Roman"/>
        </w:rPr>
        <w:t>4</w:t>
      </w:r>
    </w:p>
    <w:p>
      <w:pPr>
        <w:pStyle w:val="TOCEntry"/>
        <w:tabs>
          <w:tab w:pos="8617" w:val="right" w:leader="dot"/>
        </w:tabs>
        <w:ind w:left="0"/>
      </w:pPr>
      <w:r>
        <w:rPr>
          <w:rFonts w:ascii="Times New Roman" w:hAnsi="Times New Roman" w:eastAsia="Times New Roman" w:cs="Times New Roman"/>
        </w:rPr>
        <w:t>WSTĘP</w:t>
      </w:r>
      <w:r>
        <w:rPr>
          <w:rFonts w:ascii="Times New Roman" w:hAnsi="Times New Roman" w:eastAsia="Times New Roman" w:cs="Times New Roman"/>
        </w:rPr>
        <w:tab/>
      </w:r>
      <w:r>
        <w:rPr>
          <w:rFonts w:ascii="Times New Roman" w:hAnsi="Times New Roman" w:eastAsia="Times New Roman" w:cs="Times New Roman"/>
        </w:rPr>
        <w:t>5</w:t>
      </w:r>
    </w:p>
    <w:p>
      <w:pPr>
        <w:pStyle w:val="TOCEntry"/>
        <w:tabs>
          <w:tab w:pos="8617" w:val="right" w:leader="dot"/>
        </w:tabs>
        <w:ind w:left="0"/>
      </w:pPr>
      <w:r>
        <w:rPr>
          <w:rFonts w:ascii="Times New Roman" w:hAnsi="Times New Roman" w:eastAsia="Times New Roman" w:cs="Times New Roman"/>
        </w:rPr>
        <w:t>1. SZTUCZNA INTELIGENCJA</w:t>
      </w:r>
      <w:r>
        <w:rPr>
          <w:rFonts w:ascii="Times New Roman" w:hAnsi="Times New Roman" w:eastAsia="Times New Roman" w:cs="Times New Roman"/>
        </w:rPr>
        <w:tab/>
      </w:r>
      <w:r>
        <w:rPr>
          <w:rFonts w:ascii="Times New Roman" w:hAnsi="Times New Roman" w:eastAsia="Times New Roman" w:cs="Times New Roman"/>
        </w:rPr>
        <w:t>8</w:t>
      </w:r>
    </w:p>
    <w:p>
      <w:pPr>
        <w:pStyle w:val="TOCEntry"/>
        <w:tabs>
          <w:tab w:pos="8617" w:val="right" w:leader="dot"/>
        </w:tabs>
        <w:ind w:left="283"/>
      </w:pPr>
      <w:r>
        <w:rPr>
          <w:rFonts w:ascii="Times New Roman" w:hAnsi="Times New Roman" w:eastAsia="Times New Roman" w:cs="Times New Roman"/>
        </w:rPr>
        <w:t>1.1. Definicje i ewolucja pojęcia sztucznej inteligencji</w:t>
      </w:r>
      <w:r>
        <w:rPr>
          <w:rFonts w:ascii="Times New Roman" w:hAnsi="Times New Roman" w:eastAsia="Times New Roman" w:cs="Times New Roman"/>
        </w:rPr>
        <w:tab/>
      </w:r>
      <w:r>
        <w:rPr>
          <w:rFonts w:ascii="Times New Roman" w:hAnsi="Times New Roman" w:eastAsia="Times New Roman" w:cs="Times New Roman"/>
        </w:rPr>
        <w:t>8</w:t>
      </w:r>
    </w:p>
    <w:p>
      <w:pPr>
        <w:pStyle w:val="TOCEntry"/>
        <w:tabs>
          <w:tab w:pos="8617" w:val="right" w:leader="dot"/>
        </w:tabs>
        <w:ind w:left="283"/>
      </w:pPr>
      <w:r>
        <w:rPr>
          <w:rFonts w:ascii="Times New Roman" w:hAnsi="Times New Roman" w:eastAsia="Times New Roman" w:cs="Times New Roman"/>
        </w:rPr>
        <w:t>1.2. AI w handlu elektronicznym</w:t>
      </w:r>
      <w:r>
        <w:rPr>
          <w:rFonts w:ascii="Times New Roman" w:hAnsi="Times New Roman" w:eastAsia="Times New Roman" w:cs="Times New Roman"/>
        </w:rPr>
        <w:tab/>
      </w:r>
      <w:r>
        <w:rPr>
          <w:rFonts w:ascii="Times New Roman" w:hAnsi="Times New Roman" w:eastAsia="Times New Roman" w:cs="Times New Roman"/>
        </w:rPr>
        <w:t>9</w:t>
      </w:r>
    </w:p>
    <w:p>
      <w:pPr>
        <w:pStyle w:val="TOCEntry"/>
        <w:tabs>
          <w:tab w:pos="8617" w:val="right" w:leader="dot"/>
        </w:tabs>
        <w:ind w:left="283"/>
      </w:pPr>
      <w:r>
        <w:rPr>
          <w:rFonts w:ascii="Times New Roman" w:hAnsi="Times New Roman" w:eastAsia="Times New Roman" w:cs="Times New Roman"/>
        </w:rPr>
        <w:t>1.3. Technologie wspierające rozwój AI</w:t>
      </w:r>
      <w:r>
        <w:rPr>
          <w:rFonts w:ascii="Times New Roman" w:hAnsi="Times New Roman" w:eastAsia="Times New Roman" w:cs="Times New Roman"/>
        </w:rPr>
        <w:tab/>
      </w:r>
      <w:r>
        <w:rPr>
          <w:rFonts w:ascii="Times New Roman" w:hAnsi="Times New Roman" w:eastAsia="Times New Roman" w:cs="Times New Roman"/>
        </w:rPr>
        <w:t>11</w:t>
      </w:r>
    </w:p>
    <w:p>
      <w:pPr>
        <w:pStyle w:val="TOCEntry"/>
        <w:tabs>
          <w:tab w:pos="8617" w:val="right" w:leader="dot"/>
        </w:tabs>
        <w:ind w:left="283"/>
      </w:pPr>
      <w:r>
        <w:rPr>
          <w:rFonts w:ascii="Times New Roman" w:hAnsi="Times New Roman" w:eastAsia="Times New Roman" w:cs="Times New Roman"/>
        </w:rPr>
        <w:t>1.4. Sieci neuronowe, transformery i modele generatywne</w:t>
      </w:r>
      <w:r>
        <w:rPr>
          <w:rFonts w:ascii="Times New Roman" w:hAnsi="Times New Roman" w:eastAsia="Times New Roman" w:cs="Times New Roman"/>
        </w:rPr>
        <w:tab/>
      </w:r>
      <w:r>
        <w:rPr>
          <w:rFonts w:ascii="Times New Roman" w:hAnsi="Times New Roman" w:eastAsia="Times New Roman" w:cs="Times New Roman"/>
        </w:rPr>
        <w:t>12</w:t>
      </w:r>
    </w:p>
    <w:p>
      <w:pPr>
        <w:pStyle w:val="TOCEntry"/>
        <w:tabs>
          <w:tab w:pos="8617" w:val="right" w:leader="dot"/>
        </w:tabs>
        <w:ind w:left="0"/>
      </w:pPr>
      <w:r>
        <w:rPr>
          <w:rFonts w:ascii="Times New Roman" w:hAnsi="Times New Roman" w:eastAsia="Times New Roman" w:cs="Times New Roman"/>
        </w:rPr>
        <w:t>2. PERSONALIZACJA W MARKETINGU CYFROWYM</w:t>
      </w:r>
      <w:r>
        <w:rPr>
          <w:rFonts w:ascii="Times New Roman" w:hAnsi="Times New Roman" w:eastAsia="Times New Roman" w:cs="Times New Roman"/>
        </w:rPr>
        <w:tab/>
      </w:r>
      <w:r>
        <w:rPr>
          <w:rFonts w:ascii="Times New Roman" w:hAnsi="Times New Roman" w:eastAsia="Times New Roman" w:cs="Times New Roman"/>
        </w:rPr>
        <w:t>14</w:t>
      </w:r>
    </w:p>
    <w:p>
      <w:pPr>
        <w:pStyle w:val="TOCEntry"/>
        <w:tabs>
          <w:tab w:pos="8617" w:val="right" w:leader="dot"/>
        </w:tabs>
        <w:ind w:left="283"/>
      </w:pPr>
      <w:r>
        <w:rPr>
          <w:rFonts w:ascii="Times New Roman" w:hAnsi="Times New Roman" w:eastAsia="Times New Roman" w:cs="Times New Roman"/>
        </w:rPr>
        <w:t>2.1. Rozwój handlu internetowego i przebieg procesu zakupowego</w:t>
      </w:r>
      <w:r>
        <w:rPr>
          <w:rFonts w:ascii="Times New Roman" w:hAnsi="Times New Roman" w:eastAsia="Times New Roman" w:cs="Times New Roman"/>
        </w:rPr>
        <w:tab/>
      </w:r>
      <w:r>
        <w:rPr>
          <w:rFonts w:ascii="Times New Roman" w:hAnsi="Times New Roman" w:eastAsia="Times New Roman" w:cs="Times New Roman"/>
        </w:rPr>
        <w:t>14</w:t>
      </w:r>
    </w:p>
    <w:p>
      <w:pPr>
        <w:pStyle w:val="TOCEntry"/>
        <w:tabs>
          <w:tab w:pos="8617" w:val="right" w:leader="dot"/>
        </w:tabs>
        <w:ind w:left="283"/>
      </w:pPr>
      <w:r>
        <w:rPr>
          <w:rFonts w:ascii="Times New Roman" w:hAnsi="Times New Roman" w:eastAsia="Times New Roman" w:cs="Times New Roman"/>
        </w:rPr>
        <w:t>2.2. Rola personalizacji w zarządzaniu relacjami z klientami</w:t>
      </w:r>
      <w:r>
        <w:rPr>
          <w:rFonts w:ascii="Times New Roman" w:hAnsi="Times New Roman" w:eastAsia="Times New Roman" w:cs="Times New Roman"/>
        </w:rPr>
        <w:tab/>
      </w:r>
      <w:r>
        <w:rPr>
          <w:rFonts w:ascii="Times New Roman" w:hAnsi="Times New Roman" w:eastAsia="Times New Roman" w:cs="Times New Roman"/>
        </w:rPr>
        <w:t>15</w:t>
      </w:r>
    </w:p>
    <w:p>
      <w:pPr>
        <w:pStyle w:val="TOCEntry"/>
        <w:tabs>
          <w:tab w:pos="8617" w:val="right" w:leader="dot"/>
        </w:tabs>
        <w:ind w:left="283"/>
      </w:pPr>
      <w:r>
        <w:rPr>
          <w:rFonts w:ascii="Times New Roman" w:hAnsi="Times New Roman" w:eastAsia="Times New Roman" w:cs="Times New Roman"/>
        </w:rPr>
        <w:t>2.3. Metody i narzędzia personalizacji</w:t>
      </w:r>
      <w:r>
        <w:rPr>
          <w:rFonts w:ascii="Times New Roman" w:hAnsi="Times New Roman" w:eastAsia="Times New Roman" w:cs="Times New Roman"/>
        </w:rPr>
        <w:tab/>
      </w:r>
      <w:r>
        <w:rPr>
          <w:rFonts w:ascii="Times New Roman" w:hAnsi="Times New Roman" w:eastAsia="Times New Roman" w:cs="Times New Roman"/>
        </w:rPr>
        <w:t>17</w:t>
      </w:r>
    </w:p>
    <w:p>
      <w:pPr>
        <w:pStyle w:val="TOCEntry"/>
        <w:tabs>
          <w:tab w:pos="8617" w:val="right" w:leader="dot"/>
        </w:tabs>
        <w:ind w:left="283"/>
      </w:pPr>
      <w:r>
        <w:rPr>
          <w:rFonts w:ascii="Times New Roman" w:hAnsi="Times New Roman" w:eastAsia="Times New Roman" w:cs="Times New Roman"/>
        </w:rPr>
        <w:t>2.4. Oczekiwania klientów i granice dopasowania</w:t>
      </w:r>
      <w:r>
        <w:rPr>
          <w:rFonts w:ascii="Times New Roman" w:hAnsi="Times New Roman" w:eastAsia="Times New Roman" w:cs="Times New Roman"/>
        </w:rPr>
        <w:tab/>
      </w:r>
      <w:r>
        <w:rPr>
          <w:rFonts w:ascii="Times New Roman" w:hAnsi="Times New Roman" w:eastAsia="Times New Roman" w:cs="Times New Roman"/>
        </w:rPr>
        <w:t>18</w:t>
      </w:r>
    </w:p>
    <w:p>
      <w:pPr>
        <w:pStyle w:val="TOCEntry"/>
        <w:tabs>
          <w:tab w:pos="8617" w:val="right" w:leader="dot"/>
        </w:tabs>
        <w:ind w:left="0"/>
      </w:pPr>
      <w:r>
        <w:rPr>
          <w:rFonts w:ascii="Times New Roman" w:hAnsi="Times New Roman" w:eastAsia="Times New Roman" w:cs="Times New Roman"/>
        </w:rPr>
        <w:t>3. ZASTOSOWANIA AI W PERSONALIZACJI RELACJI Z KLIENTAMI</w:t>
      </w:r>
      <w:r>
        <w:rPr>
          <w:rFonts w:ascii="Times New Roman" w:hAnsi="Times New Roman" w:eastAsia="Times New Roman" w:cs="Times New Roman"/>
        </w:rPr>
        <w:tab/>
      </w:r>
      <w:r>
        <w:rPr>
          <w:rFonts w:ascii="Times New Roman" w:hAnsi="Times New Roman" w:eastAsia="Times New Roman" w:cs="Times New Roman"/>
        </w:rPr>
        <w:t>20</w:t>
      </w:r>
    </w:p>
    <w:p>
      <w:pPr>
        <w:pStyle w:val="TOCEntry"/>
        <w:tabs>
          <w:tab w:pos="8617" w:val="right" w:leader="dot"/>
        </w:tabs>
        <w:ind w:left="283"/>
      </w:pPr>
      <w:r>
        <w:rPr>
          <w:rFonts w:ascii="Times New Roman" w:hAnsi="Times New Roman" w:eastAsia="Times New Roman" w:cs="Times New Roman"/>
        </w:rPr>
        <w:t>3.1. Systemy rekomendacyjne i sposoby dopasowywania produktów</w:t>
      </w:r>
      <w:r>
        <w:rPr>
          <w:rFonts w:ascii="Times New Roman" w:hAnsi="Times New Roman" w:eastAsia="Times New Roman" w:cs="Times New Roman"/>
        </w:rPr>
        <w:tab/>
      </w:r>
      <w:r>
        <w:rPr>
          <w:rFonts w:ascii="Times New Roman" w:hAnsi="Times New Roman" w:eastAsia="Times New Roman" w:cs="Times New Roman"/>
        </w:rPr>
        <w:t>20</w:t>
      </w:r>
    </w:p>
    <w:p>
      <w:pPr>
        <w:pStyle w:val="TOCEntry"/>
        <w:tabs>
          <w:tab w:pos="8617" w:val="right" w:leader="dot"/>
        </w:tabs>
        <w:ind w:left="283"/>
      </w:pPr>
      <w:r>
        <w:rPr>
          <w:rFonts w:ascii="Times New Roman" w:hAnsi="Times New Roman" w:eastAsia="Times New Roman" w:cs="Times New Roman"/>
        </w:rPr>
        <w:t>3.2. Analityka predykcyjna i dobór działań marketingowych</w:t>
      </w:r>
      <w:r>
        <w:rPr>
          <w:rFonts w:ascii="Times New Roman" w:hAnsi="Times New Roman" w:eastAsia="Times New Roman" w:cs="Times New Roman"/>
        </w:rPr>
        <w:tab/>
      </w:r>
      <w:r>
        <w:rPr>
          <w:rFonts w:ascii="Times New Roman" w:hAnsi="Times New Roman" w:eastAsia="Times New Roman" w:cs="Times New Roman"/>
        </w:rPr>
        <w:t>22</w:t>
      </w:r>
    </w:p>
    <w:p>
      <w:pPr>
        <w:pStyle w:val="TOCEntry"/>
        <w:tabs>
          <w:tab w:pos="8617" w:val="right" w:leader="dot"/>
        </w:tabs>
        <w:ind w:left="283"/>
      </w:pPr>
      <w:r>
        <w:rPr>
          <w:rFonts w:ascii="Times New Roman" w:hAnsi="Times New Roman" w:eastAsia="Times New Roman" w:cs="Times New Roman"/>
        </w:rPr>
        <w:t>3.3. Chatboty, voiceboty i personalizacja obsługi</w:t>
      </w:r>
      <w:r>
        <w:rPr>
          <w:rFonts w:ascii="Times New Roman" w:hAnsi="Times New Roman" w:eastAsia="Times New Roman" w:cs="Times New Roman"/>
        </w:rPr>
        <w:tab/>
      </w:r>
      <w:r>
        <w:rPr>
          <w:rFonts w:ascii="Times New Roman" w:hAnsi="Times New Roman" w:eastAsia="Times New Roman" w:cs="Times New Roman"/>
        </w:rPr>
        <w:t>23</w:t>
      </w:r>
    </w:p>
    <w:p>
      <w:pPr>
        <w:pStyle w:val="TOCEntry"/>
        <w:tabs>
          <w:tab w:pos="8617" w:val="right" w:leader="dot"/>
        </w:tabs>
        <w:ind w:left="283"/>
      </w:pPr>
      <w:r>
        <w:rPr>
          <w:rFonts w:ascii="Times New Roman" w:hAnsi="Times New Roman" w:eastAsia="Times New Roman" w:cs="Times New Roman"/>
        </w:rPr>
        <w:t>3.4. Personalizowane treści i oferty dynamiczne</w:t>
      </w:r>
      <w:r>
        <w:rPr>
          <w:rFonts w:ascii="Times New Roman" w:hAnsi="Times New Roman" w:eastAsia="Times New Roman" w:cs="Times New Roman"/>
        </w:rPr>
        <w:tab/>
      </w:r>
      <w:r>
        <w:rPr>
          <w:rFonts w:ascii="Times New Roman" w:hAnsi="Times New Roman" w:eastAsia="Times New Roman" w:cs="Times New Roman"/>
        </w:rPr>
        <w:t>25</w:t>
      </w:r>
    </w:p>
    <w:p>
      <w:pPr>
        <w:pStyle w:val="TOCEntry"/>
        <w:tabs>
          <w:tab w:pos="8617" w:val="right" w:leader="dot"/>
        </w:tabs>
        <w:ind w:left="283"/>
      </w:pPr>
      <w:r>
        <w:rPr>
          <w:rFonts w:ascii="Times New Roman" w:hAnsi="Times New Roman" w:eastAsia="Times New Roman" w:cs="Times New Roman"/>
        </w:rPr>
        <w:t>3.5. Integracja z platformą i ocena rezultatów</w:t>
      </w:r>
      <w:r>
        <w:rPr>
          <w:rFonts w:ascii="Times New Roman" w:hAnsi="Times New Roman" w:eastAsia="Times New Roman" w:cs="Times New Roman"/>
        </w:rPr>
        <w:tab/>
      </w:r>
      <w:r>
        <w:rPr>
          <w:rFonts w:ascii="Times New Roman" w:hAnsi="Times New Roman" w:eastAsia="Times New Roman" w:cs="Times New Roman"/>
        </w:rPr>
        <w:t>26</w:t>
      </w:r>
    </w:p>
    <w:p>
      <w:pPr>
        <w:pStyle w:val="TOCEntry"/>
        <w:tabs>
          <w:tab w:pos="8617" w:val="right" w:leader="dot"/>
        </w:tabs>
        <w:ind w:left="0"/>
      </w:pPr>
      <w:r>
        <w:rPr>
          <w:rFonts w:ascii="Times New Roman" w:hAnsi="Times New Roman" w:eastAsia="Times New Roman" w:cs="Times New Roman"/>
        </w:rPr>
        <w:t>4. ZACHOWANIA KONSUMENTÓW ORAZ UWARUNKOWANIA PERSONALIZACJI</w:t>
      </w:r>
      <w:r>
        <w:rPr>
          <w:rFonts w:ascii="Times New Roman" w:hAnsi="Times New Roman" w:eastAsia="Times New Roman" w:cs="Times New Roman"/>
        </w:rPr>
        <w:tab/>
      </w:r>
      <w:r>
        <w:rPr>
          <w:rFonts w:ascii="Times New Roman" w:hAnsi="Times New Roman" w:eastAsia="Times New Roman" w:cs="Times New Roman"/>
        </w:rPr>
        <w:t>28</w:t>
      </w:r>
    </w:p>
    <w:p>
      <w:pPr>
        <w:pStyle w:val="TOCEntry"/>
        <w:tabs>
          <w:tab w:pos="8617" w:val="right" w:leader="dot"/>
        </w:tabs>
        <w:ind w:left="283"/>
      </w:pPr>
      <w:r>
        <w:rPr>
          <w:rFonts w:ascii="Times New Roman" w:hAnsi="Times New Roman" w:eastAsia="Times New Roman" w:cs="Times New Roman"/>
        </w:rPr>
        <w:t>4.1. Wpływ dopasowania na decyzje zakupowe</w:t>
      </w:r>
      <w:r>
        <w:rPr>
          <w:rFonts w:ascii="Times New Roman" w:hAnsi="Times New Roman" w:eastAsia="Times New Roman" w:cs="Times New Roman"/>
        </w:rPr>
        <w:tab/>
      </w:r>
      <w:r>
        <w:rPr>
          <w:rFonts w:ascii="Times New Roman" w:hAnsi="Times New Roman" w:eastAsia="Times New Roman" w:cs="Times New Roman"/>
        </w:rPr>
        <w:t>28</w:t>
      </w:r>
    </w:p>
    <w:p>
      <w:pPr>
        <w:pStyle w:val="TOCEntry"/>
        <w:tabs>
          <w:tab w:pos="8617" w:val="right" w:leader="dot"/>
        </w:tabs>
        <w:ind w:left="283"/>
      </w:pPr>
      <w:r>
        <w:rPr>
          <w:rFonts w:ascii="Times New Roman" w:hAnsi="Times New Roman" w:eastAsia="Times New Roman" w:cs="Times New Roman"/>
        </w:rPr>
        <w:t>4.2. Zaangażowanie, satysfakcja, zaufanie i lojalność</w:t>
      </w:r>
      <w:r>
        <w:rPr>
          <w:rFonts w:ascii="Times New Roman" w:hAnsi="Times New Roman" w:eastAsia="Times New Roman" w:cs="Times New Roman"/>
        </w:rPr>
        <w:tab/>
      </w:r>
      <w:r>
        <w:rPr>
          <w:rFonts w:ascii="Times New Roman" w:hAnsi="Times New Roman" w:eastAsia="Times New Roman" w:cs="Times New Roman"/>
        </w:rPr>
        <w:t>29</w:t>
      </w:r>
    </w:p>
    <w:p>
      <w:pPr>
        <w:pStyle w:val="TOCEntry"/>
        <w:tabs>
          <w:tab w:pos="8617" w:val="right" w:leader="dot"/>
        </w:tabs>
        <w:ind w:left="283"/>
      </w:pPr>
      <w:r>
        <w:rPr>
          <w:rFonts w:ascii="Times New Roman" w:hAnsi="Times New Roman" w:eastAsia="Times New Roman" w:cs="Times New Roman"/>
        </w:rPr>
        <w:t>4.3. Prywatność, profilowanie i obowiązki informacyjne</w:t>
      </w:r>
      <w:r>
        <w:rPr>
          <w:rFonts w:ascii="Times New Roman" w:hAnsi="Times New Roman" w:eastAsia="Times New Roman" w:cs="Times New Roman"/>
        </w:rPr>
        <w:tab/>
      </w:r>
      <w:r>
        <w:rPr>
          <w:rFonts w:ascii="Times New Roman" w:hAnsi="Times New Roman" w:eastAsia="Times New Roman" w:cs="Times New Roman"/>
        </w:rPr>
        <w:t>30</w:t>
      </w:r>
    </w:p>
    <w:p>
      <w:pPr>
        <w:pStyle w:val="TOCEntry"/>
        <w:tabs>
          <w:tab w:pos="8617" w:val="right" w:leader="dot"/>
        </w:tabs>
        <w:ind w:left="283"/>
      </w:pPr>
      <w:r>
        <w:rPr>
          <w:rFonts w:ascii="Times New Roman" w:hAnsi="Times New Roman" w:eastAsia="Times New Roman" w:cs="Times New Roman"/>
        </w:rPr>
        <w:t>4.4. Problemy etyczne i negatywne efekty personalizacji</w:t>
      </w:r>
      <w:r>
        <w:rPr>
          <w:rFonts w:ascii="Times New Roman" w:hAnsi="Times New Roman" w:eastAsia="Times New Roman" w:cs="Times New Roman"/>
        </w:rPr>
        <w:tab/>
      </w:r>
      <w:r>
        <w:rPr>
          <w:rFonts w:ascii="Times New Roman" w:hAnsi="Times New Roman" w:eastAsia="Times New Roman" w:cs="Times New Roman"/>
        </w:rPr>
        <w:t>32</w:t>
      </w:r>
    </w:p>
    <w:p>
      <w:pPr>
        <w:pStyle w:val="TOCEntry"/>
        <w:tabs>
          <w:tab w:pos="8617" w:val="right" w:leader="dot"/>
        </w:tabs>
        <w:ind w:left="283"/>
      </w:pPr>
      <w:r>
        <w:rPr>
          <w:rFonts w:ascii="Times New Roman" w:hAnsi="Times New Roman" w:eastAsia="Times New Roman" w:cs="Times New Roman"/>
        </w:rPr>
        <w:t>4.5. Cyberbezpieczeństwo i bariery wdrożenia</w:t>
      </w:r>
      <w:r>
        <w:rPr>
          <w:rFonts w:ascii="Times New Roman" w:hAnsi="Times New Roman" w:eastAsia="Times New Roman" w:cs="Times New Roman"/>
        </w:rPr>
        <w:tab/>
      </w:r>
      <w:r>
        <w:rPr>
          <w:rFonts w:ascii="Times New Roman" w:hAnsi="Times New Roman" w:eastAsia="Times New Roman" w:cs="Times New Roman"/>
        </w:rPr>
        <w:t>33</w:t>
      </w:r>
    </w:p>
    <w:p>
      <w:pPr>
        <w:pStyle w:val="TOCEntry"/>
        <w:tabs>
          <w:tab w:pos="8617" w:val="right" w:leader="dot"/>
        </w:tabs>
        <w:ind w:left="0"/>
      </w:pPr>
      <w:r>
        <w:rPr>
          <w:rFonts w:ascii="Times New Roman" w:hAnsi="Times New Roman" w:eastAsia="Times New Roman" w:cs="Times New Roman"/>
        </w:rPr>
        <w:t>5. ANALIZA WYBRANYCH PRZYPADKÓW</w:t>
      </w:r>
      <w:r>
        <w:rPr>
          <w:rFonts w:ascii="Times New Roman" w:hAnsi="Times New Roman" w:eastAsia="Times New Roman" w:cs="Times New Roman"/>
        </w:rPr>
        <w:tab/>
      </w:r>
      <w:r>
        <w:rPr>
          <w:rFonts w:ascii="Times New Roman" w:hAnsi="Times New Roman" w:eastAsia="Times New Roman" w:cs="Times New Roman"/>
        </w:rPr>
        <w:t>35</w:t>
      </w:r>
    </w:p>
    <w:p>
      <w:pPr>
        <w:pStyle w:val="TOCEntry"/>
        <w:tabs>
          <w:tab w:pos="8617" w:val="right" w:leader="dot"/>
        </w:tabs>
        <w:ind w:left="283"/>
      </w:pPr>
      <w:r>
        <w:rPr>
          <w:rFonts w:ascii="Times New Roman" w:hAnsi="Times New Roman" w:eastAsia="Times New Roman" w:cs="Times New Roman"/>
        </w:rPr>
        <w:t>5.1. Kryteria doboru i zakres porównania</w:t>
      </w:r>
      <w:r>
        <w:rPr>
          <w:rFonts w:ascii="Times New Roman" w:hAnsi="Times New Roman" w:eastAsia="Times New Roman" w:cs="Times New Roman"/>
        </w:rPr>
        <w:tab/>
      </w:r>
      <w:r>
        <w:rPr>
          <w:rFonts w:ascii="Times New Roman" w:hAnsi="Times New Roman" w:eastAsia="Times New Roman" w:cs="Times New Roman"/>
        </w:rPr>
        <w:t>35</w:t>
      </w:r>
    </w:p>
    <w:p>
      <w:pPr>
        <w:pStyle w:val="TOCEntry"/>
        <w:tabs>
          <w:tab w:pos="8617" w:val="right" w:leader="dot"/>
        </w:tabs>
        <w:ind w:left="283"/>
      </w:pPr>
      <w:r>
        <w:rPr>
          <w:rFonts w:ascii="Times New Roman" w:hAnsi="Times New Roman" w:eastAsia="Times New Roman" w:cs="Times New Roman"/>
        </w:rPr>
        <w:t>5.2. Amazon: od podobieństwa produktów do rozmowy zakupowej</w:t>
      </w:r>
      <w:r>
        <w:rPr>
          <w:rFonts w:ascii="Times New Roman" w:hAnsi="Times New Roman" w:eastAsia="Times New Roman" w:cs="Times New Roman"/>
        </w:rPr>
        <w:tab/>
      </w:r>
      <w:r>
        <w:rPr>
          <w:rFonts w:ascii="Times New Roman" w:hAnsi="Times New Roman" w:eastAsia="Times New Roman" w:cs="Times New Roman"/>
        </w:rPr>
        <w:t>35</w:t>
      </w:r>
    </w:p>
    <w:p>
      <w:pPr>
        <w:pStyle w:val="TOCEntry"/>
        <w:tabs>
          <w:tab w:pos="8617" w:val="right" w:leader="dot"/>
        </w:tabs>
        <w:ind w:left="283"/>
      </w:pPr>
      <w:r>
        <w:rPr>
          <w:rFonts w:ascii="Times New Roman" w:hAnsi="Times New Roman" w:eastAsia="Times New Roman" w:cs="Times New Roman"/>
        </w:rPr>
        <w:t>5.3. Zalando: interpretacja potrzeby w kontekście mody</w:t>
      </w:r>
      <w:r>
        <w:rPr>
          <w:rFonts w:ascii="Times New Roman" w:hAnsi="Times New Roman" w:eastAsia="Times New Roman" w:cs="Times New Roman"/>
        </w:rPr>
        <w:tab/>
      </w:r>
      <w:r>
        <w:rPr>
          <w:rFonts w:ascii="Times New Roman" w:hAnsi="Times New Roman" w:eastAsia="Times New Roman" w:cs="Times New Roman"/>
        </w:rPr>
        <w:t>37</w:t>
      </w:r>
    </w:p>
    <w:p>
      <w:pPr>
        <w:pStyle w:val="TOCEntry"/>
        <w:tabs>
          <w:tab w:pos="8617" w:val="right" w:leader="dot"/>
        </w:tabs>
        <w:ind w:left="283"/>
      </w:pPr>
      <w:r>
        <w:rPr>
          <w:rFonts w:ascii="Times New Roman" w:hAnsi="Times New Roman" w:eastAsia="Times New Roman" w:cs="Times New Roman"/>
        </w:rPr>
        <w:t>5.4. Allegro: ocena trafności jako warunek użytecznego dopasowania</w:t>
      </w:r>
      <w:r>
        <w:rPr>
          <w:rFonts w:ascii="Times New Roman" w:hAnsi="Times New Roman" w:eastAsia="Times New Roman" w:cs="Times New Roman"/>
        </w:rPr>
        <w:tab/>
      </w:r>
      <w:r>
        <w:rPr>
          <w:rFonts w:ascii="Times New Roman" w:hAnsi="Times New Roman" w:eastAsia="Times New Roman" w:cs="Times New Roman"/>
        </w:rPr>
        <w:t>38</w:t>
      </w:r>
    </w:p>
    <w:p>
      <w:pPr>
        <w:pStyle w:val="TOCEntry"/>
        <w:tabs>
          <w:tab w:pos="8617" w:val="right" w:leader="dot"/>
        </w:tabs>
        <w:ind w:left="283"/>
      </w:pPr>
      <w:r>
        <w:rPr>
          <w:rFonts w:ascii="Times New Roman" w:hAnsi="Times New Roman" w:eastAsia="Times New Roman" w:cs="Times New Roman"/>
        </w:rPr>
        <w:t>5.5. Porównanie przypadków i wnioski dla zarządzania</w:t>
      </w:r>
      <w:r>
        <w:rPr>
          <w:rFonts w:ascii="Times New Roman" w:hAnsi="Times New Roman" w:eastAsia="Times New Roman" w:cs="Times New Roman"/>
        </w:rPr>
        <w:tab/>
      </w:r>
      <w:r>
        <w:rPr>
          <w:rFonts w:ascii="Times New Roman" w:hAnsi="Times New Roman" w:eastAsia="Times New Roman" w:cs="Times New Roman"/>
        </w:rPr>
        <w:t>40</w:t>
      </w:r>
    </w:p>
    <w:p>
      <w:pPr>
        <w:pStyle w:val="TOCEntry"/>
        <w:tabs>
          <w:tab w:pos="8617" w:val="right" w:leader="dot"/>
        </w:tabs>
        <w:ind w:left="0"/>
      </w:pPr>
      <w:r>
        <w:rPr>
          <w:rFonts w:ascii="Times New Roman" w:hAnsi="Times New Roman" w:eastAsia="Times New Roman" w:cs="Times New Roman"/>
        </w:rPr>
        <w:t>ZAKOŃCZENIE</w:t>
      </w:r>
      <w:r>
        <w:rPr>
          <w:rFonts w:ascii="Times New Roman" w:hAnsi="Times New Roman" w:eastAsia="Times New Roman" w:cs="Times New Roman"/>
        </w:rPr>
        <w:tab/>
      </w:r>
      <w:r>
        <w:rPr>
          <w:rFonts w:ascii="Times New Roman" w:hAnsi="Times New Roman" w:eastAsia="Times New Roman" w:cs="Times New Roman"/>
        </w:rPr>
        <w:t>42</w:t>
      </w:r>
    </w:p>
    <w:p>
      <w:pPr>
        <w:pStyle w:val="TOCEntry"/>
        <w:tabs>
          <w:tab w:pos="8617" w:val="right" w:leader="dot"/>
        </w:tabs>
        <w:ind w:left="0"/>
      </w:pPr>
      <w:r>
        <w:rPr>
          <w:rFonts w:ascii="Times New Roman" w:hAnsi="Times New Roman" w:eastAsia="Times New Roman" w:cs="Times New Roman"/>
        </w:rPr>
        <w:t>BIBLIOGRAFIA</w:t>
      </w:r>
      <w:r>
        <w:rPr>
          <w:rFonts w:ascii="Times New Roman" w:hAnsi="Times New Roman" w:eastAsia="Times New Roman" w:cs="Times New Roman"/>
        </w:rPr>
        <w:tab/>
      </w:r>
      <w:r>
        <w:rPr>
          <w:rFonts w:ascii="Times New Roman" w:hAnsi="Times New Roman" w:eastAsia="Times New Roman" w:cs="Times New Roman"/>
        </w:rPr>
        <w:t>44</w:t>
      </w:r>
    </w:p>
    <w:p>
      <w:pPr>
        <w:pStyle w:val="TOCEntry"/>
        <w:tabs>
          <w:tab w:pos="8617" w:val="right" w:leader="dot"/>
        </w:tabs>
        <w:ind w:left="0"/>
      </w:pPr>
      <w:r>
        <w:rPr>
          <w:rFonts w:ascii="Times New Roman" w:hAnsi="Times New Roman" w:eastAsia="Times New Roman" w:cs="Times New Roman"/>
        </w:rPr>
        <w:t>SPIS TABEL</w:t>
      </w:r>
      <w:r>
        <w:rPr>
          <w:rFonts w:ascii="Times New Roman" w:hAnsi="Times New Roman" w:eastAsia="Times New Roman" w:cs="Times New Roman"/>
        </w:rPr>
        <w:tab/>
      </w:r>
      <w:r>
        <w:rPr>
          <w:rFonts w:ascii="Times New Roman" w:hAnsi="Times New Roman" w:eastAsia="Times New Roman" w:cs="Times New Roman"/>
        </w:rPr>
        <w:t>47</w:t>
      </w:r>
    </w:p>
    <w:p>
      <w:pPr>
        <w:pStyle w:val="TOCEntry"/>
        <w:tabs>
          <w:tab w:pos="8617" w:val="right" w:leader="dot"/>
        </w:tabs>
        <w:ind w:left="0"/>
      </w:pPr>
      <w:r>
        <w:rPr>
          <w:rFonts w:ascii="Times New Roman" w:hAnsi="Times New Roman" w:eastAsia="Times New Roman" w:cs="Times New Roman"/>
        </w:rPr>
        <w:t>ABSTRACT</w:t>
      </w:r>
      <w:r>
        <w:rPr>
          <w:rFonts w:ascii="Times New Roman" w:hAnsi="Times New Roman" w:eastAsia="Times New Roman" w:cs="Times New Roman"/>
        </w:rPr>
        <w:tab/>
      </w:r>
      <w:r>
        <w:rPr>
          <w:rFonts w:ascii="Times New Roman" w:hAnsi="Times New Roman" w:eastAsia="Times New Roman" w:cs="Times New Roman"/>
        </w:rPr>
        <w:t>48</w:t>
      </w:r>
    </w:p>
    <w:bookmarkStart w:id="20" w:name="streszczenie"/>
    <w:p>
      <w:pPr>
        <w:pStyle w:val="Heading1"/>
      </w:pPr>
      <w:r>
        <w:rPr>
          <w:rFonts w:ascii="Times New Roman" w:hAnsi="Times New Roman" w:eastAsia="Times New Roman" w:cs="Times New Roman"/>
        </w:rPr>
        <w:t xml:space="preserve">STRESZCZENIE</w:t>
      </w:r>
    </w:p>
    <w:p>
      <w:pPr>
        <w:pStyle w:val="FirstParagraph"/>
      </w:pPr>
      <w:r>
        <w:rPr>
          <w:rFonts w:ascii="Times New Roman" w:hAnsi="Times New Roman" w:eastAsia="Times New Roman" w:cs="Times New Roman"/>
        </w:rPr>
        <w:t xml:space="preserve">Praca przedstawia zastosowanie sztucznej inteligencji do personalizacji relacji z klientami sklepów internetowych. Jej celem jest wyjaśnienie sposobów dopasowywania oferty, komunikacji i obsługi oraz ocena korzyści i ograniczeń tych działań. Zastosowano przegląd literatury i analizę porównawczą publicznie opisanych rozwiązań Amazon, Zalando i Allegro. Omówiono systemy rekomendacyjne, analitykę predykcyjną oraz narzędzia prowadzące rozmowę z klientem. Przeanalizowano także znaczenie jakości danych, przejrzystości działania i ochrony prywatności. Wyniki wskazują, że sztuczna inteligencja może ułatwiać wybór produktów i usprawniać kontakt ze sklepem. Sama trafność podpowiedzi nie dowodzi jednak trwałej poprawy relacji. Dostępne materiały firmowe pokazują funkcje narzędzi, lecz zwykle nie pozwalają przypisać zmian lojalności wyłącznie zastosowaniu AI. W pracy wskazano, że ocenę personalizacji należy opierać na wielu miarach. Obejmują one użyteczność propozycji, jakość obsługi, bezpieczeństwo danych i zaufanie odbiorców. Wnioski mają charakter jakościowy, ponieważ nie przeprowadzono własnej ankiety ani eksperymentu na danych klientów.</w:t>
      </w:r>
    </w:p>
    <w:p>
      <w:pPr>
        <w:pStyle w:val="BodyText"/>
      </w:pPr>
      <w:r>
        <w:rPr>
          <w:rFonts w:ascii="Times New Roman" w:hAnsi="Times New Roman" w:eastAsia="Times New Roman" w:cs="Times New Roman"/>
          <w:i/>
          <w:iCs/>
        </w:rPr>
        <w:t xml:space="preserve">Słowa kluczowe: sztuczna inteligencja, personalizacja, handel elektroniczny, relacje z klientami, systemy rekomendacyjne.</w:t>
      </w:r>
    </w:p>
    <w:bookmarkEnd w:id="20"/>
    <w:bookmarkStart w:id="21" w:name="wstęp"/>
    <w:p>
      <w:pPr>
        <w:pStyle w:val="Heading1"/>
      </w:pPr>
      <w:r>
        <w:rPr>
          <w:rFonts w:ascii="Times New Roman" w:hAnsi="Times New Roman" w:eastAsia="Times New Roman" w:cs="Times New Roman"/>
        </w:rPr>
        <w:t xml:space="preserve">WSTĘP</w:t>
      </w:r>
    </w:p>
    <w:p>
      <w:pPr>
        <w:pStyle w:val="FirstParagraph"/>
      </w:pPr>
      <w:r>
        <w:rPr>
          <w:rFonts w:ascii="Times New Roman" w:hAnsi="Times New Roman" w:eastAsia="Times New Roman" w:cs="Times New Roman"/>
        </w:rPr>
        <w:t xml:space="preserve">Handel internetowy zmienił sposób poszukiwania produktów oraz kontaktowania się klientów ze sprzedawcami. Oferta jest dostępna przez całą dobę, często z poziomu telefonu komórkowego. Możliwe staje się porównywanie cen, czytanie opinii oraz sprawdzanie dostępności wielu produktów, a jednocześnie duży wybór może utrudniać podjęcie decyzji. Klient potrzebuje więc pomocy w znalezieniu rozwiązania odpowiadającego jego sytuacji. Taką funkcję mogą pełnić odpowiednio zaprojektowane narzędzia personalizacji.</w:t>
      </w:r>
    </w:p>
    <w:p>
      <w:pPr>
        <w:pStyle w:val="BodyText"/>
      </w:pPr>
      <w:r>
        <w:rPr>
          <w:rFonts w:ascii="Times New Roman" w:hAnsi="Times New Roman" w:eastAsia="Times New Roman" w:cs="Times New Roman"/>
        </w:rPr>
        <w:t xml:space="preserve">Personalizacja oznacza dopasowanie treści, oferty lub obsługi do informacji dotyczących odbiorcy, jednak nie ogranicza się do wyświetlania imienia w wiadomości wysyłanej przez sklep. Obejmuje również kolejność produktów, dobór komunikatów oraz sposób prowadzenia rozmowy z klientem. Jej znaczenie można rozpatrywać na poszczególnych etapach ścieżki zakupowej. Dopasowanie może ułatwiać wybór produktu, ale także późniejsze korzystanie z pomocy. Relacja ze sklepem nie kończy się bowiem w chwili opłacenia zamówienia.</w:t>
      </w:r>
    </w:p>
    <w:p>
      <w:pPr>
        <w:pStyle w:val="BodyText"/>
      </w:pPr>
      <w:r>
        <w:rPr>
          <w:rFonts w:ascii="Times New Roman" w:hAnsi="Times New Roman" w:eastAsia="Times New Roman" w:cs="Times New Roman"/>
        </w:rPr>
        <w:t xml:space="preserve">Rozwój sztucznej inteligencji poszerza możliwości przetwarzania informacji potrzebnych do takiego dopasowania, a system może wykorzystywać historię zakupów, cechy produktów lub treść zadanych pytań. Na tej podstawie tworzone są rekomendacje, przewidywania oraz odpowiedzi kierowane do użytkownika, co jednak nie oznacza pełnego poznania jego potrzeb. Dane zawierają jedynie wybrane ślady zachowania, które wymagają ostrożnej interpretacji. Zakup prezentu nie musi świadczyć o osobistych zainteresowaniach kupującego.</w:t>
      </w:r>
    </w:p>
    <w:p>
      <w:pPr>
        <w:pStyle w:val="BodyText"/>
      </w:pPr>
      <w:r>
        <w:rPr>
          <w:rFonts w:ascii="Times New Roman" w:hAnsi="Times New Roman" w:eastAsia="Times New Roman" w:cs="Times New Roman"/>
        </w:rPr>
        <w:t xml:space="preserve">Zastosowanie AI wiąże się również z problemami dotyczącymi prywatności i odpowiedzialności. Trafna sugestia może zostać dobrze przyjęta, natomiast nadmiernie szczegółowa wywołać niepokój, a klient może nie rozumieć, skąd sklep uzyskał informacje wykorzystane podczas kontaktu. Znaczenie ma zatem zarówno użyteczność rozwiązania, jak też sposób jego działania, dlatego korzyści sprzedażowe należy zestawiać z jakością relacji. Sam wzrost liczby kliknięć nie potwierdza jeszcze wzrostu zaufania.</w:t>
      </w:r>
    </w:p>
    <w:p>
      <w:pPr>
        <w:pStyle w:val="BodyText"/>
      </w:pPr>
      <w:r>
        <w:rPr>
          <w:rFonts w:ascii="Times New Roman" w:hAnsi="Times New Roman" w:eastAsia="Times New Roman" w:cs="Times New Roman"/>
        </w:rPr>
        <w:t xml:space="preserve">Celem pracy jest analiza zastosowania sztucznej inteligencji do personalizacji relacji z klientami sklepów internetowych. Ocenie podlegają mechanizmy działania, możliwe korzyści oraz ograniczenia wybranych rozwiązań. Uwzględniono perspektywę przedsiębiorstwa i odbiorcy jego oferty. Problem badawczy ujęto następująco: w jaki sposób AI wspiera personalizację relacji w handlu internetowym? Dodatkowo rozpatrzono warunki, od których zależy przydatność takich zastosowań.</w:t>
      </w:r>
    </w:p>
    <w:p>
      <w:pPr>
        <w:pStyle w:val="BodyText"/>
      </w:pPr>
      <w:r>
        <w:rPr>
          <w:rFonts w:ascii="Times New Roman" w:hAnsi="Times New Roman" w:eastAsia="Times New Roman" w:cs="Times New Roman"/>
        </w:rPr>
        <w:t xml:space="preserve">Przyjęto cztery pytania szczegółowe. Pierwsze dotyczy mechanizmów wykorzystywanych do dopasowywania oferty, komunikacji oraz obsługi klienta. Drugie odnosi się do różnicy między efektem sprzedażowym a jakością relacji. Trzecie obejmuje ograniczenia techniczne, prawne i etyczne występujące podczas stosowania AI. Czwarte dotyczy wniosków wynikających z porównania wybranych przypadków rynkowych.</w:t>
      </w:r>
    </w:p>
    <w:p>
      <w:pPr>
        <w:pStyle w:val="BodyText"/>
      </w:pPr>
      <w:r>
        <w:rPr>
          <w:rFonts w:ascii="Times New Roman" w:hAnsi="Times New Roman" w:eastAsia="Times New Roman" w:cs="Times New Roman"/>
        </w:rPr>
        <w:t xml:space="preserve">Sformułowano hipotezę, że personalizacja wspierana przez AI może poprawiać trafność oferty oraz jakość relacji. Korzyści te zależą jednak od jakości danych i sposobu wdrożenia rozwiązania, przy czym znaczenie mają również przejrzystość działania oraz poszanowanie prywatności klientów. Hipoteza ma charakter warunkowy. Jej ocena nie polega na przyjęciu, że każda personalizacja przynosi pozytywny wynik.</w:t>
      </w:r>
    </w:p>
    <w:p>
      <w:pPr>
        <w:pStyle w:val="BodyText"/>
      </w:pPr>
      <w:r>
        <w:rPr>
          <w:rFonts w:ascii="Times New Roman" w:hAnsi="Times New Roman" w:eastAsia="Times New Roman" w:cs="Times New Roman"/>
        </w:rPr>
        <w:t xml:space="preserve">Praca ma charakter teoretyczno-analityczny. Zastosowano przegląd wybranej literatury oraz porównanie opisanych publicznie zastosowań rynkowych. Dobór materiałów jest celowy i obejmuje podstawy technologiczne, marketing oraz ochronę danych. Uwzględniono także dokumenty instytucjonalne i materiały publikowane przez przedsiębiorstwa, jednak nie przeprowadzono własnej ankiety ani eksperymentu z udziałem klientów. Nie wykorzystano również dostępu do wewnętrznych danych analizowanych firm.</w:t>
      </w:r>
    </w:p>
    <w:p>
      <w:pPr>
        <w:pStyle w:val="BodyText"/>
      </w:pPr>
      <w:r>
        <w:rPr>
          <w:rFonts w:ascii="Times New Roman" w:hAnsi="Times New Roman" w:eastAsia="Times New Roman" w:cs="Times New Roman"/>
        </w:rPr>
        <w:t xml:space="preserve">Analiza przypadków służy porównaniu problemów biznesowych oraz sposobów wykorzystania danych i algorytmów, jednak nie jest pomiarem udziału AI we wszystkich wynikach finansowych przedsiębiorstwa. Materiały firmowe pozwalają opisywać deklarowane funkcje, lecz wymagają ostrożności przy ocenianiu skuteczności. Wnioski dotyczą zatem przedstawionych zastosowań i dostępnych przesłanek. Ocena hipotezy ma charakter jakościowy, bez statystycznego testowania zależności przyczynowych.</w:t>
      </w:r>
    </w:p>
    <w:p>
      <w:pPr>
        <w:pStyle w:val="BodyText"/>
      </w:pPr>
      <w:r>
        <w:rPr>
          <w:rFonts w:ascii="Times New Roman" w:hAnsi="Times New Roman" w:eastAsia="Times New Roman" w:cs="Times New Roman"/>
        </w:rPr>
        <w:t xml:space="preserve">Konstrukcja pracy obejmuje pięć rozdziałów. W pierwszym wyjaśniono podstawowe pojęcia AI oraz technologie wspierające jej rozwój. Drugi dotyczy handlu internetowego, procesu zakupowego i miejsca personalizacji w marketingu. W trzecim omówiono rekomendacje, analitykę predykcyjną, obsługę konwersacyjną i integrację systemów. Rozdział czwarty obejmuje zachowania konsumentów oraz ograniczenia prawne, etyczne i techniczne. W piątym przedstawiono wybrane przypadki oraz wynikające z ich porównania wnioski.</w:t>
      </w:r>
    </w:p>
    <w:p>
      <w:pPr>
        <w:pStyle w:val="BodyText"/>
      </w:pPr>
      <w:r>
        <w:rPr>
          <w:rFonts w:ascii="Times New Roman" w:hAnsi="Times New Roman" w:eastAsia="Times New Roman" w:cs="Times New Roman"/>
        </w:rPr>
        <w:t xml:space="preserve">Zakres pracy odpowiada problematyce zarządzania ze specjalnością informatyka gospodarcza. Rozwiązania techniczne opisano w stopniu potrzebnym do oceny ich zastosowań biznesowych, jednak nie przedstawiono instrukcji budowy modeli ani szczegółowej dokumentacji programistycznej. Szczególną uwagę poświęcono powiązaniu działania systemu z potrzebami konkretnego klienta. Taka perspektywa pozwala ocenić personalizację szerzej niż wyłącznie przez wzrost sprzedaży.</w:t>
      </w:r>
    </w:p>
    <w:bookmarkEnd w:id="21"/>
    <w:bookmarkStart w:id="26" w:name="sztuczna-inteligencja"/>
    <w:p>
      <w:pPr>
        <w:pStyle w:val="Heading1"/>
      </w:pPr>
      <w:r>
        <w:rPr>
          <w:rFonts w:ascii="Times New Roman" w:hAnsi="Times New Roman" w:eastAsia="Times New Roman" w:cs="Times New Roman"/>
        </w:rPr>
        <w:t xml:space="preserve">1. SZTUCZNA INTELIGENCJA</w:t>
      </w:r>
    </w:p>
    <w:bookmarkStart w:id="22" w:name="X6fd234aac766e1c9a66de6abd3ad7a33ba54b25"/>
    <w:p>
      <w:pPr>
        <w:pStyle w:val="Heading2"/>
      </w:pPr>
      <w:r>
        <w:rPr>
          <w:rFonts w:ascii="Times New Roman" w:hAnsi="Times New Roman" w:eastAsia="Times New Roman" w:cs="Times New Roman"/>
        </w:rPr>
        <w:t xml:space="preserve">1.1. Definicje i ewolucja pojęcia sztucznej inteligencji</w:t>
      </w:r>
    </w:p>
    <w:p>
      <w:pPr>
        <w:pStyle w:val="FirstParagraph"/>
      </w:pPr>
      <w:r>
        <w:rPr>
          <w:rFonts w:ascii="Times New Roman" w:hAnsi="Times New Roman" w:eastAsia="Times New Roman" w:cs="Times New Roman"/>
        </w:rPr>
        <w:t xml:space="preserve">Sztuczna inteligencja jest związana z tworzeniem systemów wykonujących zadania wymagające przetwarzania informacji. Obejmuje między innymi rozpoznawanie wzorców, wnioskowanie, uczenie się oraz analizowanie języka, nie istnieje jednak jeden praktyczny mechanizm odpowiadający wszystkim tym zadaniom. Pod wspólną nazwą występują różne metody, których zastosowanie zależy od problemu. W handlu internetowym mogą one wspierać wyszukiwanie produktów, rekomendacje i obsługę klientów.</w:t>
      </w:r>
    </w:p>
    <w:p>
      <w:pPr>
        <w:pStyle w:val="BodyText"/>
      </w:pPr>
      <w:r>
        <w:rPr>
          <w:rFonts w:ascii="Times New Roman" w:hAnsi="Times New Roman" w:eastAsia="Times New Roman" w:cs="Times New Roman"/>
        </w:rPr>
        <w:t xml:space="preserve">McCarthy określał AI jako naukę i inżynierię tworzenia inteligentnych maszyn (McCarthy 2007). Definicja ta podkreśla zarówno poznawczy, jak i praktyczny charakter rozwijanej dziedziny. Obejmuje badanie sposobów rozwiązywania problemów oraz budowanie systemów wykonujących określone zadania, jednak nie oznacza przy tym, że maszyna musi myśleć dokładnie jak człowiek. Dla przedsiębiorstwa ważniejsza jest przydatność rozwiązania niż podobieństwo jego działania do ludzkiego rozumowania.</w:t>
      </w:r>
    </w:p>
    <w:p>
      <w:pPr>
        <w:pStyle w:val="BodyText"/>
      </w:pPr>
      <w:r>
        <w:rPr>
          <w:rFonts w:ascii="Times New Roman" w:hAnsi="Times New Roman" w:eastAsia="Times New Roman" w:cs="Times New Roman"/>
        </w:rPr>
        <w:t xml:space="preserve">W praktyce biznesowej należy oddzielać możliwości konkretnego systemu od ogólnych wyobrażeń dotyczących AI. Program rekomendujący obuwie nie musi rozumieć wszystkich aspektów zachowania konsumenta, lecz może jedynie wykrywać zależności między oglądanymi produktami i wcześniejszymi transakcjami. Zakres jego działania wynika z danych, przyjętego celu i zastosowanej metody. Przekroczenie tych granic zwiększa ryzyko błędnej interpretacji uzyskanego wyniku.</w:t>
      </w:r>
    </w:p>
    <w:p>
      <w:pPr>
        <w:pStyle w:val="BodyText"/>
      </w:pPr>
      <w:r>
        <w:rPr>
          <w:rFonts w:ascii="Times New Roman" w:hAnsi="Times New Roman" w:eastAsia="Times New Roman" w:cs="Times New Roman"/>
        </w:rPr>
        <w:t xml:space="preserve">Istotnym obszarem sztucznej inteligencji jest uczenie maszynowe, określane skrótem ML. Polega ono na wyznaczaniu zależności na podstawie przykładów zawartych w danych, a model może uczyć się rozpoznawania kategorii produktu albo przewidywania kolejnego zakupu. Zamiast ręcznie zapisywać wszystkie reguły, określa się sposób uczenia i kryterium oceny, chociaż nadal konieczne pozostaje przygotowanie danych oraz kontrolowanie jakości rozwiązania.</w:t>
      </w:r>
    </w:p>
    <w:p>
      <w:pPr>
        <w:pStyle w:val="BodyText"/>
      </w:pPr>
      <w:r>
        <w:rPr>
          <w:rFonts w:ascii="Times New Roman" w:hAnsi="Times New Roman" w:eastAsia="Times New Roman" w:cs="Times New Roman"/>
        </w:rPr>
        <w:t xml:space="preserve">Uczenie maszynowe nie jest więc zewnętrzną technologią wspierającą sztuczną inteligencję. Stanowi jedną z grup metod należących do tego obszaru. Takie rozróżnienie ma znaczenie podczas opisywania infrastruktury wykorzystywanej przez przedsiębiorstwa. Procesor, chmura obliczeniowa i biblioteka programistyczna wspierają wykonywanie obliczeń, natomiast sam model uczenia maszynowego realizuje określone zadanie związane z analizą danych.</w:t>
      </w:r>
    </w:p>
    <w:p>
      <w:pPr>
        <w:pStyle w:val="BodyText"/>
      </w:pPr>
      <w:r>
        <w:rPr>
          <w:rFonts w:ascii="Times New Roman" w:hAnsi="Times New Roman" w:eastAsia="Times New Roman" w:cs="Times New Roman"/>
        </w:rPr>
        <w:t xml:space="preserve">W uczeniu nadzorowanym wykorzystywane są przykłady zawierające oczekiwany wynik działania modelu, na przykład wiadomości oznaczone jako pytania dotyczące dostawy albo zwrotu. System uczy się następnie przypisywać podobne kategorie kolejnym zgłoszeniom klientów. W uczeniu nienadzorowanym poszukuje się struktury bez gotowych odpowiedzi dla każdego przykładu. Możliwe staje się na przykład grupowanie podobnych zachowań zakupowych.</w:t>
      </w:r>
    </w:p>
    <w:p>
      <w:pPr>
        <w:pStyle w:val="BodyText"/>
      </w:pPr>
      <w:r>
        <w:rPr>
          <w:rFonts w:ascii="Times New Roman" w:hAnsi="Times New Roman" w:eastAsia="Times New Roman" w:cs="Times New Roman"/>
        </w:rPr>
        <w:t xml:space="preserve">Ważnym pojęciem jest także automatyzacja, która nie musi oznaczać wykorzystania AI. Wiadomość wysyłana po opłaceniu zamówienia może wynikać z prostej reguły. Podobnie działa przypomnienie o porzuconym koszyku uruchamiane po określonym czasie. System wykorzystujący ML może dodatkowo wybierać odbiorcę, moment lub treść wiadomości. Różnica dotyczy sposobu wyznaczania działania, a nie samego faktu użycia komputera.</w:t>
      </w:r>
    </w:p>
    <w:p>
      <w:pPr>
        <w:pStyle w:val="BodyText"/>
      </w:pPr>
      <w:r>
        <w:rPr>
          <w:rFonts w:ascii="Times New Roman" w:hAnsi="Times New Roman" w:eastAsia="Times New Roman" w:cs="Times New Roman"/>
        </w:rPr>
        <w:t xml:space="preserve">Rozwój AI obejmował podejścia oparte na regułach, danych oraz coraz bardziej rozbudowanych modelach, co nie oznacza całkowitego zastąpienia wcześniejszych metod przez rozwiązania nowsze. W wielu procesach nadal przydatne są proste warunki i ograniczenia biznesowe, a model może ustalać kolejność produktów, natomiast reguła wykluczać towary chwilowo niedostępne. Takie połączenie pozwala dostosować wynik do rzeczywistych warunków sprzedaży.</w:t>
      </w:r>
    </w:p>
    <w:p>
      <w:pPr>
        <w:pStyle w:val="BodyText"/>
      </w:pPr>
      <w:r>
        <w:rPr>
          <w:rFonts w:ascii="Times New Roman" w:hAnsi="Times New Roman" w:eastAsia="Times New Roman" w:cs="Times New Roman"/>
        </w:rPr>
        <w:t xml:space="preserve">W kontekście zarządzania ważne jest zatem pytanie o zadanie realizowane przez AI. Huang i Rust rozpatrują jej zastosowania w różnych działaniach marketingowych (Huang i Rust 2021), przy czym obejmują one przetwarzanie informacji oraz wspieranie decyzji dotyczących kontaktu z odbiorcami. Zastosowanie technologii powinno wynikać z rozpoznanego problemu, a nie samej dostępności narzędzia. W przeciwnym razie można uzyskać kosztowny system o niewielkiej wartości dla klientów.</w:t>
      </w:r>
    </w:p>
    <w:bookmarkEnd w:id="22"/>
    <w:bookmarkStart w:id="23" w:name="ai-w-handlu-elektronicznym"/>
    <w:p>
      <w:pPr>
        <w:pStyle w:val="Heading2"/>
      </w:pPr>
      <w:r>
        <w:rPr>
          <w:rFonts w:ascii="Times New Roman" w:hAnsi="Times New Roman" w:eastAsia="Times New Roman" w:cs="Times New Roman"/>
        </w:rPr>
        <w:t xml:space="preserve">1.2. AI w handlu elektronicznym</w:t>
      </w:r>
    </w:p>
    <w:p>
      <w:pPr>
        <w:pStyle w:val="FirstParagraph"/>
      </w:pPr>
      <w:r>
        <w:rPr>
          <w:rFonts w:ascii="Times New Roman" w:hAnsi="Times New Roman" w:eastAsia="Times New Roman" w:cs="Times New Roman"/>
        </w:rPr>
        <w:t xml:space="preserve">Handel elektroniczny obejmuje transakcje, w których zamówienie jest składane przez sieci komputerowe, jednak nie wymaga to elektronicznej postaci samego produktu ani dostarczenia go przez Internet. Zakup odzieży przez stronę sklepu pozostaje przykładem e‑commerce, mimo fizycznej dostawy. OECD wskazuje na znaczenie sposobu składania zamówienia przy definiowaniu tego obszaru (OECD 2019). Rozróżnienie to ułatwia analizę procesów poprzedzających transakcję oraz następujących po niej.</w:t>
      </w:r>
    </w:p>
    <w:p>
      <w:pPr>
        <w:pStyle w:val="BodyText"/>
      </w:pPr>
      <w:r>
        <w:rPr>
          <w:rFonts w:ascii="Times New Roman" w:hAnsi="Times New Roman" w:eastAsia="Times New Roman" w:cs="Times New Roman"/>
        </w:rPr>
        <w:t xml:space="preserve">Rozwój handlu internetowego zwiększył znaczenie informacji dostępnych podczas kontaktu ze sklepem. Rejestrowane mogą być zapytania, wyświetlenia produktów, dodania do koszyka i zakupy, jednak nie każda informacja jest równie przydatna przy poznawaniu potrzeb odbiorcy. Samo otwarcie strony produktu może wynikać z pomyłki lub zwykłej ciekawości, dlatego dopiero zestawienie zdarzeń pozwala formułować ostrożne przypuszczenia dotyczące zainteresowania ofertą.</w:t>
      </w:r>
    </w:p>
    <w:p>
      <w:pPr>
        <w:pStyle w:val="BodyText"/>
      </w:pPr>
      <w:r>
        <w:rPr>
          <w:rFonts w:ascii="Times New Roman" w:hAnsi="Times New Roman" w:eastAsia="Times New Roman" w:cs="Times New Roman"/>
        </w:rPr>
        <w:t xml:space="preserve">Historia transakcji dostarcza innych informacji niż zachowanie podczas aktualnej wizyty. Poprzedni zakup opisuje podjętą decyzję, ale nie musi odzwierciedlać obecnego celu. Osoba regularnie kupująca książki może właśnie poszukiwać prezentu dla małego dziecka. Nadmierne przywiązanie systemu do jej dawnych wyborów ograniczy użyteczność rekomendacji, dlatego personalizacja powinna uwzględniać możliwość zmiany potrzeb i kontekstu.</w:t>
      </w:r>
    </w:p>
    <w:p>
      <w:pPr>
        <w:pStyle w:val="BodyText"/>
      </w:pPr>
      <w:r>
        <w:rPr>
          <w:rFonts w:ascii="Times New Roman" w:hAnsi="Times New Roman" w:eastAsia="Times New Roman" w:cs="Times New Roman"/>
        </w:rPr>
        <w:t xml:space="preserve">Wczesne rekomendacje internetowe nie sprowadzały się wyłącznie do ręcznie zapisanych reguł. Opis systemu Amazon wskazywał na wykorzystanie podobieństwa między kupowanymi produktami (Linden et al. 2003). Było to rozwiązanie korzystające z obserwowanych wzorców współwystępowania interakcji, dlatego nie należy przedstawiać całej historii rekomendacji jako prostego przejścia od reguł do inteligencji. Rozwijano różne metody, odpowiadające odmiennym warunkom i ograniczeniom technicznym.</w:t>
      </w:r>
    </w:p>
    <w:p>
      <w:pPr>
        <w:pStyle w:val="BodyText"/>
      </w:pPr>
      <w:r>
        <w:rPr>
          <w:rFonts w:ascii="Times New Roman" w:hAnsi="Times New Roman" w:eastAsia="Times New Roman" w:cs="Times New Roman"/>
        </w:rPr>
        <w:t xml:space="preserve">Obecnie obszary zastosowania AI można powiązać z etapami działania sklepu internetowego. Przed zakupem system pomaga wyszukać produkt oraz porównać dostępne możliwości. Podczas transakcji może dopasowywać informacje potrzebne do zakończenia zamówienia. Po zakupie wspiera odpowiadanie na pytania i porządkowanie zgłoszeń serwisowych, jednak nie każda z tych funkcji wymaga takiego samego modelu.</w:t>
      </w:r>
    </w:p>
    <w:p>
      <w:pPr>
        <w:pStyle w:val="BodyText"/>
      </w:pPr>
      <w:r>
        <w:rPr>
          <w:rFonts w:ascii="Times New Roman" w:hAnsi="Times New Roman" w:eastAsia="Times New Roman" w:cs="Times New Roman"/>
        </w:rPr>
        <w:t xml:space="preserve">Dane wykorzystywane przez systemy mogą przyjmować postać tabel, tekstów lub obrazów. Katalog produktów zawiera ceny, parametry techniczne, opisy oraz fotografie przedmiotów. Opinie klientów dostarczają informacji o doświadczeniach, lecz bywają niepełne i niejednoznaczne. Analiza języka może pomagać porządkować takie materiały według poruszanych tematów, nie gwarantuje jednak prawidłowego rozpoznania ironii lub kontekstu każdej wypowiedzi.</w:t>
      </w:r>
    </w:p>
    <w:p>
      <w:pPr>
        <w:pStyle w:val="BodyText"/>
      </w:pPr>
      <w:r>
        <w:rPr>
          <w:rFonts w:ascii="Times New Roman" w:hAnsi="Times New Roman" w:eastAsia="Times New Roman" w:cs="Times New Roman"/>
        </w:rPr>
        <w:t xml:space="preserve">Z perspektywy przedsiębiorstwa AI może usprawniać wykonywanie zadań występujących na dużą skalę, co dotyczy zwłaszcza selekcji informacji oraz ustalania kolejności wielu dostępnych ofert. Sklep z niewielkim asortymentem może jednak osiągać dobre wyniki prostszymi metodami. Koszt zaawansowanej personalizacji nie zawsze znajduje uzasadnienie w wartości dodatkowego dopasowania. Ocena powinna obejmować zarówno korzyści, jak też utrzymanie rozwiązania.</w:t>
      </w:r>
    </w:p>
    <w:p>
      <w:pPr>
        <w:pStyle w:val="BodyText"/>
      </w:pPr>
      <w:r>
        <w:rPr>
          <w:rFonts w:ascii="Times New Roman" w:hAnsi="Times New Roman" w:eastAsia="Times New Roman" w:cs="Times New Roman"/>
        </w:rPr>
        <w:t xml:space="preserve">Nie należy również utożsamiać cyfrowego śladu z pełną wiedzą o użytkowniku. Zwykła witryna nie uzyskuje automatycznie informacji o kierunku jego spojrzenia. Pomiar wzroku wymaga odpowiedniego sprzętu lub dodatkowych rozwiązań oraz odrębnej oceny prawnej. Dostępność określonej technologii nie dowodzi jej powszechnego stosowania w sklepach. Opis możliwości powinien pozostawać oddzielony od opisu rzeczywiście udokumentowanego wdrożenia.</w:t>
      </w:r>
    </w:p>
    <w:bookmarkEnd w:id="23"/>
    <w:bookmarkStart w:id="24" w:name="technologie-wspierające-rozwój-ai"/>
    <w:p>
      <w:pPr>
        <w:pStyle w:val="Heading2"/>
      </w:pPr>
      <w:r>
        <w:rPr>
          <w:rFonts w:ascii="Times New Roman" w:hAnsi="Times New Roman" w:eastAsia="Times New Roman" w:cs="Times New Roman"/>
        </w:rPr>
        <w:t xml:space="preserve">1.3. Technologie wspierające rozwój AI</w:t>
      </w:r>
    </w:p>
    <w:p>
      <w:pPr>
        <w:pStyle w:val="FirstParagraph"/>
      </w:pPr>
      <w:r>
        <w:rPr>
          <w:rFonts w:ascii="Times New Roman" w:hAnsi="Times New Roman" w:eastAsia="Times New Roman" w:cs="Times New Roman"/>
        </w:rPr>
        <w:t xml:space="preserve">Działanie systemów AI zależy od infrastruktury, danych oraz narzędzi wykorzystywanych przez twórców. Samo zwiększenie ilości informacji nie zapewnia jednak poprawy jakości modelu. Dane mogą zawierać błędy, powtórzenia albo nieaktualne opisy oferowanych produktów, a mogą też pomijać określone grupy klientów lub nietypowe sposoby korzystania ze sklepu. Przygotowanie materiału pozostaje zatem równie ważne jak dostępna moc obliczeniowa.</w:t>
      </w:r>
    </w:p>
    <w:p>
      <w:pPr>
        <w:pStyle w:val="BodyText"/>
      </w:pPr>
      <w:r>
        <w:rPr>
          <w:rFonts w:ascii="Times New Roman" w:hAnsi="Times New Roman" w:eastAsia="Times New Roman" w:cs="Times New Roman"/>
        </w:rPr>
        <w:t xml:space="preserve">Procesory centralne, określane jako CPU, wykonują wiele różnorodnych zadań systemu komputerowego. Współczesne układy wykorzystują również wielordzeniowość i różne formy przetwarzania równoległego, nie jest więc poprawne traktowanie ich jako urządzeń działających wyłącznie szeregowo. Procesory graficzne, czyli GPU, są natomiast szczególnie przydatne przy niektórych powtarzalnych obliczeniach, co dotyczy między innymi operacji wykonywanych podczas uczenia sieci neuronowych.</w:t>
      </w:r>
    </w:p>
    <w:p>
      <w:pPr>
        <w:pStyle w:val="BodyText"/>
      </w:pPr>
      <w:r>
        <w:rPr>
          <w:rFonts w:ascii="Times New Roman" w:hAnsi="Times New Roman" w:eastAsia="Times New Roman" w:cs="Times New Roman"/>
        </w:rPr>
        <w:t xml:space="preserve">Zastosowanie GPU może skracać obliczenia, lecz skala korzyści zależy od konkretnego zadania. Znaczenie mają rozmiar modelu, sposób przygotowania danych oraz dostępna pamięć urządzenia, jednak nie każde rozwiązanie personalizacyjne wymaga własnego serwera wyposażonego w akcelerator. Prosty model rekomendacji może działać na innych zasobach lub jako usługa. Dobór sprzętu powinien wynikać z pomiaru rzeczywistego obciążenia systemu.</w:t>
      </w:r>
    </w:p>
    <w:p>
      <w:pPr>
        <w:pStyle w:val="BodyText"/>
      </w:pPr>
      <w:r>
        <w:rPr>
          <w:rFonts w:ascii="Times New Roman" w:hAnsi="Times New Roman" w:eastAsia="Times New Roman" w:cs="Times New Roman"/>
        </w:rPr>
        <w:t xml:space="preserve">Rozwijane są również wyspecjalizowane układy przeznaczone do operacji związanych z uczeniem maszynowym. Przykładem są procesory tensorowe TPU, opisane przez Jouppiego i współautorów (Jouppi et al. 2017). Ich konstrukcję dopasowano do określonych obliczeń wykonywanych przez sieci neuronowe. Pokazuje to rosnące znaczenie sprzętu projektowanego pod konkretne grupy zadań, nie oznacza jednak, że TPU stanowi konieczny element każdego sklepu korzystającego z AI.</w:t>
      </w:r>
    </w:p>
    <w:p>
      <w:pPr>
        <w:pStyle w:val="BodyText"/>
      </w:pPr>
      <w:r>
        <w:rPr>
          <w:rFonts w:ascii="Times New Roman" w:hAnsi="Times New Roman" w:eastAsia="Times New Roman" w:cs="Times New Roman"/>
        </w:rPr>
        <w:t xml:space="preserve">Ważną rolę odgrywa chmura obliczeniowa, pozwalająca korzystać z zasobów udostępnianych jako usługa. Definicja NIST wskazuje między innymi dostęp na żądanie oraz elastyczność zasobów (Mell i Grance 2011). Przedsiębiorstwo może dzięki temu dostosowywać wykorzystanie infrastruktury do bieżącego zapotrzebowania, ale nie musi samodzielnie utrzymywać całego zaplecza technicznego potrzebnego do prowadzenia obliczeń. Nadal odpowiada jednak za właściwe skonfigurowanie usług i kontrolowanie kosztów.</w:t>
      </w:r>
    </w:p>
    <w:p>
      <w:pPr>
        <w:pStyle w:val="BodyText"/>
      </w:pPr>
      <w:r>
        <w:rPr>
          <w:rFonts w:ascii="Times New Roman" w:hAnsi="Times New Roman" w:eastAsia="Times New Roman" w:cs="Times New Roman"/>
        </w:rPr>
        <w:t xml:space="preserve">W sklepie internetowym obciążenie może zmieniać się zależnie od sezonu lub promocji. Elastyczna infrastruktura ułatwia obsługę okresów zwiększonego zainteresowania produktami. Rozliczenie usług wymaga jednak uwzględnienia transferu danych, przechowywania informacji i liczby zapytań. Niska cena pojedynczego wywołania modelu może dawać znaczny koszt przy dużym ruchu, dlatego opłacalność należy szacować dla całego procesu, a nie jednej operacji.</w:t>
      </w:r>
    </w:p>
    <w:p>
      <w:pPr>
        <w:pStyle w:val="BodyText"/>
      </w:pPr>
      <w:r>
        <w:rPr>
          <w:rFonts w:ascii="Times New Roman" w:hAnsi="Times New Roman" w:eastAsia="Times New Roman" w:cs="Times New Roman"/>
        </w:rPr>
        <w:t xml:space="preserve">Tworzenie modeli wspierają również biblioteki i środowiska programistyczne. TensorFlow oraz PyTorch dostarczają narzędzi do definiowania i wykonywania obliczeń (Abadi et al. 2016, Paszke et al. 2019). Ułatwiają pracę nad modelami, lecz nie zastępują przygotowania danych i oceny wyników. Informacje projektowe są dostępne odpowiednio na stronach tensorflow.org oraz pytorch.org. Wykorzystanie biblioteki nie jest jeszcze dowodem jakości stworzonego z jej pomocą systemu.</w:t>
      </w:r>
    </w:p>
    <w:p>
      <w:pPr>
        <w:pStyle w:val="BodyText"/>
      </w:pPr>
      <w:r>
        <w:rPr>
          <w:rFonts w:ascii="Times New Roman" w:hAnsi="Times New Roman" w:eastAsia="Times New Roman" w:cs="Times New Roman"/>
        </w:rPr>
        <w:t xml:space="preserve">Znaczenie ma także integracja infrastruktury z codziennym działaniem przedsiębiorstwa. Model potrzebuje dostępu do aktualnego katalogu oraz informacji o dostępności produktów. Wynik powinien dotrzeć do witryny w czasie akceptowalnym dla użytkownika. Nawet trafna rekomendacja straci wartość, jeśli znacznie opóźni otwarcie strony. Ocena technologii powinna więc obejmować cały przepływ informacji, od danych do kontaktu z klientem.</w:t>
      </w:r>
    </w:p>
    <w:bookmarkEnd w:id="24"/>
    <w:bookmarkStart w:id="25" w:name="Xbaf5b04095e876142e3a31daa4589f7f1d6f8ca"/>
    <w:p>
      <w:pPr>
        <w:pStyle w:val="Heading2"/>
      </w:pPr>
      <w:r>
        <w:rPr>
          <w:rFonts w:ascii="Times New Roman" w:hAnsi="Times New Roman" w:eastAsia="Times New Roman" w:cs="Times New Roman"/>
        </w:rPr>
        <w:t xml:space="preserve">1.4. Sieci neuronowe, transformery i modele generatywne</w:t>
      </w:r>
    </w:p>
    <w:p>
      <w:pPr>
        <w:pStyle w:val="FirstParagraph"/>
      </w:pPr>
      <w:r>
        <w:rPr>
          <w:rFonts w:ascii="Times New Roman" w:hAnsi="Times New Roman" w:eastAsia="Times New Roman" w:cs="Times New Roman"/>
        </w:rPr>
        <w:t xml:space="preserve">Uczenie głębokie jest grupą metod wykorzystujących wielowarstwowe sieci neuronowe do analizy danych. Kolejne warstwy przekształcają informacje, tworząc reprezentacje przydatne przy realizacji określonego zadania. W analizie obrazu mogą one pomagać rozpoznawać cechy widocznych produktów. W analizie tekstu wspierają przetwarzanie zależności występujących między słowami. Rozwój tych metod opisują LeCun, Bengio i Hinton (LeCun et al. 2015).</w:t>
      </w:r>
    </w:p>
    <w:p>
      <w:pPr>
        <w:pStyle w:val="BodyText"/>
      </w:pPr>
      <w:r>
        <w:rPr>
          <w:rFonts w:ascii="Times New Roman" w:hAnsi="Times New Roman" w:eastAsia="Times New Roman" w:cs="Times New Roman"/>
        </w:rPr>
        <w:t xml:space="preserve">Przykładem zastosowania w sklepie może być wyszukiwanie produktów podobnych do przesłanej fotografii. System porównuje cechy obrazu z reprezentacjami fotografii dostępnych w katalogu. Podobieństwo wizualne nie musi jednak oznaczać zgodności rozmiaru, materiału czy przeznaczenia, dlatego wynik analizy obrazu powinien być łączony z danymi opisującymi produkt. Dopiero taki zestaw informacji może ułatwiać podjęcie praktycznej decyzji zakupowej.</w:t>
      </w:r>
    </w:p>
    <w:p>
      <w:pPr>
        <w:pStyle w:val="BodyText"/>
      </w:pPr>
      <w:r>
        <w:rPr>
          <w:rFonts w:ascii="Times New Roman" w:hAnsi="Times New Roman" w:eastAsia="Times New Roman" w:cs="Times New Roman"/>
        </w:rPr>
        <w:t xml:space="preserve">Istotną zmianę w przetwarzaniu języka przyniosła architektura transformera. Jej opis przedstawili Vaswani i współautorzy w pracy poświęconej mechanizmowi uwagi (Vaswani et al. 2017). Mechanizm ten pozwala uwzględniać związki między elementami przetwarzanej sekwencji. Znaczenie słowa może być oceniane z uwzględnieniem pozostałych części wypowiedzi. Ułatwia to tworzenie reprezentacji potrzebnych między innymi podczas przetwarzania zapytań tekstowych.</w:t>
      </w:r>
    </w:p>
    <w:p>
      <w:pPr>
        <w:pStyle w:val="BodyText"/>
      </w:pPr>
      <w:r>
        <w:rPr>
          <w:rFonts w:ascii="Times New Roman" w:hAnsi="Times New Roman" w:eastAsia="Times New Roman" w:cs="Times New Roman"/>
        </w:rPr>
        <w:t xml:space="preserve">Modele generatywne mogą tworzyć tekst, obrazy lub inne rodzaje treści. W handlu internetowym wykorzystuje się je między innymi do prowadzenia rozmów, a klient może opisać potrzebę zwykłym językiem, zamiast wybierać wiele oddzielnych filtrów. System interpretuje wypowiedź i przygotowuje odpowiedź dopasowaną do dostępnego kontekstu. Jakość odpowiedzi zależy jednak również od informacji, którymi model rzeczywiście dysponuje.</w:t>
      </w:r>
    </w:p>
    <w:p>
      <w:pPr>
        <w:pStyle w:val="BodyText"/>
      </w:pPr>
      <w:r>
        <w:rPr>
          <w:rFonts w:ascii="Times New Roman" w:hAnsi="Times New Roman" w:eastAsia="Times New Roman" w:cs="Times New Roman"/>
        </w:rPr>
        <w:t xml:space="preserve">Płynność wypowiedzi nie stanowi gwarancji prawdziwości podanych informacji, a model może wygenerować nieistniejącą cechę produktu lub błędnie opisać zasady zwrotu. W zastosowaniu sklepowym potrzebne jest więc powiązanie odpowiedzi z aktualnymi dokumentami. Wykorzystywane materiały mogą obejmować katalog, regulamin oraz informacje o konkretnym zamówieniu. Takie ograniczenie zmniejsza zakres swobodnego generowania, choć nie usuwa wszystkich możliwych błędów.</w:t>
      </w:r>
    </w:p>
    <w:p>
      <w:pPr>
        <w:pStyle w:val="BodyText"/>
      </w:pPr>
      <w:r>
        <w:rPr>
          <w:rFonts w:ascii="Times New Roman" w:hAnsi="Times New Roman" w:eastAsia="Times New Roman" w:cs="Times New Roman"/>
        </w:rPr>
        <w:t xml:space="preserve">W praktyce należy rozdzielać zadania językowe od podejmowania decyzji wywołujących skutki finansowe, a model może przygotować odpowiedź dotyczącą zwrotu, ale zatwierdzenie operacji wymaga kontroli uprawnień. Podobnie sugestia produktu nie powinna samodzielnie zmieniać zawartości opłaconego zamówienia. Możliwości techniczne trzeba połączyć z jasno określoną odpowiedzialnością za działanie systemu, dzięki czemu AI może wspierać obsługę, zachowując przewidywalność procesu zakupowego.</w:t>
      </w:r>
    </w:p>
    <w:bookmarkEnd w:id="25"/>
    <w:bookmarkEnd w:id="26"/>
    <w:bookmarkStart w:id="31" w:name="personalizacja-w-marketingu-cyfrowym"/>
    <w:p>
      <w:pPr>
        <w:pStyle w:val="Heading1"/>
      </w:pPr>
      <w:r>
        <w:rPr>
          <w:rFonts w:ascii="Times New Roman" w:hAnsi="Times New Roman" w:eastAsia="Times New Roman" w:cs="Times New Roman"/>
        </w:rPr>
        <w:t xml:space="preserve">2. PERSONALIZACJA W MARKETINGU CYFROWYM</w:t>
      </w:r>
    </w:p>
    <w:bookmarkStart w:id="27" w:name="Xd9b9767ed1bafe16e4747e8f7b586ac7d90fbf8"/>
    <w:p>
      <w:pPr>
        <w:pStyle w:val="Heading2"/>
      </w:pPr>
      <w:r>
        <w:rPr>
          <w:rFonts w:ascii="Times New Roman" w:hAnsi="Times New Roman" w:eastAsia="Times New Roman" w:cs="Times New Roman"/>
        </w:rPr>
        <w:t xml:space="preserve">2.1. Rozwój handlu internetowego i przebieg procesu zakupowego</w:t>
      </w:r>
    </w:p>
    <w:p>
      <w:pPr>
        <w:pStyle w:val="FirstParagraph"/>
      </w:pPr>
      <w:r>
        <w:rPr>
          <w:rFonts w:ascii="Times New Roman" w:hAnsi="Times New Roman" w:eastAsia="Times New Roman" w:cs="Times New Roman"/>
        </w:rPr>
        <w:t xml:space="preserve">Poszukiwanie produktu w Internecie może rozpocząć się poza stroną konkretnego sklepu. Klient korzysta z wyszukiwarki, porównywarki, mediów społecznościowych albo polecenia innej osoby. Na każdym z tych etapów otrzymuje informacje wpływające na dalszą decyzję, dlatego sama witryna sprzedażowa jest częścią szerszego otoczenia zakupowego. Jej skuteczność zależy także od zgodności informacji przekazywanych w pozostałych kanałach.</w:t>
      </w:r>
    </w:p>
    <w:p>
      <w:pPr>
        <w:pStyle w:val="BodyText"/>
      </w:pPr>
      <w:r>
        <w:rPr>
          <w:rFonts w:ascii="Times New Roman" w:hAnsi="Times New Roman" w:eastAsia="Times New Roman" w:cs="Times New Roman"/>
        </w:rPr>
        <w:t xml:space="preserve">OECD opisuje handel elektroniczny jako obszar obejmujący różne modele i uczestników rynku (OECD 2019). Obok sklepów prowadzonych przez pojedyncze przedsiębiorstwa funkcjonują platformy skupiające wielu sprzedawców. W takim modelu klient ocenia zarówno platformę, jak też konkretnego dostawcę produktu. Zadowolenie z wyszukiwania może współistnieć z niezadowoleniem dotyczącym realizacji zamówienia. Personalizacja interfejsu nie usuwa problemów związanych z jakością pozostałych etapów obsługi.</w:t>
      </w:r>
    </w:p>
    <w:p>
      <w:pPr>
        <w:pStyle w:val="BodyText"/>
      </w:pPr>
      <w:r>
        <w:rPr>
          <w:rFonts w:ascii="Times New Roman" w:hAnsi="Times New Roman" w:eastAsia="Times New Roman" w:cs="Times New Roman"/>
        </w:rPr>
        <w:t xml:space="preserve">Proces zakupowy można rozpatrywać od rozpoznania potrzeby do oceny otrzymanego produktu. Początkowo klient może znać jedynie problem wymagający rozwiązania, bez określenia konkretnej marki. Następnie porównuje dostępne możliwości, analizując ceny, cechy oraz warunki dostawy, a dopiero później wybiera ofertę i podejmuje decyzję o złożeniu zamówienia. Po zakupie ocenia zgodność produktu z oczekiwaniami oraz jakość kontaktu ze sprzedawcą.</w:t>
      </w:r>
    </w:p>
    <w:p>
      <w:pPr>
        <w:pStyle w:val="BodyText"/>
      </w:pPr>
      <w:r>
        <w:rPr>
          <w:rFonts w:ascii="Times New Roman" w:hAnsi="Times New Roman" w:eastAsia="Times New Roman" w:cs="Times New Roman"/>
        </w:rPr>
        <w:t xml:space="preserve">W rzeczywistości proces ten nie zawsze przebiega w sposób uporządkowany i liniowy, a użytkownik może wracać do wcześniejszych etapów, zmieniać urządzenie albo odkładać decyzję. Czasami porównuje produkty online, lecz kupuje je później w sklepie stacjonarnym. Innym razem ogląda produkt na miejscu, a zamówienie składa przez Internet, dlatego pojedyncza sesja na stronie nie przedstawia całej relacji z klientem.</w:t>
      </w:r>
    </w:p>
    <w:p>
      <w:pPr>
        <w:pStyle w:val="BodyText"/>
      </w:pPr>
      <w:r>
        <w:rPr>
          <w:rFonts w:ascii="Times New Roman" w:hAnsi="Times New Roman" w:eastAsia="Times New Roman" w:cs="Times New Roman"/>
        </w:rPr>
        <w:t xml:space="preserve">Lemon i Verhoef podkreślają znaczenie doświadczenia budowanego przez różne punkty kontaktu (Lemon i Verhoef 2016), przy czym obejmuje ono etapy poprzedzające zakup, sam zakup oraz późniejsze interakcje. Z tej perspektywy personalizacja powinna wspierać ciągłość doświadczenia, a nie jedynie pojedynczy komunikat. Propozycja zakupu kolejnego produktu może być niewłaściwa, gdy poprzednia reklamacja pozostaje nierozwiązana. Znajomość historii kontaktu powinna zatem pomagać również w powstrzymywaniu zbędnych działań sprzedażowych.</w:t>
      </w:r>
    </w:p>
    <w:p>
      <w:pPr>
        <w:pStyle w:val="BodyText"/>
      </w:pPr>
      <w:r>
        <w:rPr>
          <w:rFonts w:ascii="Times New Roman" w:hAnsi="Times New Roman" w:eastAsia="Times New Roman" w:cs="Times New Roman"/>
        </w:rPr>
        <w:t xml:space="preserve">Poszczególne etapy wiążą się z odmiennym rodzajem potrzeb informacyjnych. Przed zakupem ważne mogą być porównanie parametrów i wyjaśnienie różnic pomiędzy wariantami. Podczas finalizacji zamówienia większe znaczenie mają koszty dostawy oraz przewidywany termin odbioru. Później klient potrzebuje informacji o użytkowaniu, zwrocie albo zgłoszeniu problemu. Dopasowanie treści powinno odnosić się do tak rozpoznanego zadania.</w:t>
      </w:r>
    </w:p>
    <w:p>
      <w:pPr>
        <w:pStyle w:val="BodyText"/>
      </w:pPr>
      <w:r>
        <w:rPr>
          <w:rFonts w:ascii="Times New Roman" w:hAnsi="Times New Roman" w:eastAsia="Times New Roman" w:cs="Times New Roman"/>
        </w:rPr>
        <w:t xml:space="preserve">Tabela 1 przedstawia potrzeby klienta oraz przykładowe sposoby dopasowania na kolejnych etapach relacji.</w:t>
      </w:r>
    </w:p>
    <w:p>
      <w:pPr>
        <w:pStyle w:val="TableCaption"/>
      </w:pPr>
      <w:r>
        <w:rPr>
          <w:rFonts w:ascii="Times New Roman" w:hAnsi="Times New Roman" w:eastAsia="Times New Roman" w:cs="Times New Roman"/>
          <w:b/>
          <w:bCs/>
        </w:rPr>
        <w:t xml:space="preserve">Tabela 1. Personalizacja na kolejnych etapach relacji z klientem</w:t>
      </w:r>
    </w:p>
    <w:tbl>
      <w:tblPr>
        <w:tblStyle w:val="Table"/>
        <w:tblW w:type="pct" w:w="5000"/>
        <w:jc w:val="center"/>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1417"/>
        <w:gridCol w:w="1984"/>
        <w:gridCol w:w="2551"/>
        <w:gridCol w:w="2835"/>
      </w:tblGrid>
      <w:tr>
        <w:trPr>
          <w:tblHeader w:val="on"/>
          <w:cantSplit/>
        </w:trPr>
        <w:tc>
          <w:tcPr>
            <w:tcW w:type="dxa" w:w="1417"/>
          </w:tcPr>
          <w:p>
            <w:pPr>
              <w:pStyle w:val="Compact"/>
              <w:spacing w:before="0" w:after="0" w:line="240" w:lineRule="auto"/>
              <w:ind w:firstLine="0"/>
              <w:jc w:val="center"/>
            </w:pPr>
            <w:r>
              <w:rPr>
                <w:rFonts w:ascii="Times New Roman" w:hAnsi="Times New Roman"/>
                <w:b/>
                <w:sz w:val="20"/>
              </w:rPr>
              <w:t xml:space="preserve">Etap</w:t>
            </w:r>
          </w:p>
        </w:tc>
        <w:tc>
          <w:tcPr>
            <w:tcW w:type="dxa" w:w="1984"/>
          </w:tcPr>
          <w:p>
            <w:pPr>
              <w:pStyle w:val="Compact"/>
              <w:spacing w:before="0" w:after="0" w:line="240" w:lineRule="auto"/>
              <w:ind w:firstLine="0"/>
              <w:jc w:val="center"/>
            </w:pPr>
            <w:r>
              <w:rPr>
                <w:rFonts w:ascii="Times New Roman" w:hAnsi="Times New Roman"/>
                <w:b/>
                <w:sz w:val="20"/>
              </w:rPr>
              <w:t xml:space="preserve">Potrzeba odbiorcy</w:t>
            </w:r>
          </w:p>
        </w:tc>
        <w:tc>
          <w:tcPr>
            <w:tcW w:type="dxa" w:w="2551"/>
          </w:tcPr>
          <w:p>
            <w:pPr>
              <w:pStyle w:val="Compact"/>
              <w:spacing w:before="0" w:after="0" w:line="240" w:lineRule="auto"/>
              <w:ind w:firstLine="0"/>
              <w:jc w:val="center"/>
            </w:pPr>
            <w:r>
              <w:rPr>
                <w:rFonts w:ascii="Times New Roman" w:hAnsi="Times New Roman"/>
                <w:b/>
                <w:sz w:val="20"/>
              </w:rPr>
              <w:t xml:space="preserve">Możliwe dopasowanie</w:t>
            </w:r>
          </w:p>
        </w:tc>
        <w:tc>
          <w:tcPr>
            <w:tcW w:type="dxa" w:w="2835"/>
          </w:tcPr>
          <w:p>
            <w:pPr>
              <w:pStyle w:val="Compact"/>
              <w:spacing w:before="0" w:after="0" w:line="240" w:lineRule="auto"/>
              <w:ind w:firstLine="0"/>
              <w:jc w:val="center"/>
            </w:pPr>
            <w:r>
              <w:rPr>
                <w:rFonts w:ascii="Times New Roman" w:hAnsi="Times New Roman"/>
                <w:b/>
                <w:sz w:val="20"/>
              </w:rPr>
              <w:t xml:space="preserve">Ryzyko błędnego działania</w:t>
            </w:r>
          </w:p>
        </w:tc>
      </w:tr>
      <w:tr>
        <w:trPr>
          <w:cantSplit/>
        </w:trPr>
        <w:tc>
          <w:tcPr>
            <w:tcW w:type="dxa" w:w="1417"/>
          </w:tcPr>
          <w:p>
            <w:pPr>
              <w:pStyle w:val="Compact"/>
              <w:spacing w:before="0" w:after="0" w:line="240" w:lineRule="auto"/>
              <w:ind w:firstLine="0"/>
              <w:jc w:val="left"/>
            </w:pPr>
            <w:r>
              <w:rPr>
                <w:rFonts w:ascii="Times New Roman" w:hAnsi="Times New Roman"/>
                <w:b w:val="0"/>
                <w:sz w:val="20"/>
              </w:rPr>
              <w:t xml:space="preserve">Rozpoznanie potrzeby</w:t>
            </w:r>
          </w:p>
        </w:tc>
        <w:tc>
          <w:tcPr>
            <w:tcW w:type="dxa" w:w="1984"/>
          </w:tcPr>
          <w:p>
            <w:pPr>
              <w:pStyle w:val="Compact"/>
              <w:spacing w:before="0" w:after="0" w:line="240" w:lineRule="auto"/>
              <w:ind w:firstLine="0"/>
              <w:jc w:val="left"/>
            </w:pPr>
            <w:r>
              <w:rPr>
                <w:rFonts w:ascii="Times New Roman" w:hAnsi="Times New Roman"/>
                <w:b w:val="0"/>
                <w:sz w:val="20"/>
              </w:rPr>
              <w:t xml:space="preserve">Określenie odpowiedniej kategorii</w:t>
            </w:r>
          </w:p>
        </w:tc>
        <w:tc>
          <w:tcPr>
            <w:tcW w:type="dxa" w:w="2551"/>
          </w:tcPr>
          <w:p>
            <w:pPr>
              <w:pStyle w:val="Compact"/>
              <w:spacing w:before="0" w:after="0" w:line="240" w:lineRule="auto"/>
              <w:ind w:firstLine="0"/>
              <w:jc w:val="left"/>
            </w:pPr>
            <w:r>
              <w:rPr>
                <w:rFonts w:ascii="Times New Roman" w:hAnsi="Times New Roman"/>
                <w:b w:val="0"/>
                <w:sz w:val="20"/>
              </w:rPr>
              <w:t xml:space="preserve">Pytania pomocnicze i dobór treści</w:t>
            </w:r>
          </w:p>
        </w:tc>
        <w:tc>
          <w:tcPr>
            <w:tcW w:type="dxa" w:w="2835"/>
          </w:tcPr>
          <w:p>
            <w:pPr>
              <w:pStyle w:val="Compact"/>
              <w:spacing w:before="0" w:after="0" w:line="240" w:lineRule="auto"/>
              <w:ind w:firstLine="0"/>
              <w:jc w:val="left"/>
            </w:pPr>
            <w:r>
              <w:rPr>
                <w:rFonts w:ascii="Times New Roman" w:hAnsi="Times New Roman"/>
                <w:b w:val="0"/>
                <w:sz w:val="20"/>
              </w:rPr>
              <w:t xml:space="preserve">Zbyt wczesne ograniczenie wyboru</w:t>
            </w:r>
          </w:p>
        </w:tc>
      </w:tr>
      <w:tr>
        <w:trPr>
          <w:cantSplit/>
        </w:trPr>
        <w:tc>
          <w:tcPr>
            <w:tcW w:type="dxa" w:w="1417"/>
          </w:tcPr>
          <w:p>
            <w:pPr>
              <w:pStyle w:val="Compact"/>
              <w:spacing w:before="0" w:after="0" w:line="240" w:lineRule="auto"/>
              <w:ind w:firstLine="0"/>
              <w:jc w:val="left"/>
            </w:pPr>
            <w:r>
              <w:rPr>
                <w:rFonts w:ascii="Times New Roman" w:hAnsi="Times New Roman"/>
                <w:b w:val="0"/>
                <w:sz w:val="20"/>
              </w:rPr>
              <w:t xml:space="preserve">Porównanie ofert</w:t>
            </w:r>
          </w:p>
        </w:tc>
        <w:tc>
          <w:tcPr>
            <w:tcW w:type="dxa" w:w="1984"/>
          </w:tcPr>
          <w:p>
            <w:pPr>
              <w:pStyle w:val="Compact"/>
              <w:spacing w:before="0" w:after="0" w:line="240" w:lineRule="auto"/>
              <w:ind w:firstLine="0"/>
              <w:jc w:val="left"/>
            </w:pPr>
            <w:r>
              <w:rPr>
                <w:rFonts w:ascii="Times New Roman" w:hAnsi="Times New Roman"/>
                <w:b w:val="0"/>
                <w:sz w:val="20"/>
              </w:rPr>
              <w:t xml:space="preserve">Zrozumienie różnic</w:t>
            </w:r>
          </w:p>
        </w:tc>
        <w:tc>
          <w:tcPr>
            <w:tcW w:type="dxa" w:w="2551"/>
          </w:tcPr>
          <w:p>
            <w:pPr>
              <w:pStyle w:val="Compact"/>
              <w:spacing w:before="0" w:after="0" w:line="240" w:lineRule="auto"/>
              <w:ind w:firstLine="0"/>
              <w:jc w:val="left"/>
            </w:pPr>
            <w:r>
              <w:rPr>
                <w:rFonts w:ascii="Times New Roman" w:hAnsi="Times New Roman"/>
                <w:b w:val="0"/>
                <w:sz w:val="20"/>
              </w:rPr>
              <w:t xml:space="preserve">Kolejność produktów i zestawienie cech</w:t>
            </w:r>
          </w:p>
        </w:tc>
        <w:tc>
          <w:tcPr>
            <w:tcW w:type="dxa" w:w="2835"/>
          </w:tcPr>
          <w:p>
            <w:pPr>
              <w:pStyle w:val="Compact"/>
              <w:spacing w:before="0" w:after="0" w:line="240" w:lineRule="auto"/>
              <w:ind w:firstLine="0"/>
              <w:jc w:val="left"/>
            </w:pPr>
            <w:r>
              <w:rPr>
                <w:rFonts w:ascii="Times New Roman" w:hAnsi="Times New Roman"/>
                <w:b w:val="0"/>
                <w:sz w:val="20"/>
              </w:rPr>
              <w:t xml:space="preserve">Promowanie marży zamiast przydatności</w:t>
            </w:r>
          </w:p>
        </w:tc>
      </w:tr>
      <w:tr>
        <w:trPr>
          <w:cantSplit/>
        </w:trPr>
        <w:tc>
          <w:tcPr>
            <w:tcW w:type="dxa" w:w="1417"/>
          </w:tcPr>
          <w:p>
            <w:pPr>
              <w:pStyle w:val="Compact"/>
              <w:spacing w:before="0" w:after="0" w:line="240" w:lineRule="auto"/>
              <w:ind w:firstLine="0"/>
              <w:jc w:val="left"/>
            </w:pPr>
            <w:r>
              <w:rPr>
                <w:rFonts w:ascii="Times New Roman" w:hAnsi="Times New Roman"/>
                <w:b w:val="0"/>
                <w:sz w:val="20"/>
              </w:rPr>
              <w:t xml:space="preserve">Zakup</w:t>
            </w:r>
          </w:p>
        </w:tc>
        <w:tc>
          <w:tcPr>
            <w:tcW w:type="dxa" w:w="1984"/>
          </w:tcPr>
          <w:p>
            <w:pPr>
              <w:pStyle w:val="Compact"/>
              <w:spacing w:before="0" w:after="0" w:line="240" w:lineRule="auto"/>
              <w:ind w:firstLine="0"/>
              <w:jc w:val="left"/>
            </w:pPr>
            <w:r>
              <w:rPr>
                <w:rFonts w:ascii="Times New Roman" w:hAnsi="Times New Roman"/>
                <w:b w:val="0"/>
                <w:sz w:val="20"/>
              </w:rPr>
              <w:t xml:space="preserve">Sprawne złożenie zamówienia</w:t>
            </w:r>
          </w:p>
        </w:tc>
        <w:tc>
          <w:tcPr>
            <w:tcW w:type="dxa" w:w="2551"/>
          </w:tcPr>
          <w:p>
            <w:pPr>
              <w:pStyle w:val="Compact"/>
              <w:spacing w:before="0" w:after="0" w:line="240" w:lineRule="auto"/>
              <w:ind w:firstLine="0"/>
              <w:jc w:val="left"/>
            </w:pPr>
            <w:r>
              <w:rPr>
                <w:rFonts w:ascii="Times New Roman" w:hAnsi="Times New Roman"/>
                <w:b w:val="0"/>
                <w:sz w:val="20"/>
              </w:rPr>
              <w:t xml:space="preserve">Informacje zgodne z aktualnym koszykiem</w:t>
            </w:r>
          </w:p>
        </w:tc>
        <w:tc>
          <w:tcPr>
            <w:tcW w:type="dxa" w:w="2835"/>
          </w:tcPr>
          <w:p>
            <w:pPr>
              <w:pStyle w:val="Compact"/>
              <w:spacing w:before="0" w:after="0" w:line="240" w:lineRule="auto"/>
              <w:ind w:firstLine="0"/>
              <w:jc w:val="left"/>
            </w:pPr>
            <w:r>
              <w:rPr>
                <w:rFonts w:ascii="Times New Roman" w:hAnsi="Times New Roman"/>
                <w:b w:val="0"/>
                <w:sz w:val="20"/>
              </w:rPr>
              <w:t xml:space="preserve">Zbędne sugestie utrudniające finalizację</w:t>
            </w:r>
          </w:p>
        </w:tc>
      </w:tr>
      <w:tr>
        <w:trPr>
          <w:cantSplit/>
        </w:trPr>
        <w:tc>
          <w:tcPr>
            <w:tcW w:type="dxa" w:w="1417"/>
          </w:tcPr>
          <w:p>
            <w:pPr>
              <w:pStyle w:val="Compact"/>
              <w:spacing w:before="0" w:after="0" w:line="240" w:lineRule="auto"/>
              <w:ind w:firstLine="0"/>
              <w:jc w:val="left"/>
            </w:pPr>
            <w:r>
              <w:rPr>
                <w:rFonts w:ascii="Times New Roman" w:hAnsi="Times New Roman"/>
                <w:b w:val="0"/>
                <w:sz w:val="20"/>
              </w:rPr>
              <w:t xml:space="preserve">Obsługa po zakupie</w:t>
            </w:r>
          </w:p>
        </w:tc>
        <w:tc>
          <w:tcPr>
            <w:tcW w:type="dxa" w:w="1984"/>
          </w:tcPr>
          <w:p>
            <w:pPr>
              <w:pStyle w:val="Compact"/>
              <w:spacing w:before="0" w:after="0" w:line="240" w:lineRule="auto"/>
              <w:ind w:firstLine="0"/>
              <w:jc w:val="left"/>
            </w:pPr>
            <w:r>
              <w:rPr>
                <w:rFonts w:ascii="Times New Roman" w:hAnsi="Times New Roman"/>
                <w:b w:val="0"/>
                <w:sz w:val="20"/>
              </w:rPr>
              <w:t xml:space="preserve">Rozwiązanie konkretnej sprawy</w:t>
            </w:r>
          </w:p>
        </w:tc>
        <w:tc>
          <w:tcPr>
            <w:tcW w:type="dxa" w:w="2551"/>
          </w:tcPr>
          <w:p>
            <w:pPr>
              <w:pStyle w:val="Compact"/>
              <w:spacing w:before="0" w:after="0" w:line="240" w:lineRule="auto"/>
              <w:ind w:firstLine="0"/>
              <w:jc w:val="left"/>
            </w:pPr>
            <w:r>
              <w:rPr>
                <w:rFonts w:ascii="Times New Roman" w:hAnsi="Times New Roman"/>
                <w:b w:val="0"/>
                <w:sz w:val="20"/>
              </w:rPr>
              <w:t xml:space="preserve">Odpowiedź uwzględniająca zamówienie</w:t>
            </w:r>
          </w:p>
        </w:tc>
        <w:tc>
          <w:tcPr>
            <w:tcW w:type="dxa" w:w="2835"/>
          </w:tcPr>
          <w:p>
            <w:pPr>
              <w:pStyle w:val="Compact"/>
              <w:spacing w:before="0" w:after="0" w:line="240" w:lineRule="auto"/>
              <w:ind w:firstLine="0"/>
              <w:jc w:val="left"/>
            </w:pPr>
            <w:r>
              <w:rPr>
                <w:rFonts w:ascii="Times New Roman" w:hAnsi="Times New Roman"/>
                <w:b w:val="0"/>
                <w:sz w:val="20"/>
              </w:rPr>
              <w:t xml:space="preserve">Błędne rozpoznanie uprawnień klienta</w:t>
            </w:r>
          </w:p>
        </w:tc>
      </w:tr>
      <w:tr>
        <w:trPr>
          <w:cantSplit/>
        </w:trPr>
        <w:tc>
          <w:tcPr>
            <w:tcW w:type="dxa" w:w="1417"/>
          </w:tcPr>
          <w:p>
            <w:pPr>
              <w:pStyle w:val="Compact"/>
              <w:spacing w:before="0" w:after="0" w:line="240" w:lineRule="auto"/>
              <w:ind w:firstLine="0"/>
              <w:jc w:val="left"/>
            </w:pPr>
            <w:r>
              <w:rPr>
                <w:rFonts w:ascii="Times New Roman" w:hAnsi="Times New Roman"/>
                <w:b w:val="0"/>
                <w:sz w:val="20"/>
              </w:rPr>
              <w:t xml:space="preserve">Kolejny kontakt</w:t>
            </w:r>
          </w:p>
        </w:tc>
        <w:tc>
          <w:tcPr>
            <w:tcW w:type="dxa" w:w="1984"/>
          </w:tcPr>
          <w:p>
            <w:pPr>
              <w:pStyle w:val="Compact"/>
              <w:spacing w:before="0" w:after="0" w:line="240" w:lineRule="auto"/>
              <w:ind w:firstLine="0"/>
              <w:jc w:val="left"/>
            </w:pPr>
            <w:r>
              <w:rPr>
                <w:rFonts w:ascii="Times New Roman" w:hAnsi="Times New Roman"/>
                <w:b w:val="0"/>
                <w:sz w:val="20"/>
              </w:rPr>
              <w:t xml:space="preserve">Utrzymanie użytecznej relacji</w:t>
            </w:r>
          </w:p>
        </w:tc>
        <w:tc>
          <w:tcPr>
            <w:tcW w:type="dxa" w:w="2551"/>
          </w:tcPr>
          <w:p>
            <w:pPr>
              <w:pStyle w:val="Compact"/>
              <w:spacing w:before="0" w:after="0" w:line="240" w:lineRule="auto"/>
              <w:ind w:firstLine="0"/>
              <w:jc w:val="left"/>
            </w:pPr>
            <w:r>
              <w:rPr>
                <w:rFonts w:ascii="Times New Roman" w:hAnsi="Times New Roman"/>
                <w:b w:val="0"/>
                <w:sz w:val="20"/>
              </w:rPr>
              <w:t xml:space="preserve">Dopasowana częstotliwość komunikacji</w:t>
            </w:r>
          </w:p>
        </w:tc>
        <w:tc>
          <w:tcPr>
            <w:tcW w:type="dxa" w:w="2835"/>
          </w:tcPr>
          <w:p>
            <w:pPr>
              <w:pStyle w:val="Compact"/>
              <w:spacing w:before="0" w:after="0" w:line="240" w:lineRule="auto"/>
              <w:ind w:firstLine="0"/>
              <w:jc w:val="left"/>
            </w:pPr>
            <w:r>
              <w:rPr>
                <w:rFonts w:ascii="Times New Roman" w:hAnsi="Times New Roman"/>
                <w:b w:val="0"/>
                <w:sz w:val="20"/>
              </w:rPr>
              <w:t xml:space="preserve">Natarczywość i spadek zaufania</w:t>
            </w:r>
          </w:p>
        </w:tc>
      </w:tr>
    </w:tbl>
    <w:p>
      <w:pPr>
        <w:pStyle w:val="TableSource"/>
      </w:pPr>
      <w:r>
        <w:rPr>
          <w:rFonts w:ascii="Times New Roman" w:hAnsi="Times New Roman" w:eastAsia="Times New Roman" w:cs="Times New Roman"/>
        </w:rPr>
        <w:t xml:space="preserve">Źródło: opracowanie własne na podstawie Lemon i Verhoefa (2016).</w:t>
      </w:r>
    </w:p>
    <w:p>
      <w:pPr>
        <w:pStyle w:val="BodyText"/>
      </w:pPr>
      <w:r>
        <w:rPr>
          <w:rFonts w:ascii="Times New Roman" w:hAnsi="Times New Roman" w:eastAsia="Times New Roman" w:cs="Times New Roman"/>
        </w:rPr>
        <w:t xml:space="preserve">Zestawienie pokazuje, że ten sam mechanizm nie będzie właściwy w każdej sytuacji. Odbiorca poszukujący inspiracji może doceniać różnorodne propozycje związane z jego zainteresowaniami. Osoba zgłaszająca uszkodzenie produktu oczekuje przede wszystkim sprawnego rozwiązania konkretnego problemu. W drugim przypadku dodatkowa oferta może zostać odebrana jako brak zainteresowania reklamacją. Wartość personalizacji zależy więc od właściwego rozpoznania momentu kontaktu.</w:t>
      </w:r>
    </w:p>
    <w:bookmarkEnd w:id="27"/>
    <w:bookmarkStart w:id="28" w:name="X16728e38f6b28d0713de30249e34562b06a3056"/>
    <w:p>
      <w:pPr>
        <w:pStyle w:val="Heading2"/>
      </w:pPr>
      <w:r>
        <w:rPr>
          <w:rFonts w:ascii="Times New Roman" w:hAnsi="Times New Roman" w:eastAsia="Times New Roman" w:cs="Times New Roman"/>
        </w:rPr>
        <w:t xml:space="preserve">2.2. Rola personalizacji w zarządzaniu relacjami z klientami</w:t>
      </w:r>
    </w:p>
    <w:p>
      <w:pPr>
        <w:pStyle w:val="FirstParagraph"/>
      </w:pPr>
      <w:r>
        <w:rPr>
          <w:rFonts w:ascii="Times New Roman" w:hAnsi="Times New Roman" w:eastAsia="Times New Roman" w:cs="Times New Roman"/>
        </w:rPr>
        <w:t xml:space="preserve">Personalizacja jest jednym ze sposobów dostosowywania działań marketingowych do odbiorców przedsiębiorstwa. Jej celem może być ułatwienie wyboru, poprawa komunikacji albo podtrzymanie zainteresowania ofertą, ale nie należy traktować jej jako samodzielnej strategii rozwiązującej wszystkie problemy sklepu. Dopasowany komunikat nie zastąpi dobrej jakości produktu i terminowej dostawy. Powinien wspierać szerszy sposób zarządzania relacjami z klientami.</w:t>
      </w:r>
    </w:p>
    <w:p>
      <w:pPr>
        <w:pStyle w:val="BodyText"/>
      </w:pPr>
      <w:r>
        <w:rPr>
          <w:rFonts w:ascii="Times New Roman" w:hAnsi="Times New Roman" w:eastAsia="Times New Roman" w:cs="Times New Roman"/>
        </w:rPr>
        <w:t xml:space="preserve">Podejście CRM obejmuje procesy związane z budowaniem i utrzymywaniem takich relacji, jednak nie jest to wyłącznie nazwa programu przechowującego kontakty oraz historię transakcji. Payne i Frow przedstawiają CRM jako podejście wymagające powiązania różnych procesów organizacyjnych (Payne i Frow 2005). Obejmuje ono między innymi tworzenie wartości oraz zarządzanie informacją. System informatyczny wspiera te działania, ale nie określa samodzielnie ich celu.</w:t>
      </w:r>
    </w:p>
    <w:p>
      <w:pPr>
        <w:pStyle w:val="BodyText"/>
      </w:pPr>
      <w:r>
        <w:rPr>
          <w:rFonts w:ascii="Times New Roman" w:hAnsi="Times New Roman" w:eastAsia="Times New Roman" w:cs="Times New Roman"/>
        </w:rPr>
        <w:t xml:space="preserve">W praktyce personalizacja wymaga połączenia wiedzy o kliencie z odpowiednią decyzją działania. Informacja o wcześniejszym zakupie może pomóc dobrać akcesorium pasujące do produktu. Wiadomość o nierozwiązanej reklamacji powinna natomiast wpływać na sposób prowadzenia kolejnego kontaktu. Samo zgromadzenie danych nie gwarantuje ich właściwego wykorzystania przez przedsiębiorstwo, dlatego potrzebne są reguły określające, kiedy dane rzeczywiście służą klientowi.</w:t>
      </w:r>
    </w:p>
    <w:p>
      <w:pPr>
        <w:pStyle w:val="BodyText"/>
      </w:pPr>
      <w:r>
        <w:rPr>
          <w:rFonts w:ascii="Times New Roman" w:hAnsi="Times New Roman" w:eastAsia="Times New Roman" w:cs="Times New Roman"/>
        </w:rPr>
        <w:t xml:space="preserve">Należy odróżnić personalizację od segmentacji odbiorców. Segmentacja polega na podziale klientów według wybranych cech lub podobnych zachowań. Jedną grupę mogą tworzyć osoby kupujące regularnie produkty określonej kategorii. Skierowanie wspólnej oferty do takiej grupy nie musi jeszcze oznaczać indywidualnego dopasowania. Personalizacja może uwzględniać bardziej szczegółowy kontekst konkretnego kontaktu.</w:t>
      </w:r>
    </w:p>
    <w:p>
      <w:pPr>
        <w:pStyle w:val="BodyText"/>
      </w:pPr>
      <w:r>
        <w:rPr>
          <w:rFonts w:ascii="Times New Roman" w:hAnsi="Times New Roman" w:eastAsia="Times New Roman" w:cs="Times New Roman"/>
        </w:rPr>
        <w:t xml:space="preserve">Odrębnym rozwiązaniem jest dostosowanie dokonywane samodzielnie przez użytkownika. Klient może wybrać ulubione kategorie, rozmiar odzieży albo częstotliwość otrzymywania wiadomości, dzięki czemu preferencja jest zadeklarowana, zamiast zostać wyłącznie przewidziana przez algorytm. Oba podejścia można łączyć, zachowując możliwość poprawienia błędnego założenia systemu. Deklaracja użytkownika może też pomóc ograniczyć problem braku wcześniejszych danych.</w:t>
      </w:r>
    </w:p>
    <w:p>
      <w:pPr>
        <w:pStyle w:val="BodyText"/>
      </w:pPr>
      <w:r>
        <w:rPr>
          <w:rFonts w:ascii="Times New Roman" w:hAnsi="Times New Roman" w:eastAsia="Times New Roman" w:cs="Times New Roman"/>
        </w:rPr>
        <w:t xml:space="preserve">Korzyści przedsiębiorstwa i klienta nie zawsze są jednakowe. Sklep może dążyć do zwiększania wartości koszyka, podczas gdy klient chce ograniczyć wydatki. Zbyt silne ukierunkowanie rekomendacji na marżę może pogarszać trafność otrzymywanych propozycji. Z kolei całkowite pominięcie kosztów prowadzenia działalności utrudnia utrzymanie usługi, dlatego potrzebne jest jawne określenie kompromisów podczas projektowania sposobu rekomendowania produktów.</w:t>
      </w:r>
    </w:p>
    <w:p>
      <w:pPr>
        <w:pStyle w:val="BodyText"/>
      </w:pPr>
      <w:r>
        <w:rPr>
          <w:rFonts w:ascii="Times New Roman" w:hAnsi="Times New Roman" w:eastAsia="Times New Roman" w:cs="Times New Roman"/>
        </w:rPr>
        <w:t xml:space="preserve">Praktyczne znaczenie ma również częstotliwość kontaktu. Dopasowanie tematu wiadomości nie usprawiedliwia wysyłania jej zbyt często. Kilka trafnych propozycji może pomagać, natomiast codzienne przypomnienia mogą wywoływać zniecierpliwienie. Ocena personalizacji powinna obejmować także rezygnacje z komunikacji i zgłoszone skargi. W ten sposób uwzględnia się koszty relacyjne niewidoczne w samym wskaźniku otwarć.</w:t>
      </w:r>
    </w:p>
    <w:p>
      <w:pPr>
        <w:pStyle w:val="BodyText"/>
      </w:pPr>
      <w:r>
        <w:rPr>
          <w:rFonts w:ascii="Times New Roman" w:hAnsi="Times New Roman" w:eastAsia="Times New Roman" w:cs="Times New Roman"/>
        </w:rPr>
        <w:t xml:space="preserve">Przyjęta w pracy perspektywa zakłada podporządkowanie personalizacji rzeczywistym zadaniom odbiorcy. Wartość rozwiązania ujawnia się wtedy, gdy zmniejsza wysiłek albo poprawia jakość informacji. Dodatkowa sprzedaż może towarzyszyć takiej zmianie, ale nie stanowi jej jedynego uzasadnienia. Odpowiednie dopasowanie powinno również pozwalać zakończyć kontakt po rozwiązaniu sprawy. Utrzymywanie użytkownika w interfejsie za wszelką cenę nie jest tożsame z dobrą obsługą.</w:t>
      </w:r>
    </w:p>
    <w:bookmarkEnd w:id="28"/>
    <w:bookmarkStart w:id="29" w:name="metody-i-narzędzia-personalizacji"/>
    <w:p>
      <w:pPr>
        <w:pStyle w:val="Heading2"/>
      </w:pPr>
      <w:r>
        <w:rPr>
          <w:rFonts w:ascii="Times New Roman" w:hAnsi="Times New Roman" w:eastAsia="Times New Roman" w:cs="Times New Roman"/>
        </w:rPr>
        <w:t xml:space="preserve">2.3. Metody i narzędzia personalizacji</w:t>
      </w:r>
    </w:p>
    <w:p>
      <w:pPr>
        <w:pStyle w:val="FirstParagraph"/>
      </w:pPr>
      <w:r>
        <w:rPr>
          <w:rFonts w:ascii="Times New Roman" w:hAnsi="Times New Roman" w:eastAsia="Times New Roman" w:cs="Times New Roman"/>
        </w:rPr>
        <w:t xml:space="preserve">Najprostsze metody personalizacji wykorzystują wcześniej ustalone warunki oraz dane podane przez klienta. Sklep może wyświetlać odpowiednią wersję językową lub zapamiętać wybrany sposób dostawy, a także pomijać produkty, które nie występują w zadeklarowanym rozmiarze. Rozwiązania tego rodzaju bywają przydatne bez zastosowania zaawansowanych modeli uczenia maszynowego. Ich zaletą jest przewidywalność oraz stosunkowo łatwe wyjaśnienie sposobu działania.</w:t>
      </w:r>
    </w:p>
    <w:p>
      <w:pPr>
        <w:pStyle w:val="BodyText"/>
      </w:pPr>
      <w:r>
        <w:rPr>
          <w:rFonts w:ascii="Times New Roman" w:hAnsi="Times New Roman" w:eastAsia="Times New Roman" w:cs="Times New Roman"/>
        </w:rPr>
        <w:t xml:space="preserve">Bardziej złożone dopasowanie wykorzystuje historię zachowania i zależności wykrywane w danych. Kolejność ofert może zależeć od oglądanych kategorii, cen albo wcześniejszych zakupów. Model porównuje dostępne informacje z podobnymi sytuacjami zaobserwowanymi w przeszłości. Wynik ma charakter przewidywania, a nie pewnej wiedzy o intencjach użytkownika, dlatego powinien pozostawiać możliwość samodzielnego wyszukania innych produktów.</w:t>
      </w:r>
    </w:p>
    <w:p>
      <w:pPr>
        <w:pStyle w:val="BodyText"/>
      </w:pPr>
      <w:r>
        <w:rPr>
          <w:rFonts w:ascii="Times New Roman" w:hAnsi="Times New Roman" w:eastAsia="Times New Roman" w:cs="Times New Roman"/>
        </w:rPr>
        <w:t xml:space="preserve">Personalizacja może dotyczyć także samego sposobu prezentowania informacji. Osobie porównującej urządzenia przydatne będzie zestawienie parametrów technicznych w uporządkowanej tabeli. Klient poszukujący inspiracji może natomiast lepiej wykorzystać przykłady zastosowania danego produktu, jednak nie chodzi wówczas o zmianę jego cech, lecz formy przedstawienia oferty. Treść musi pozostawać zgodna z rzeczywistymi właściwościami przedmiotu sprzedaży.</w:t>
      </w:r>
    </w:p>
    <w:p>
      <w:pPr>
        <w:pStyle w:val="BodyText"/>
      </w:pPr>
      <w:r>
        <w:rPr>
          <w:rFonts w:ascii="Times New Roman" w:hAnsi="Times New Roman" w:eastAsia="Times New Roman" w:cs="Times New Roman"/>
        </w:rPr>
        <w:t xml:space="preserve">W działaniach marketingowych stosuje się również dopasowywanie komunikacji poza stroną sklepu, obejmujące wiadomości elektroniczne, powiadomienia aplikacji lub reklamy kierowane do odbiorców. Skuteczność takiego kontaktu zależy od treści, chwili i miejsca jego wyświetlenia. Bleier i Eisenbeiss analizują właśnie znaczenie kontekstu personalizowanej reklamy internetowej (Bleier i Eisenbeiss 2015). Wyników dotyczących reklamy nie należy jednak automatycznie przenosić na całą obsługę klienta.</w:t>
      </w:r>
    </w:p>
    <w:p>
      <w:pPr>
        <w:pStyle w:val="BodyText"/>
      </w:pPr>
      <w:r>
        <w:rPr>
          <w:rFonts w:ascii="Times New Roman" w:hAnsi="Times New Roman" w:eastAsia="Times New Roman" w:cs="Times New Roman"/>
        </w:rPr>
        <w:t xml:space="preserve">Przykładem ilustracyjnym może być ponowne pokazanie wcześniej oglądanego plecaka. Wiadomość wysłana podczas aktywnego porównywania ofert może ułatwić powrót do produktu. Ta sama propozycja po zakończeniu zakupu może okazać się zbędna lub irytująca. Przydatniejsze byłoby wtedy wyjaśnienie sposobu konserwacji albo dopasowanie akcesorium. Przykład pokazuje znaczenie aktualności informacji, nie przedstawia wyniku badania konkretnej firmy.</w:t>
      </w:r>
    </w:p>
    <w:p>
      <w:pPr>
        <w:pStyle w:val="BodyText"/>
      </w:pPr>
      <w:r>
        <w:rPr>
          <w:rFonts w:ascii="Times New Roman" w:hAnsi="Times New Roman" w:eastAsia="Times New Roman" w:cs="Times New Roman"/>
        </w:rPr>
        <w:t xml:space="preserve">Dobór narzędzi powinien uwzględniać źródło i jakość wykorzystywanych danych. Dane deklarowane pochodzą bezpośrednio z informacji przekazanych przez klienta. Dane obserwowane opisują jego działania podczas korzystania z usługi. Dane wywnioskowane stanowią rezultat analizy i mogą zawierać błędne przypuszczenia. Rozróżnienie tych kategorii ułatwia ocenę, jak pewna jest podstawa danego dopasowania.</w:t>
      </w:r>
    </w:p>
    <w:p>
      <w:pPr>
        <w:pStyle w:val="BodyText"/>
      </w:pPr>
      <w:r>
        <w:rPr>
          <w:rFonts w:ascii="Times New Roman" w:hAnsi="Times New Roman" w:eastAsia="Times New Roman" w:cs="Times New Roman"/>
        </w:rPr>
        <w:t xml:space="preserve">Błąd może powstać również podczas łączenia informacji z różnych urządzeń. Z jednego konta lub komputera mogą korzystać członkowie tej samej rodziny. Algorytm potraktuje wtedy odmienne potrzeby jako historię jednego użytkownika. Podobny problem występuje przy zakupach realizowanych służbowo i prywatnie. Udostępnienie możliwości zmiany profilu zainteresowań pomaga ograniczyć takie nieporozumienia.</w:t>
      </w:r>
    </w:p>
    <w:p>
      <w:pPr>
        <w:pStyle w:val="BodyText"/>
      </w:pPr>
      <w:r>
        <w:rPr>
          <w:rFonts w:ascii="Times New Roman" w:hAnsi="Times New Roman" w:eastAsia="Times New Roman" w:cs="Times New Roman"/>
        </w:rPr>
        <w:t xml:space="preserve">Istotnym elementem projektu jest także porównanie rozwiązania z prostym punktem odniesienia. Może nim być lista popularnych produktów albo standardowa kolejność wyników wyszukiwania, dlatego dopiero różnica względem takiego wariantu pokazuje dodatkową wartość personalizacji. Sam fakt działania modelu nie przesądza, że poprawia on doświadczenie użytkownika. Szczegółowe metody oceny omówiono w kolejnych częściach pracy.</w:t>
      </w:r>
    </w:p>
    <w:bookmarkEnd w:id="29"/>
    <w:bookmarkStart w:id="30" w:name="Xc9d0746c6569c033f6931208e66393d18eca4ad"/>
    <w:p>
      <w:pPr>
        <w:pStyle w:val="Heading2"/>
      </w:pPr>
      <w:r>
        <w:rPr>
          <w:rFonts w:ascii="Times New Roman" w:hAnsi="Times New Roman" w:eastAsia="Times New Roman" w:cs="Times New Roman"/>
        </w:rPr>
        <w:t xml:space="preserve">2.4. Oczekiwania klientów i granice dopasowania</w:t>
      </w:r>
    </w:p>
    <w:p>
      <w:pPr>
        <w:pStyle w:val="FirstParagraph"/>
      </w:pPr>
      <w:r>
        <w:rPr>
          <w:rFonts w:ascii="Times New Roman" w:hAnsi="Times New Roman" w:eastAsia="Times New Roman" w:cs="Times New Roman"/>
        </w:rPr>
        <w:t xml:space="preserve">Oczekiwania klientów są zróżnicowane, dlatego nie należy przypisywać wszystkim identycznych preferencji. Część odbiorców docenia podpowiedzi, a inni wolą samodzielnie przeglądać pełną ofertę, przy czym znaczenie ma charakter zakupu, wcześniejsze doświadczenie oraz wrażliwość przetwarzanych informacji. Rekomendowanie książki może być oceniane inaczej niż sugerowanie produktu związanego ze zdrowiem. Różny może być też poziom akceptacji dla wykorzystywania historii zachowania.</w:t>
      </w:r>
    </w:p>
    <w:p>
      <w:pPr>
        <w:pStyle w:val="BodyText"/>
      </w:pPr>
      <w:r>
        <w:rPr>
          <w:rFonts w:ascii="Times New Roman" w:hAnsi="Times New Roman" w:eastAsia="Times New Roman" w:cs="Times New Roman"/>
        </w:rPr>
        <w:t xml:space="preserve">Badania nad paradoksem personalizacji wskazują na napięcie między dopasowaniem a prywatnością. Aguirre i współautorzy analizują znaczenie zbierania informacji oraz działań budujących zaufanie (Aguirre et al. 2015). Samo zwiększanie szczegółowości danych nie zapewnia zatem lepszego odbioru reklamy, przy czym ważne jest również to, czy sposób ich pozyskania jest zrozumiały. Klient ocenia nie tylko propozycję, lecz także warunki powstania komunikatu.</w:t>
      </w:r>
    </w:p>
    <w:p>
      <w:pPr>
        <w:pStyle w:val="BodyText"/>
      </w:pPr>
      <w:r>
        <w:rPr>
          <w:rFonts w:ascii="Times New Roman" w:hAnsi="Times New Roman" w:eastAsia="Times New Roman" w:cs="Times New Roman"/>
        </w:rPr>
        <w:t xml:space="preserve">Odbiorca może oczekiwać wygody bez konieczności ujawniania dużej liczby informacji osobistych. Te dwa cele bywają trudne do pełnego pogodzenia w jednym rozwiązaniu. Możliwe jest jednak ograniczanie zakresu danych do potrzeb konkretnej funkcji. Rekomendacja oparta na aktualnie oglądanym produkcie nie zawsze wymaga długiej historii użytkownika. Taki wariant może stanowić użyteczny punkt wyjścia dla nowych klientów.</w:t>
      </w:r>
    </w:p>
    <w:p>
      <w:pPr>
        <w:pStyle w:val="BodyText"/>
      </w:pPr>
      <w:r>
        <w:rPr>
          <w:rFonts w:ascii="Times New Roman" w:hAnsi="Times New Roman" w:eastAsia="Times New Roman" w:cs="Times New Roman"/>
        </w:rPr>
        <w:t xml:space="preserve">Zrozumiałość działania systemu pomaga ustalić granice właściwych oczekiwań. Informacja, że propozycja wynika z poprzednich zakupów, pozwala ocenić jej podstawę. Możliwość ukrycia nietrafnej kategorii daje natomiast praktyczną kontrolę nad dalszym dopasowaniem, jednak samo obszerne wyjaśnienie regulaminowe nie zastępuje takich funkcji w interfejsie. Przejrzystość powinna być związana z rzeczywistą możliwością działania użytkownika.</w:t>
      </w:r>
    </w:p>
    <w:p>
      <w:pPr>
        <w:pStyle w:val="BodyText"/>
      </w:pPr>
      <w:r>
        <w:rPr>
          <w:rFonts w:ascii="Times New Roman" w:hAnsi="Times New Roman" w:eastAsia="Times New Roman" w:cs="Times New Roman"/>
        </w:rPr>
        <w:t xml:space="preserve">Oczekiwania dotyczą również ciągłości obsługi po wystąpieniu problemu, a klient może zaakceptować rozmowę z botem, jeśli uzyska poprawną odpowiedź. Trudniej utrzymać pozytywną ocenę, gdy system powtarza te same nieskuteczne wskazówki, dlatego w takiej sytuacji ważna staje się możliwość przekazania sprawy pracownikowi. Personalizacja powinna zmniejszać konieczność ponownego przedstawiania historii całego zgłoszenia.</w:t>
      </w:r>
    </w:p>
    <w:p>
      <w:pPr>
        <w:pStyle w:val="BodyText"/>
      </w:pPr>
      <w:r>
        <w:rPr>
          <w:rFonts w:ascii="Times New Roman" w:hAnsi="Times New Roman" w:eastAsia="Times New Roman" w:cs="Times New Roman"/>
        </w:rPr>
        <w:t xml:space="preserve">Nie każda deklaracja zadowolenia przekłada się na długotrwałą relację ze sklepem. Na powrót klienta wpływają także cena, dostępność produktu i doświadczenia konkurencyjnych ofert. Ocena oczekiwań wymaga więc zestawienia wypowiedzi z odpowiednimi danymi o zachowaniu. W pracy nie przyjęto jednej miary przedstawiającej wszystkie aspekty relacji. Poszczególne wskaźniki interpretowane są zgodnie z celem konkretnego zastosowania.</w:t>
      </w:r>
    </w:p>
    <w:p>
      <w:pPr>
        <w:pStyle w:val="BodyText"/>
      </w:pPr>
      <w:r>
        <w:rPr>
          <w:rFonts w:ascii="Times New Roman" w:hAnsi="Times New Roman" w:eastAsia="Times New Roman" w:cs="Times New Roman"/>
        </w:rPr>
        <w:t xml:space="preserve">Przedsiębiorstwo powinno również uwzględniać użytkowników, którzy nie chcą korzystać z personalizacji. Zachowanie użytecznej wyszukiwarki, filtrów i standardowej obsługi ogranicza ich wykluczenie. Rezygnacja z dopasowania nie powinna sama w sobie uniemożliwiać podstawowego zakupu. Z perspektywy zarządzania oznacza to potrzebę projektowania różnych ścieżek kontaktu. Dobre doświadczenie wynika z dostępności odpowiednich możliwości, a nie obowiązkowego używania jednego mechanizmu.</w:t>
      </w:r>
    </w:p>
    <w:bookmarkEnd w:id="30"/>
    <w:bookmarkEnd w:id="31"/>
    <w:bookmarkStart w:id="37" w:name="X0bd65c75cc093a319ae21b1c015181536edd108"/>
    <w:p>
      <w:pPr>
        <w:pStyle w:val="Heading1"/>
      </w:pPr>
      <w:r>
        <w:rPr>
          <w:rFonts w:ascii="Times New Roman" w:hAnsi="Times New Roman" w:eastAsia="Times New Roman" w:cs="Times New Roman"/>
        </w:rPr>
        <w:t xml:space="preserve">3. ZASTOSOWANIA AI W PERSONALIZACJI RELACJI Z KLIENTAMI</w:t>
      </w:r>
    </w:p>
    <w:bookmarkStart w:id="32" w:name="X58aba608927514270a95ed963f26aa924e77e6d"/>
    <w:p>
      <w:pPr>
        <w:pStyle w:val="Heading2"/>
      </w:pPr>
      <w:r>
        <w:rPr>
          <w:rFonts w:ascii="Times New Roman" w:hAnsi="Times New Roman" w:eastAsia="Times New Roman" w:cs="Times New Roman"/>
        </w:rPr>
        <w:t xml:space="preserve">3.1. Systemy rekomendacyjne i sposoby dopasowywania produktów</w:t>
      </w:r>
    </w:p>
    <w:p>
      <w:pPr>
        <w:pStyle w:val="FirstParagraph"/>
      </w:pPr>
      <w:r>
        <w:rPr>
          <w:rFonts w:ascii="Times New Roman" w:hAnsi="Times New Roman" w:eastAsia="Times New Roman" w:cs="Times New Roman"/>
        </w:rPr>
        <w:t xml:space="preserve">System rekomendacyjny porządkuje dostępne możliwości, aby ułatwić odbiorcy znalezienie odpowiednich produktów, prezentując propozycje na stronie głównej, karcie produktu albo po zakończeniu zakupu. Wybór miejsca ma znaczenie, ponieważ zmienia się aktualne zadanie użytkownika. Innej pomocy potrzebuje osoba rozpoczynająca przeglądanie, a innej klient porównujący dwa modele, dlatego ocena rekomendacji powinna uwzględniać kontekst ich wyświetlenia.</w:t>
      </w:r>
    </w:p>
    <w:p>
      <w:pPr>
        <w:pStyle w:val="BodyText"/>
      </w:pPr>
      <w:r>
        <w:rPr>
          <w:rFonts w:ascii="Times New Roman" w:hAnsi="Times New Roman" w:eastAsia="Times New Roman" w:cs="Times New Roman"/>
        </w:rPr>
        <w:t xml:space="preserve">Jedną z podstawowych metod jest filtrowanie oparte na treści produktów. System wykorzystuje cechy przedmiotów, takie jak kategoria, materiał, przeznaczenie albo parametry techniczne. Następnie wyszukuje podobieństwa względem produktów odpowiadających dotychczasowym preferencjom użytkownika. Osobie przeglądającej lekkie plecaki turystyczne można zaproponować modele o zbliżonych właściwościach. Skuteczność takiego podejścia zależy między innymi od jakości opisów w katalogu.</w:t>
      </w:r>
    </w:p>
    <w:p>
      <w:pPr>
        <w:pStyle w:val="BodyText"/>
      </w:pPr>
      <w:r>
        <w:rPr>
          <w:rFonts w:ascii="Times New Roman" w:hAnsi="Times New Roman" w:eastAsia="Times New Roman" w:cs="Times New Roman"/>
        </w:rPr>
        <w:t xml:space="preserve">Odmiennym rozwiązaniem jest filtrowanie współpracujące, wykorzystujące wzorce interakcji z wieloma produktami. Zależności mogą dotyczyć podobnych użytkowników albo przedmiotów wybieranych w zbliżonych sytuacjach. System nie musi wtedy opierać się wyłącznie na szczegółowych opisach asortymentu. Potrzebuje natomiast odpowiedniego materiału pokazującego wcześniejsze zachowania i wybory klientów. Podstawowe podejścia oraz ich ograniczenia omawiają Adomavicius i Tuzhilin (Adomavicius i Tuzhilin 2005).</w:t>
      </w:r>
    </w:p>
    <w:p>
      <w:pPr>
        <w:pStyle w:val="BodyText"/>
      </w:pPr>
      <w:r>
        <w:rPr>
          <w:rFonts w:ascii="Times New Roman" w:hAnsi="Times New Roman" w:eastAsia="Times New Roman" w:cs="Times New Roman"/>
        </w:rPr>
        <w:t xml:space="preserve">Wariant opisany przez twórców rekomendacji Amazon wykorzystuje podobieństwo między produktami. Zamiast każdorazowo porównywać klienta ze wszystkimi użytkownikami, można korzystać z przygotowanych powiązań przedmiotów. Następnie dobiera się propozycje na podstawie produktów związanych z daną osobą. Rozwiązanie odpowiadało problemowi skali dużego katalogu oraz licznej grupy klientów (Linden et al. 2003), nie stanowi jednak opisu wszystkich współczesnych mechanizmów stosowanych przez Amazon.</w:t>
      </w:r>
    </w:p>
    <w:p>
      <w:pPr>
        <w:pStyle w:val="BodyText"/>
      </w:pPr>
      <w:r>
        <w:rPr>
          <w:rFonts w:ascii="Times New Roman" w:hAnsi="Times New Roman" w:eastAsia="Times New Roman" w:cs="Times New Roman"/>
        </w:rPr>
        <w:t xml:space="preserve">Podejścia hybrydowe łączą kilka rodzajów informacji potrzebnych do tworzenia rekomendacji. Wykorzystywane mogą być cechy produktów, historia interakcji oraz aktualny kontekst wizyty, co pozwala ograniczać słabości pojedynczej metody, choć zwiększa złożoność rozwiązania. Trudniejsze staje się także ustalenie przyczyny konkretnej propozycji przedstawionej klientowi. Projekt wymaga więc równoczesnej kontroli trafności, szybkości oraz możliwości wyjaśnienia wyniku.</w:t>
      </w:r>
    </w:p>
    <w:p>
      <w:pPr>
        <w:pStyle w:val="BodyText"/>
      </w:pPr>
      <w:r>
        <w:rPr>
          <w:rFonts w:ascii="Times New Roman" w:hAnsi="Times New Roman" w:eastAsia="Times New Roman" w:cs="Times New Roman"/>
        </w:rPr>
        <w:t xml:space="preserve">Częstym problemem jest zimny start, czyli niedostatek danych o użytkowniku lub produkcie. Nowy klient nie ma historii zakupów, a świeżo dodany produkt nie zebrał interakcji. System może wtedy wykorzystać deklarowane preferencje, opis przedmiotu albo ogólną popularność. Możliwe jest również dopasowanie wyłącznie do aktualnie oglądanej kategorii, dlatego nie należy przedstawiać zimnego startu jako problemu, którego żadne narzędzie nie potrafi ograniczyć.</w:t>
      </w:r>
    </w:p>
    <w:p>
      <w:pPr>
        <w:pStyle w:val="BodyText"/>
      </w:pPr>
      <w:r>
        <w:rPr>
          <w:rFonts w:ascii="Times New Roman" w:hAnsi="Times New Roman" w:eastAsia="Times New Roman" w:cs="Times New Roman"/>
        </w:rPr>
        <w:t xml:space="preserve">Drugie ograniczenie dotyczy nadmiernego powtarzania produktów podobnych do wcześniej oglądanych. Klient otrzymuje trafne, lecz bardzo wąskie propozycje, przez co trudniej odkrywa alternatywy, a system może także utrwalać popularność produktów, które już wcześniej często pokazywano. Powstaje zależność między ekspozycją oferty a danymi służącymi do kolejnego uczenia. W ocenie warto więc uwzględniać różnorodność oraz dostępność mniej oczywistych możliwości.</w:t>
      </w:r>
    </w:p>
    <w:p>
      <w:pPr>
        <w:pStyle w:val="BodyText"/>
      </w:pPr>
      <w:r>
        <w:rPr>
          <w:rFonts w:ascii="Times New Roman" w:hAnsi="Times New Roman" w:eastAsia="Times New Roman" w:cs="Times New Roman"/>
        </w:rPr>
        <w:t xml:space="preserve">W tabeli 2 porównano podstawy działania oraz ograniczenia najważniejszych podejść do rekomendowania produktów.</w:t>
      </w:r>
    </w:p>
    <w:p>
      <w:pPr>
        <w:pStyle w:val="TableCaption"/>
      </w:pPr>
      <w:r>
        <w:rPr>
          <w:rFonts w:ascii="Times New Roman" w:hAnsi="Times New Roman" w:eastAsia="Times New Roman" w:cs="Times New Roman"/>
          <w:b/>
          <w:bCs/>
        </w:rPr>
        <w:t xml:space="preserve">Tabela 2. Porównanie podstawowych podejść rekomendacyjnych</w:t>
      </w:r>
    </w:p>
    <w:tbl>
      <w:tblPr>
        <w:tblStyle w:val="Table"/>
        <w:tblW w:type="pct" w:w="5000"/>
        <w:jc w:val="center"/>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1701"/>
        <w:gridCol w:w="2154"/>
        <w:gridCol w:w="2551"/>
        <w:gridCol w:w="2381"/>
      </w:tblGrid>
      <w:tr>
        <w:trPr>
          <w:tblHeader w:val="on"/>
          <w:cantSplit/>
        </w:trPr>
        <w:tc>
          <w:tcPr>
            <w:tcW w:type="dxa" w:w="1701"/>
          </w:tcPr>
          <w:p>
            <w:pPr>
              <w:pStyle w:val="Compact"/>
              <w:spacing w:before="0" w:after="0" w:line="240" w:lineRule="auto"/>
              <w:ind w:firstLine="0"/>
              <w:jc w:val="center"/>
            </w:pPr>
            <w:r>
              <w:rPr>
                <w:rFonts w:ascii="Times New Roman" w:hAnsi="Times New Roman"/>
                <w:b/>
                <w:sz w:val="20"/>
              </w:rPr>
              <w:t xml:space="preserve">Podejście</w:t>
            </w:r>
          </w:p>
        </w:tc>
        <w:tc>
          <w:tcPr>
            <w:tcW w:type="dxa" w:w="2154"/>
          </w:tcPr>
          <w:p>
            <w:pPr>
              <w:pStyle w:val="Compact"/>
              <w:spacing w:before="0" w:after="0" w:line="240" w:lineRule="auto"/>
              <w:ind w:firstLine="0"/>
              <w:jc w:val="center"/>
            </w:pPr>
            <w:r>
              <w:rPr>
                <w:rFonts w:ascii="Times New Roman" w:hAnsi="Times New Roman"/>
                <w:b/>
                <w:sz w:val="20"/>
              </w:rPr>
              <w:t xml:space="preserve">Główna podstawa dopasowania</w:t>
            </w:r>
          </w:p>
        </w:tc>
        <w:tc>
          <w:tcPr>
            <w:tcW w:type="dxa" w:w="2551"/>
          </w:tcPr>
          <w:p>
            <w:pPr>
              <w:pStyle w:val="Compact"/>
              <w:spacing w:before="0" w:after="0" w:line="240" w:lineRule="auto"/>
              <w:ind w:firstLine="0"/>
              <w:jc w:val="center"/>
            </w:pPr>
            <w:r>
              <w:rPr>
                <w:rFonts w:ascii="Times New Roman" w:hAnsi="Times New Roman"/>
                <w:b/>
                <w:sz w:val="20"/>
              </w:rPr>
              <w:t xml:space="preserve">Przydatność</w:t>
            </w:r>
          </w:p>
        </w:tc>
        <w:tc>
          <w:tcPr>
            <w:tcW w:type="dxa" w:w="2381"/>
          </w:tcPr>
          <w:p>
            <w:pPr>
              <w:pStyle w:val="Compact"/>
              <w:spacing w:before="0" w:after="0" w:line="240" w:lineRule="auto"/>
              <w:ind w:firstLine="0"/>
              <w:jc w:val="center"/>
            </w:pPr>
            <w:r>
              <w:rPr>
                <w:rFonts w:ascii="Times New Roman" w:hAnsi="Times New Roman"/>
                <w:b/>
                <w:sz w:val="20"/>
              </w:rPr>
              <w:t xml:space="preserve">Ograniczenie</w:t>
            </w:r>
          </w:p>
        </w:tc>
      </w:tr>
      <w:tr>
        <w:trPr>
          <w:cantSplit/>
        </w:trPr>
        <w:tc>
          <w:tcPr>
            <w:tcW w:type="dxa" w:w="1701"/>
          </w:tcPr>
          <w:p>
            <w:pPr>
              <w:pStyle w:val="Compact"/>
              <w:spacing w:before="0" w:after="0" w:line="240" w:lineRule="auto"/>
              <w:ind w:firstLine="0"/>
              <w:jc w:val="left"/>
            </w:pPr>
            <w:r>
              <w:rPr>
                <w:rFonts w:ascii="Times New Roman" w:hAnsi="Times New Roman"/>
                <w:b w:val="0"/>
                <w:sz w:val="20"/>
              </w:rPr>
              <w:t xml:space="preserve">Oparte na treści</w:t>
            </w:r>
          </w:p>
        </w:tc>
        <w:tc>
          <w:tcPr>
            <w:tcW w:type="dxa" w:w="2154"/>
          </w:tcPr>
          <w:p>
            <w:pPr>
              <w:pStyle w:val="Compact"/>
              <w:spacing w:before="0" w:after="0" w:line="240" w:lineRule="auto"/>
              <w:ind w:firstLine="0"/>
              <w:jc w:val="left"/>
            </w:pPr>
            <w:r>
              <w:rPr>
                <w:rFonts w:ascii="Times New Roman" w:hAnsi="Times New Roman"/>
                <w:b w:val="0"/>
                <w:sz w:val="20"/>
              </w:rPr>
              <w:t xml:space="preserve">Cechy produktów i preferencje</w:t>
            </w:r>
          </w:p>
        </w:tc>
        <w:tc>
          <w:tcPr>
            <w:tcW w:type="dxa" w:w="2551"/>
          </w:tcPr>
          <w:p>
            <w:pPr>
              <w:pStyle w:val="Compact"/>
              <w:spacing w:before="0" w:after="0" w:line="240" w:lineRule="auto"/>
              <w:ind w:firstLine="0"/>
              <w:jc w:val="left"/>
            </w:pPr>
            <w:r>
              <w:rPr>
                <w:rFonts w:ascii="Times New Roman" w:hAnsi="Times New Roman"/>
                <w:b w:val="0"/>
                <w:sz w:val="20"/>
              </w:rPr>
              <w:t xml:space="preserve">Dopasowanie do opisanych wymagań</w:t>
            </w:r>
          </w:p>
        </w:tc>
        <w:tc>
          <w:tcPr>
            <w:tcW w:type="dxa" w:w="2381"/>
          </w:tcPr>
          <w:p>
            <w:pPr>
              <w:pStyle w:val="Compact"/>
              <w:spacing w:before="0" w:after="0" w:line="240" w:lineRule="auto"/>
              <w:ind w:firstLine="0"/>
              <w:jc w:val="left"/>
            </w:pPr>
            <w:r>
              <w:rPr>
                <w:rFonts w:ascii="Times New Roman" w:hAnsi="Times New Roman"/>
                <w:b w:val="0"/>
                <w:sz w:val="20"/>
              </w:rPr>
              <w:t xml:space="preserve">Zależność od jakości katalogu</w:t>
            </w:r>
          </w:p>
        </w:tc>
      </w:tr>
      <w:tr>
        <w:trPr>
          <w:cantSplit/>
        </w:trPr>
        <w:tc>
          <w:tcPr>
            <w:tcW w:type="dxa" w:w="1701"/>
          </w:tcPr>
          <w:p>
            <w:pPr>
              <w:pStyle w:val="Compact"/>
              <w:spacing w:before="0" w:after="0" w:line="240" w:lineRule="auto"/>
              <w:ind w:firstLine="0"/>
              <w:jc w:val="left"/>
            </w:pPr>
            <w:r>
              <w:rPr>
                <w:rFonts w:ascii="Times New Roman" w:hAnsi="Times New Roman"/>
                <w:b w:val="0"/>
                <w:sz w:val="20"/>
              </w:rPr>
              <w:t xml:space="preserve">Współpracujące</w:t>
            </w:r>
          </w:p>
        </w:tc>
        <w:tc>
          <w:tcPr>
            <w:tcW w:type="dxa" w:w="2154"/>
          </w:tcPr>
          <w:p>
            <w:pPr>
              <w:pStyle w:val="Compact"/>
              <w:spacing w:before="0" w:after="0" w:line="240" w:lineRule="auto"/>
              <w:ind w:firstLine="0"/>
              <w:jc w:val="left"/>
            </w:pPr>
            <w:r>
              <w:rPr>
                <w:rFonts w:ascii="Times New Roman" w:hAnsi="Times New Roman"/>
                <w:b w:val="0"/>
                <w:sz w:val="20"/>
              </w:rPr>
              <w:t xml:space="preserve">Wzorce interakcji użytkowników</w:t>
            </w:r>
          </w:p>
        </w:tc>
        <w:tc>
          <w:tcPr>
            <w:tcW w:type="dxa" w:w="2551"/>
          </w:tcPr>
          <w:p>
            <w:pPr>
              <w:pStyle w:val="Compact"/>
              <w:spacing w:before="0" w:after="0" w:line="240" w:lineRule="auto"/>
              <w:ind w:firstLine="0"/>
              <w:jc w:val="left"/>
            </w:pPr>
            <w:r>
              <w:rPr>
                <w:rFonts w:ascii="Times New Roman" w:hAnsi="Times New Roman"/>
                <w:b w:val="0"/>
                <w:sz w:val="20"/>
              </w:rPr>
              <w:t xml:space="preserve">Wykrywanie powiązań zakupowych</w:t>
            </w:r>
          </w:p>
        </w:tc>
        <w:tc>
          <w:tcPr>
            <w:tcW w:type="dxa" w:w="2381"/>
          </w:tcPr>
          <w:p>
            <w:pPr>
              <w:pStyle w:val="Compact"/>
              <w:spacing w:before="0" w:after="0" w:line="240" w:lineRule="auto"/>
              <w:ind w:firstLine="0"/>
              <w:jc w:val="left"/>
            </w:pPr>
            <w:r>
              <w:rPr>
                <w:rFonts w:ascii="Times New Roman" w:hAnsi="Times New Roman"/>
                <w:b w:val="0"/>
                <w:sz w:val="20"/>
              </w:rPr>
              <w:t xml:space="preserve">Niedostatek danych i popularność</w:t>
            </w:r>
          </w:p>
        </w:tc>
      </w:tr>
      <w:tr>
        <w:trPr>
          <w:cantSplit/>
        </w:trPr>
        <w:tc>
          <w:tcPr>
            <w:tcW w:type="dxa" w:w="1701"/>
          </w:tcPr>
          <w:p>
            <w:pPr>
              <w:pStyle w:val="Compact"/>
              <w:spacing w:before="0" w:after="0" w:line="240" w:lineRule="auto"/>
              <w:ind w:firstLine="0"/>
              <w:jc w:val="left"/>
            </w:pPr>
            <w:r>
              <w:rPr>
                <w:rFonts w:ascii="Times New Roman" w:hAnsi="Times New Roman"/>
                <w:b w:val="0"/>
                <w:sz w:val="20"/>
              </w:rPr>
              <w:t xml:space="preserve">Hybrydowe</w:t>
            </w:r>
          </w:p>
        </w:tc>
        <w:tc>
          <w:tcPr>
            <w:tcW w:type="dxa" w:w="2154"/>
          </w:tcPr>
          <w:p>
            <w:pPr>
              <w:pStyle w:val="Compact"/>
              <w:spacing w:before="0" w:after="0" w:line="240" w:lineRule="auto"/>
              <w:ind w:firstLine="0"/>
              <w:jc w:val="left"/>
            </w:pPr>
            <w:r>
              <w:rPr>
                <w:rFonts w:ascii="Times New Roman" w:hAnsi="Times New Roman"/>
                <w:b w:val="0"/>
                <w:sz w:val="20"/>
              </w:rPr>
              <w:t xml:space="preserve">Połączenie kilku rodzajów informacji</w:t>
            </w:r>
          </w:p>
        </w:tc>
        <w:tc>
          <w:tcPr>
            <w:tcW w:type="dxa" w:w="2551"/>
          </w:tcPr>
          <w:p>
            <w:pPr>
              <w:pStyle w:val="Compact"/>
              <w:spacing w:before="0" w:after="0" w:line="240" w:lineRule="auto"/>
              <w:ind w:firstLine="0"/>
              <w:jc w:val="left"/>
            </w:pPr>
            <w:r>
              <w:rPr>
                <w:rFonts w:ascii="Times New Roman" w:hAnsi="Times New Roman"/>
                <w:b w:val="0"/>
                <w:sz w:val="20"/>
              </w:rPr>
              <w:t xml:space="preserve">Obsługa różnych sytuacji zakupowych</w:t>
            </w:r>
          </w:p>
        </w:tc>
        <w:tc>
          <w:tcPr>
            <w:tcW w:type="dxa" w:w="2381"/>
          </w:tcPr>
          <w:p>
            <w:pPr>
              <w:pStyle w:val="Compact"/>
              <w:spacing w:before="0" w:after="0" w:line="240" w:lineRule="auto"/>
              <w:ind w:firstLine="0"/>
              <w:jc w:val="left"/>
            </w:pPr>
            <w:r>
              <w:rPr>
                <w:rFonts w:ascii="Times New Roman" w:hAnsi="Times New Roman"/>
                <w:b w:val="0"/>
                <w:sz w:val="20"/>
              </w:rPr>
              <w:t xml:space="preserve">Większa złożoność oceny i utrzymania</w:t>
            </w:r>
          </w:p>
        </w:tc>
      </w:tr>
      <w:tr>
        <w:trPr>
          <w:cantSplit/>
        </w:trPr>
        <w:tc>
          <w:tcPr>
            <w:tcW w:type="dxa" w:w="1701"/>
          </w:tcPr>
          <w:p>
            <w:pPr>
              <w:pStyle w:val="Compact"/>
              <w:spacing w:before="0" w:after="0" w:line="240" w:lineRule="auto"/>
              <w:ind w:firstLine="0"/>
              <w:jc w:val="left"/>
            </w:pPr>
            <w:r>
              <w:rPr>
                <w:rFonts w:ascii="Times New Roman" w:hAnsi="Times New Roman"/>
                <w:b w:val="0"/>
                <w:sz w:val="20"/>
              </w:rPr>
              <w:t xml:space="preserve">Regułowe jako punkt odniesienia</w:t>
            </w:r>
          </w:p>
        </w:tc>
        <w:tc>
          <w:tcPr>
            <w:tcW w:type="dxa" w:w="2154"/>
          </w:tcPr>
          <w:p>
            <w:pPr>
              <w:pStyle w:val="Compact"/>
              <w:spacing w:before="0" w:after="0" w:line="240" w:lineRule="auto"/>
              <w:ind w:firstLine="0"/>
              <w:jc w:val="left"/>
            </w:pPr>
            <w:r>
              <w:rPr>
                <w:rFonts w:ascii="Times New Roman" w:hAnsi="Times New Roman"/>
                <w:b w:val="0"/>
                <w:sz w:val="20"/>
              </w:rPr>
              <w:t xml:space="preserve">Warunki ustalone przez sklep</w:t>
            </w:r>
          </w:p>
        </w:tc>
        <w:tc>
          <w:tcPr>
            <w:tcW w:type="dxa" w:w="2551"/>
          </w:tcPr>
          <w:p>
            <w:pPr>
              <w:pStyle w:val="Compact"/>
              <w:spacing w:before="0" w:after="0" w:line="240" w:lineRule="auto"/>
              <w:ind w:firstLine="0"/>
              <w:jc w:val="left"/>
            </w:pPr>
            <w:r>
              <w:rPr>
                <w:rFonts w:ascii="Times New Roman" w:hAnsi="Times New Roman"/>
                <w:b w:val="0"/>
                <w:sz w:val="20"/>
              </w:rPr>
              <w:t xml:space="preserve">Proste i przewidywalne dopasowanie</w:t>
            </w:r>
          </w:p>
        </w:tc>
        <w:tc>
          <w:tcPr>
            <w:tcW w:type="dxa" w:w="2381"/>
          </w:tcPr>
          <w:p>
            <w:pPr>
              <w:pStyle w:val="Compact"/>
              <w:spacing w:before="0" w:after="0" w:line="240" w:lineRule="auto"/>
              <w:ind w:firstLine="0"/>
              <w:jc w:val="left"/>
            </w:pPr>
            <w:r>
              <w:rPr>
                <w:rFonts w:ascii="Times New Roman" w:hAnsi="Times New Roman"/>
                <w:b w:val="0"/>
                <w:sz w:val="20"/>
              </w:rPr>
              <w:t xml:space="preserve">Ograniczona elastyczność reguł</w:t>
            </w:r>
          </w:p>
        </w:tc>
      </w:tr>
    </w:tbl>
    <w:p>
      <w:pPr>
        <w:pStyle w:val="TableSource"/>
      </w:pPr>
      <w:r>
        <w:rPr>
          <w:rFonts w:ascii="Times New Roman" w:hAnsi="Times New Roman" w:eastAsia="Times New Roman" w:cs="Times New Roman"/>
        </w:rPr>
        <w:t xml:space="preserve">Źródło: opracowanie własne na podstawie Adomaviciusa i Tuzhilina (2005) oraz Lindena, Smitha i Yorka (2003).</w:t>
      </w:r>
    </w:p>
    <w:p>
      <w:pPr>
        <w:pStyle w:val="BodyText"/>
      </w:pPr>
      <w:r>
        <w:rPr>
          <w:rFonts w:ascii="Times New Roman" w:hAnsi="Times New Roman" w:eastAsia="Times New Roman" w:cs="Times New Roman"/>
        </w:rPr>
        <w:t xml:space="preserve">Trafność rekomendacji można oceniać na danych historycznych albo podczas działania sklepu. Pierwszy wariant pozwala porównywać modele przed udostępnieniem ich klientom, nie pokazuje jednak wszystkich skutków zmiany sposobu prezentowania oferty. Kliknięcie może oznaczać zainteresowanie, ale nie dowodzi zadowolenia z kupionego produktu, dlatego wyniki techniczne trzeba zestawiać z miarami odpowiadającymi celowi biznesowemu i relacyjnemu.</w:t>
      </w:r>
    </w:p>
    <w:bookmarkEnd w:id="32"/>
    <w:bookmarkStart w:id="33" w:name="X68066608b3e59a2ec8494690e716c1c9a88c2ed"/>
    <w:p>
      <w:pPr>
        <w:pStyle w:val="Heading2"/>
      </w:pPr>
      <w:r>
        <w:rPr>
          <w:rFonts w:ascii="Times New Roman" w:hAnsi="Times New Roman" w:eastAsia="Times New Roman" w:cs="Times New Roman"/>
        </w:rPr>
        <w:t xml:space="preserve">3.2. Analityka predykcyjna i dobór działań marketingowych</w:t>
      </w:r>
    </w:p>
    <w:p>
      <w:pPr>
        <w:pStyle w:val="FirstParagraph"/>
      </w:pPr>
      <w:r>
        <w:rPr>
          <w:rFonts w:ascii="Times New Roman" w:hAnsi="Times New Roman" w:eastAsia="Times New Roman" w:cs="Times New Roman"/>
        </w:rPr>
        <w:t xml:space="preserve">Analityka predykcyjna służy przewidywaniu zdarzeń na podstawie zależności rozpoznanych w danych. W sklepie może dotyczyć prawdopodobieństwa zakupu, ponownego kontaktu albo rezygnacji z relacji. Wynik modelu pozwala uporządkować sytuacje wymagające uwagi przedsiębiorstwa, nie oznacza jednak, że przewidywane zdarzenie nastąpi z pewnością. Decyzja klienta pozostaje zależna także od okoliczności niewidocznych dla sklepu.</w:t>
      </w:r>
    </w:p>
    <w:p>
      <w:pPr>
        <w:pStyle w:val="BodyText"/>
      </w:pPr>
      <w:r>
        <w:rPr>
          <w:rFonts w:ascii="Times New Roman" w:hAnsi="Times New Roman" w:eastAsia="Times New Roman" w:cs="Times New Roman"/>
        </w:rPr>
        <w:t xml:space="preserve">Dobrym przykładem jest przewidywanie zainteresowania ponownym zakupem produktu zużywalnego, a wykorzystywane mogą być odstępy między wcześniejszymi zamówieniami oraz cechy konkretnej kategorii. Na tej podstawie sklep ustala moment przedstawienia przypomnienia o dostępności produktu. Odbiorca może jednak kupić zapas wcześniej albo skorzystać z innego sprzedawcy. Prognoza wymaga więc oceny, czy kontakt rzeczywiście pomaga, zamiast jedynie zwiększać liczbę wiadomości.</w:t>
      </w:r>
    </w:p>
    <w:p>
      <w:pPr>
        <w:pStyle w:val="BodyText"/>
      </w:pPr>
      <w:r>
        <w:rPr>
          <w:rFonts w:ascii="Times New Roman" w:hAnsi="Times New Roman" w:eastAsia="Times New Roman" w:cs="Times New Roman"/>
        </w:rPr>
        <w:t xml:space="preserve">Innym zastosowaniem jest rozpoznawanie sygnałów wskazujących na możliwą utratę klienta. Dłuższa przerwa w zakupach może uzasadniać sprawdzenie jakości dotychczasowej obsługi, nie powinna jednak automatycznie prowadzić do wysłania rabatu każdej nieaktywnej osobie. Powodem przerwy może być sezonowość produktu albo naturalnie rzadka potrzeba zakupowa. Właściwa reakcja zależy więc od interpretacji wyniku w kontekście działalności sklepu.</w:t>
      </w:r>
    </w:p>
    <w:p>
      <w:pPr>
        <w:pStyle w:val="BodyText"/>
      </w:pPr>
      <w:r>
        <w:rPr>
          <w:rFonts w:ascii="Times New Roman" w:hAnsi="Times New Roman" w:eastAsia="Times New Roman" w:cs="Times New Roman"/>
        </w:rPr>
        <w:t xml:space="preserve">Huang i Rust wskazują szerokie możliwości wykorzystania AI w działaniach marketingowych (Huang i Rust 2021), przy czym obejmują one analizowanie informacji i wspieranie wyboru odpowiednich działań wobec odbiorców. W praktyce należy jednak oddzielić przewidywanie zachowania od przewidywania skutku interwencji. Klient prawdopodobnie dokonujący zakupu nie musi potrzebować dodatkowej zachęty cenowej. Przyznanie mu rabatu może obniżyć marżę bez zmiany decyzji zakupowej.</w:t>
      </w:r>
    </w:p>
    <w:p>
      <w:pPr>
        <w:pStyle w:val="BodyText"/>
      </w:pPr>
      <w:r>
        <w:rPr>
          <w:rFonts w:ascii="Times New Roman" w:hAnsi="Times New Roman" w:eastAsia="Times New Roman" w:cs="Times New Roman"/>
        </w:rPr>
        <w:t xml:space="preserve">Ocena modelu wymaga poprawnego podziału danych używanych podczas jego przygotowania. Informacje powstałe po przewidywanym zdarzeniu nie powinny pomagać w odtwarzaniu wcześniejszej decyzji. Przykładowo potwierdzenie płatności nie może służyć do przewidywania zakupu przed złożeniem zamówienia. Taki błąd tworzyłby pozornie wysoką skuteczność rozwiązania na danych historycznych. Podczas rzeczywistego działania sklepu odpowiednia informacja nie byłaby jeszcze dostępna.</w:t>
      </w:r>
    </w:p>
    <w:p>
      <w:pPr>
        <w:pStyle w:val="BodyText"/>
      </w:pPr>
      <w:r>
        <w:rPr>
          <w:rFonts w:ascii="Times New Roman" w:hAnsi="Times New Roman" w:eastAsia="Times New Roman" w:cs="Times New Roman"/>
        </w:rPr>
        <w:t xml:space="preserve">Znaczenie ma również zmiana warunków rynkowych i zachowań odbiorców. Model przygotowany przed zmianą asortymentu może gorzej oceniać zainteresowanie nowymi kategoriami. Sezon promocji tworzy inne wzorce niż okres standardowych cen i dostaw, dlatego potrzebne jest monitorowanie jakości po wdrożeniu oraz możliwość ponownego uczenia. Sam poprawny wynik jednorazowego testu nie kończy pracy nad systemem.</w:t>
      </w:r>
    </w:p>
    <w:p>
      <w:pPr>
        <w:pStyle w:val="BodyText"/>
      </w:pPr>
      <w:r>
        <w:rPr>
          <w:rFonts w:ascii="Times New Roman" w:hAnsi="Times New Roman" w:eastAsia="Times New Roman" w:cs="Times New Roman"/>
        </w:rPr>
        <w:t xml:space="preserve">Analityka predykcyjna może też wspierać obsługę bez bezpośredniego zwiększania liczby komunikatów marketingowych. Sygnały opóźnienia dostawy mogą skłonić sklep do wcześniejszego poinformowania klienta. Rozpoznanie powtarzających się pytań pozwala poprawić opis produktu lub instrukcję użytkowania. Takie działania zmniejszają wysiłek odbiorcy i mogą ograniczać liczbę późniejszych zgłoszeń. Wartość wyniku ujawnia się wtedy przez rozwiązany problem, a nie wyłącznie dodatkową transakcję.</w:t>
      </w:r>
    </w:p>
    <w:p>
      <w:pPr>
        <w:pStyle w:val="BodyText"/>
      </w:pPr>
      <w:r>
        <w:rPr>
          <w:rFonts w:ascii="Times New Roman" w:hAnsi="Times New Roman" w:eastAsia="Times New Roman" w:cs="Times New Roman"/>
        </w:rPr>
        <w:t xml:space="preserve">Przy podejmowaniu decyzji warto uwzględniać koszt błędnego przewidywania. Niepotrzebne przypomnienie o zakupie zwykle ma inne konsekwencje niż błędna ocena reklamacji. W procesach dotyczących praw klienta potrzebna jest szczególna kontrola decyzji, a model może pomagać porządkować zgłoszenia, lecz nie powinien zastępować rozpatrzenia istotnych okoliczności. Zakres automatyzacji należy dostosować do skutków potencjalnej pomyłki.</w:t>
      </w:r>
    </w:p>
    <w:bookmarkEnd w:id="33"/>
    <w:bookmarkStart w:id="34" w:name="Xfe2658010cf165cbd0deaed8300922610703fa7"/>
    <w:p>
      <w:pPr>
        <w:pStyle w:val="Heading2"/>
      </w:pPr>
      <w:r>
        <w:rPr>
          <w:rFonts w:ascii="Times New Roman" w:hAnsi="Times New Roman" w:eastAsia="Times New Roman" w:cs="Times New Roman"/>
        </w:rPr>
        <w:t xml:space="preserve">3.3. Chatboty, voiceboty i personalizacja obsługi</w:t>
      </w:r>
    </w:p>
    <w:p>
      <w:pPr>
        <w:pStyle w:val="FirstParagraph"/>
      </w:pPr>
      <w:r>
        <w:rPr>
          <w:rFonts w:ascii="Times New Roman" w:hAnsi="Times New Roman" w:eastAsia="Times New Roman" w:cs="Times New Roman"/>
        </w:rPr>
        <w:t xml:space="preserve">Rozmowa z klientem dostarcza informacji, których nie widać w samym rejestrze kliknięć, a użytkownik może wyjaśnić przeznaczenie produktu, ograniczenie budżetu albo powód niezadowolenia. Chatbot wykorzystuje kanał tekstowy, natomiast voicebot umożliwia kontakt głosowy, jednak nie każdy taki system korzysta z generatywnej sztucznej inteligencji. Część rozwiązań działa według przygotowanych scenariuszy i określonych wariantów odpowiedzi.</w:t>
      </w:r>
    </w:p>
    <w:p>
      <w:pPr>
        <w:pStyle w:val="BodyText"/>
      </w:pPr>
      <w:r>
        <w:rPr>
          <w:rFonts w:ascii="Times New Roman" w:hAnsi="Times New Roman" w:eastAsia="Times New Roman" w:cs="Times New Roman"/>
        </w:rPr>
        <w:t xml:space="preserve">Personalizacja obsługi pojawia się wtedy, gdy odpowiedź uwzględnia właściwy kontekst konkretnej sprawy. Może nim być numer zamówienia, etap dostawy lub wcześniej zgłoszony problem, dzięki czemu klient nie musi wielokrotnie podawać tych samych informacji. Warunkiem pozostaje jednak poprawna identyfikacja sprawy oraz odpowiedni dostęp do danych. System nie powinien ujawniać informacji o zamówieniu osobie, która nie ma do nich uprawnień.</w:t>
      </w:r>
    </w:p>
    <w:p>
      <w:pPr>
        <w:pStyle w:val="BodyText"/>
      </w:pPr>
      <w:r>
        <w:rPr>
          <w:rFonts w:ascii="Times New Roman" w:hAnsi="Times New Roman" w:eastAsia="Times New Roman" w:cs="Times New Roman"/>
        </w:rPr>
        <w:t xml:space="preserve">W prostych zgłoszeniach przydatne bywają krótkie, jednoznaczne odpowiedzi oparte na danych systemowych, co dotyczy statusu przesyłki, godzin kontaktu albo sposobu pobrania dokumentu sprzedaży. Bardziej złożone pytania wymagają interpretacji kilku informacji i uwzględnienia wyjątków. W takich sytuacjach potrzebna jest możliwość przekazania rozmowy do pracownika. Personalizacja powinna ułatwiać to przekazanie wraz z dotychczasowym kontekstem zgłoszenia.</w:t>
      </w:r>
    </w:p>
    <w:p>
      <w:pPr>
        <w:pStyle w:val="BodyText"/>
      </w:pPr>
      <w:r>
        <w:rPr>
          <w:rFonts w:ascii="Times New Roman" w:hAnsi="Times New Roman" w:eastAsia="Times New Roman" w:cs="Times New Roman"/>
        </w:rPr>
        <w:t xml:space="preserve">Badanie Luo i współautorów pokazuje znaczenie ujawnienia, że rozmówcą jest chatbot (Luo et al. 2019). Wskazuje ono, że sposób przedstawienia systemu może wpływać na zachowanie odbiorców, nie stanowi jednak uzasadnienia dla ukrywania automatycznego charakteru obsługi. Wdrożenie wymaga uwzględnienia obowiązków informacyjnych oraz długoterminowego zaufania klientów. Wynik pojedynczego badania sprzedażowego nie rozstrzyga wszystkich kwestii prawnych i etycznych.</w:t>
      </w:r>
    </w:p>
    <w:p>
      <w:pPr>
        <w:pStyle w:val="BodyText"/>
      </w:pPr>
      <w:r>
        <w:rPr>
          <w:rFonts w:ascii="Times New Roman" w:hAnsi="Times New Roman" w:eastAsia="Times New Roman" w:cs="Times New Roman"/>
        </w:rPr>
        <w:t xml:space="preserve">Adam, Wessel i Benlian analizują zachowanie użytkowników w kontakcie z chatbotami obsługowymi (Adam et al. 2021). Ich perspektywa wskazuje na znaczenie sposobu projektowania interakcji z systemem. Nie wystarcza zatem samo udostępnienie mechanizmu generującego odpowiedzi na pytania, przy czym ważne są czytelność rozmowy, oczekiwania odbiorcy oraz charakter wykonywanego zadania. Zachowania zaobserwowane w określonym badaniu należy interpretować w jego granicach.</w:t>
      </w:r>
    </w:p>
    <w:p>
      <w:pPr>
        <w:pStyle w:val="BodyText"/>
      </w:pPr>
      <w:r>
        <w:rPr>
          <w:rFonts w:ascii="Times New Roman" w:hAnsi="Times New Roman" w:eastAsia="Times New Roman" w:cs="Times New Roman"/>
        </w:rPr>
        <w:t xml:space="preserve">Błędy generatywnego chatbota mogą być trudne do rozpoznania przez klienta. Odpowiedź bywa poprawna językowo, mimo że zawiera nieprawdziwe informacje o produkcie. Szczególnie ryzykowne są pomyłki dotyczące bezpieczeństwa użytkowania, płatności lub uprawnień konsumenta. System powinien korzystać z zatwierdzonych materiałów i sygnalizować brak pewnej odpowiedzi, dlatego konieczne jest również monitorowanie zgłoszeń ujawniających powtarzające się problemy.</w:t>
      </w:r>
    </w:p>
    <w:p>
      <w:pPr>
        <w:pStyle w:val="BodyText"/>
      </w:pPr>
      <w:r>
        <w:rPr>
          <w:rFonts w:ascii="Times New Roman" w:hAnsi="Times New Roman" w:eastAsia="Times New Roman" w:cs="Times New Roman"/>
        </w:rPr>
        <w:t xml:space="preserve">W kontakcie głosowym dochodzą ograniczenia rozpoznawania mowy i warunków prowadzenia rozmowy. Hałas, niewyraźna wypowiedź lub nietypowa nazwa produktu mogą powodować błędną interpretację. Powtarzanie pełnego numeru zamówienia przez telefon bywa uciążliwe dla użytkownika, dlatego dobór kanału powinien uwzględniać charakter informacji i potrzeby odbiorcy. Udostępnienie alternatywy tekstowej może poprawiać dostępność całego procesu obsługi.</w:t>
      </w:r>
    </w:p>
    <w:p>
      <w:pPr>
        <w:pStyle w:val="BodyText"/>
      </w:pPr>
      <w:r>
        <w:rPr>
          <w:rFonts w:ascii="Times New Roman" w:hAnsi="Times New Roman" w:eastAsia="Times New Roman" w:cs="Times New Roman"/>
        </w:rPr>
        <w:t xml:space="preserve">Ocena chatbota nie powinna ograniczać się do liczby rozmów zakończonych bez pracownika, a klient może przerwać kontakt dlatego, że nie otrzymał skutecznej pomocy. Niski udział przekazań nie musi więc oznaczać wysokiej jakości rozwiązania. Potrzebne są również dane o rozwiązaniu sprawy, ponownych zgłoszeniach i zadowoleniu. Miarę efektywności należy powiązać z rzeczywistym wynikiem dla odbiorcy.</w:t>
      </w:r>
    </w:p>
    <w:bookmarkEnd w:id="34"/>
    <w:bookmarkStart w:id="35" w:name="X6cb0af9ebbce159134c3ec507afd5d5b1e43239"/>
    <w:p>
      <w:pPr>
        <w:pStyle w:val="Heading2"/>
      </w:pPr>
      <w:r>
        <w:rPr>
          <w:rFonts w:ascii="Times New Roman" w:hAnsi="Times New Roman" w:eastAsia="Times New Roman" w:cs="Times New Roman"/>
        </w:rPr>
        <w:t xml:space="preserve">3.4. Personalizowane treści i oferty dynamiczne</w:t>
      </w:r>
    </w:p>
    <w:p>
      <w:pPr>
        <w:pStyle w:val="FirstParagraph"/>
      </w:pPr>
      <w:r>
        <w:rPr>
          <w:rFonts w:ascii="Times New Roman" w:hAnsi="Times New Roman" w:eastAsia="Times New Roman" w:cs="Times New Roman"/>
        </w:rPr>
        <w:t xml:space="preserve">Treści prezentowane przez sklep mogą zmieniać się zależnie od potrzeb i kontekstu. Inny opis korzyści będzie przydatny początkującemu użytkownikowi, a inny osobie znającej kategorię. Możliwe jest także dopasowanie języka, kolejności informacji oraz sposobu przedstawienia parametrów, co nie oznacza dowolności w opisywaniu produktu. Każda wersja powinna zachowywać zgodność z jego rzeczywistymi właściwościami i warunkami zakupu.</w:t>
      </w:r>
    </w:p>
    <w:p>
      <w:pPr>
        <w:pStyle w:val="BodyText"/>
      </w:pPr>
      <w:r>
        <w:rPr>
          <w:rFonts w:ascii="Times New Roman" w:hAnsi="Times New Roman" w:eastAsia="Times New Roman" w:cs="Times New Roman"/>
        </w:rPr>
        <w:t xml:space="preserve">Generatywna AI może pomagać przygotowywać różne wersje tekstów na podstawie zatwierdzonych danych, co wymaga ograniczenia informacji wejściowych do materiałów opisujących rzeczywisty asortyment. Nie należy pozwalać modelowi swobodnie dopisywać certyfikatów, funkcji albo gwarantowanych rezultatów użycia. Kontrola jest szczególnie ważna przy produktach związanych ze zdrowiem i bezpieczeństwem. Odpowiedzialność za komunikat pozostaje po stronie podmiotu przedstawiającego ofertę klientowi.</w:t>
      </w:r>
    </w:p>
    <w:p>
      <w:pPr>
        <w:pStyle w:val="BodyText"/>
      </w:pPr>
      <w:r>
        <w:rPr>
          <w:rFonts w:ascii="Times New Roman" w:hAnsi="Times New Roman" w:eastAsia="Times New Roman" w:cs="Times New Roman"/>
        </w:rPr>
        <w:t xml:space="preserve">Oferta dynamiczna może obejmować zmianę kolejności produktów, zestawu akcesoriów albo komunikatu promocyjnego, jednak nie każda taka zmiana jest personalizacją ceny. Cena może zmieniać się z powodu popytu lub dostępności, jednakowo dla wszystkich odbiorców. Personalizacja ceny dotyczy natomiast dopasowania do konkretnej osoby na podstawie informacji o niej. Rozróżnienie to ma znaczenie zarówno analityczne, jak i prawne.</w:t>
      </w:r>
    </w:p>
    <w:p>
      <w:pPr>
        <w:pStyle w:val="BodyText"/>
      </w:pPr>
      <w:r>
        <w:rPr>
          <w:rFonts w:ascii="Times New Roman" w:hAnsi="Times New Roman" w:eastAsia="Times New Roman" w:cs="Times New Roman"/>
        </w:rPr>
        <w:t xml:space="preserve">Przykład ilustracyjny może dotyczyć osoby poszukującej laptopa do pracy podczas podróży. System eksponuje wtedy masę urządzenia, czas pracy baterii oraz warunki gwarancji. Innym odbiorcom ten sam produkt można przedstawić przez parametry ekranu i zastosowania domowe. Cena oraz rzeczywiste cechy pozostają niezmienione. Personalizacja dotyczy wyboru informacji potrzebnych w określonym kontekście zakupowym.</w:t>
      </w:r>
    </w:p>
    <w:p>
      <w:pPr>
        <w:pStyle w:val="BodyText"/>
      </w:pPr>
      <w:r>
        <w:rPr>
          <w:rFonts w:ascii="Times New Roman" w:hAnsi="Times New Roman" w:eastAsia="Times New Roman" w:cs="Times New Roman"/>
        </w:rPr>
        <w:t xml:space="preserve">Ryzyko pojawia się wtedy, gdy dopasowanie służy wykorzystywaniu podatności konkretnego odbiorcy. Dotyczy to między innymi nadmiernej presji czasowej lub ukrywania istotnych warunków, a system może zwiększać prawdopodobieństwo zakupu, jednocześnie pogarszając jakość decyzji klienta. Ocena nie powinna więc kończyć się na wyniku krótkiej kampanii. Należy uwzględniać skargi, zwroty oraz konsekwencje dla późniejszego zaufania.</w:t>
      </w:r>
    </w:p>
    <w:p>
      <w:pPr>
        <w:pStyle w:val="BodyText"/>
      </w:pPr>
      <w:r>
        <w:rPr>
          <w:rFonts w:ascii="Times New Roman" w:hAnsi="Times New Roman" w:eastAsia="Times New Roman" w:cs="Times New Roman"/>
        </w:rPr>
        <w:t xml:space="preserve">Spójność komunikatów jest równie ważna jak trafność pojedynczej wersji tekstu. Strona produktu, chatbot i wiadomość potwierdzająca zakup powinny przekazywać zgodne informacje. Inaczej klient otrzyma różne odpowiedzi dotyczące tej samej dostawy lub usługi. Problem ten rośnie wraz z liczbą niezależnie generowanych treści. Wspólne źródło danych produktowych pomaga ograniczać rozbieżności między kanałami kontaktu.</w:t>
      </w:r>
    </w:p>
    <w:bookmarkEnd w:id="35"/>
    <w:bookmarkStart w:id="36" w:name="X2c382026c2ce25aeb19c3098a861acdb4b4df93"/>
    <w:p>
      <w:pPr>
        <w:pStyle w:val="Heading2"/>
      </w:pPr>
      <w:r>
        <w:rPr>
          <w:rFonts w:ascii="Times New Roman" w:hAnsi="Times New Roman" w:eastAsia="Times New Roman" w:cs="Times New Roman"/>
        </w:rPr>
        <w:t xml:space="preserve">3.5. Integracja z platformą i ocena rezultatów</w:t>
      </w:r>
    </w:p>
    <w:p>
      <w:pPr>
        <w:pStyle w:val="FirstParagraph"/>
      </w:pPr>
      <w:r>
        <w:rPr>
          <w:rFonts w:ascii="Times New Roman" w:hAnsi="Times New Roman" w:eastAsia="Times New Roman" w:cs="Times New Roman"/>
        </w:rPr>
        <w:t xml:space="preserve">Wdrożenie personalizacji wymaga połączenia modelu z procesami działającymi już w przedsiębiorstwie. Podstawę stanowią katalog produktów, informacje o dostępności oraz dane dotyczące interakcji, przy czym ważne są również system zamówień, obsługa reklamacji i narzędzia komunikacji marketingowej. Model nie powinien działać jako odizolowany element oceniający nieaktualny obraz sklepu. Jego wynik musi odpowiadać rzeczywistym warunkom obsługi klienta.</w:t>
      </w:r>
    </w:p>
    <w:p>
      <w:pPr>
        <w:pStyle w:val="BodyText"/>
      </w:pPr>
      <w:r>
        <w:rPr>
          <w:rFonts w:ascii="Times New Roman" w:hAnsi="Times New Roman" w:eastAsia="Times New Roman" w:cs="Times New Roman"/>
        </w:rPr>
        <w:t xml:space="preserve">Przepływ informacji można przedstawić jako kilka powiązanych etapów. Najpierw określa się dopuszczalne dane i sposób rejestrowania zdarzeń. Następnie przygotowuje się cechy potrzebne modelowi oraz wybiera odpowiednie działanie. Wynik trafia do witryny lub systemu obsługi przez ustalony interfejs. Reakcja użytkownika może później służyć ocenie jakości, zgodnie z przyjętymi zasadami przetwarzania.</w:t>
      </w:r>
    </w:p>
    <w:p>
      <w:pPr>
        <w:pStyle w:val="BodyText"/>
      </w:pPr>
      <w:r>
        <w:rPr>
          <w:rFonts w:ascii="Times New Roman" w:hAnsi="Times New Roman" w:eastAsia="Times New Roman" w:cs="Times New Roman"/>
        </w:rPr>
        <w:t xml:space="preserve">Tabela 3 porządkuje proponowane miary oceny i wskazuje ryzyko ich niewłaściwego interpretowania.</w:t>
      </w:r>
    </w:p>
    <w:p>
      <w:pPr>
        <w:pStyle w:val="TableCaption"/>
      </w:pPr>
      <w:r>
        <w:rPr>
          <w:rFonts w:ascii="Times New Roman" w:hAnsi="Times New Roman" w:eastAsia="Times New Roman" w:cs="Times New Roman"/>
          <w:b/>
          <w:bCs/>
        </w:rPr>
        <w:t xml:space="preserve">Tabela 3. Proponowane kryteria oceny wdrożenia personalizacji</w:t>
      </w:r>
    </w:p>
    <w:tbl>
      <w:tblPr>
        <w:tblStyle w:val="Table"/>
        <w:tblW w:type="pct" w:w="5000"/>
        <w:jc w:val="center"/>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1417"/>
        <w:gridCol w:w="2324"/>
        <w:gridCol w:w="2324"/>
        <w:gridCol w:w="2721"/>
      </w:tblGrid>
      <w:tr>
        <w:trPr>
          <w:tblHeader w:val="on"/>
          <w:cantSplit/>
        </w:trPr>
        <w:tc>
          <w:tcPr>
            <w:tcW w:type="dxa" w:w="1417"/>
          </w:tcPr>
          <w:p>
            <w:pPr>
              <w:pStyle w:val="Compact"/>
              <w:spacing w:before="0" w:after="0" w:line="240" w:lineRule="auto"/>
              <w:ind w:firstLine="0"/>
              <w:jc w:val="center"/>
            </w:pPr>
            <w:r>
              <w:rPr>
                <w:rFonts w:ascii="Times New Roman" w:hAnsi="Times New Roman"/>
                <w:b/>
                <w:sz w:val="20"/>
              </w:rPr>
              <w:t xml:space="preserve">Cel</w:t>
            </w:r>
          </w:p>
        </w:tc>
        <w:tc>
          <w:tcPr>
            <w:tcW w:type="dxa" w:w="2324"/>
          </w:tcPr>
          <w:p>
            <w:pPr>
              <w:pStyle w:val="Compact"/>
              <w:spacing w:before="0" w:after="0" w:line="240" w:lineRule="auto"/>
              <w:ind w:firstLine="0"/>
              <w:jc w:val="center"/>
            </w:pPr>
            <w:r>
              <w:rPr>
                <w:rFonts w:ascii="Times New Roman" w:hAnsi="Times New Roman"/>
                <w:b/>
                <w:sz w:val="20"/>
              </w:rPr>
              <w:t xml:space="preserve">Przykładowa miara</w:t>
            </w:r>
          </w:p>
        </w:tc>
        <w:tc>
          <w:tcPr>
            <w:tcW w:type="dxa" w:w="2324"/>
          </w:tcPr>
          <w:p>
            <w:pPr>
              <w:pStyle w:val="Compact"/>
              <w:spacing w:before="0" w:after="0" w:line="240" w:lineRule="auto"/>
              <w:ind w:firstLine="0"/>
              <w:jc w:val="center"/>
            </w:pPr>
            <w:r>
              <w:rPr>
                <w:rFonts w:ascii="Times New Roman" w:hAnsi="Times New Roman"/>
                <w:b/>
                <w:sz w:val="20"/>
              </w:rPr>
              <w:t xml:space="preserve">Potrzebne doprecyzowanie</w:t>
            </w:r>
          </w:p>
        </w:tc>
        <w:tc>
          <w:tcPr>
            <w:tcW w:type="dxa" w:w="2721"/>
          </w:tcPr>
          <w:p>
            <w:pPr>
              <w:pStyle w:val="Compact"/>
              <w:spacing w:before="0" w:after="0" w:line="240" w:lineRule="auto"/>
              <w:ind w:firstLine="0"/>
              <w:jc w:val="center"/>
            </w:pPr>
            <w:r>
              <w:rPr>
                <w:rFonts w:ascii="Times New Roman" w:hAnsi="Times New Roman"/>
                <w:b/>
                <w:sz w:val="20"/>
              </w:rPr>
              <w:t xml:space="preserve">Możliwe błędne odczytanie</w:t>
            </w:r>
          </w:p>
        </w:tc>
      </w:tr>
      <w:tr>
        <w:trPr>
          <w:cantSplit/>
        </w:trPr>
        <w:tc>
          <w:tcPr>
            <w:tcW w:type="dxa" w:w="1417"/>
          </w:tcPr>
          <w:p>
            <w:pPr>
              <w:pStyle w:val="Compact"/>
              <w:spacing w:before="0" w:after="0" w:line="240" w:lineRule="auto"/>
              <w:ind w:firstLine="0"/>
              <w:jc w:val="left"/>
            </w:pPr>
            <w:r>
              <w:rPr>
                <w:rFonts w:ascii="Times New Roman" w:hAnsi="Times New Roman"/>
                <w:b w:val="0"/>
                <w:sz w:val="20"/>
              </w:rPr>
              <w:t xml:space="preserve">Ułatwienie wyboru</w:t>
            </w:r>
          </w:p>
        </w:tc>
        <w:tc>
          <w:tcPr>
            <w:tcW w:type="dxa" w:w="2324"/>
          </w:tcPr>
          <w:p>
            <w:pPr>
              <w:pStyle w:val="Compact"/>
              <w:spacing w:before="0" w:after="0" w:line="240" w:lineRule="auto"/>
              <w:ind w:firstLine="0"/>
              <w:jc w:val="left"/>
            </w:pPr>
            <w:r>
              <w:rPr>
                <w:rFonts w:ascii="Times New Roman" w:hAnsi="Times New Roman"/>
                <w:b w:val="0"/>
                <w:sz w:val="20"/>
              </w:rPr>
              <w:t xml:space="preserve">Użyteczność rekomendacji</w:t>
            </w:r>
          </w:p>
        </w:tc>
        <w:tc>
          <w:tcPr>
            <w:tcW w:type="dxa" w:w="2324"/>
          </w:tcPr>
          <w:p>
            <w:pPr>
              <w:pStyle w:val="Compact"/>
              <w:spacing w:before="0" w:after="0" w:line="240" w:lineRule="auto"/>
              <w:ind w:firstLine="0"/>
              <w:jc w:val="left"/>
            </w:pPr>
            <w:r>
              <w:rPr>
                <w:rFonts w:ascii="Times New Roman" w:hAnsi="Times New Roman"/>
                <w:b w:val="0"/>
                <w:sz w:val="20"/>
              </w:rPr>
              <w:t xml:space="preserve">Sposób zebrania oceny</w:t>
            </w:r>
          </w:p>
        </w:tc>
        <w:tc>
          <w:tcPr>
            <w:tcW w:type="dxa" w:w="2721"/>
          </w:tcPr>
          <w:p>
            <w:pPr>
              <w:pStyle w:val="Compact"/>
              <w:spacing w:before="0" w:after="0" w:line="240" w:lineRule="auto"/>
              <w:ind w:firstLine="0"/>
              <w:jc w:val="left"/>
            </w:pPr>
            <w:r>
              <w:rPr>
                <w:rFonts w:ascii="Times New Roman" w:hAnsi="Times New Roman"/>
                <w:b w:val="0"/>
                <w:sz w:val="20"/>
              </w:rPr>
              <w:t xml:space="preserve">Kliknięcie jako pełna satysfakcja</w:t>
            </w:r>
          </w:p>
        </w:tc>
      </w:tr>
      <w:tr>
        <w:trPr>
          <w:cantSplit/>
        </w:trPr>
        <w:tc>
          <w:tcPr>
            <w:tcW w:type="dxa" w:w="1417"/>
          </w:tcPr>
          <w:p>
            <w:pPr>
              <w:pStyle w:val="Compact"/>
              <w:spacing w:before="0" w:after="0" w:line="240" w:lineRule="auto"/>
              <w:ind w:firstLine="0"/>
              <w:jc w:val="left"/>
            </w:pPr>
            <w:r>
              <w:rPr>
                <w:rFonts w:ascii="Times New Roman" w:hAnsi="Times New Roman"/>
                <w:b w:val="0"/>
                <w:sz w:val="20"/>
              </w:rPr>
              <w:t xml:space="preserve">Sprawniejszy zakup</w:t>
            </w:r>
          </w:p>
        </w:tc>
        <w:tc>
          <w:tcPr>
            <w:tcW w:type="dxa" w:w="2324"/>
          </w:tcPr>
          <w:p>
            <w:pPr>
              <w:pStyle w:val="Compact"/>
              <w:spacing w:before="0" w:after="0" w:line="240" w:lineRule="auto"/>
              <w:ind w:firstLine="0"/>
              <w:jc w:val="left"/>
            </w:pPr>
            <w:r>
              <w:rPr>
                <w:rFonts w:ascii="Times New Roman" w:hAnsi="Times New Roman"/>
                <w:b w:val="0"/>
                <w:sz w:val="20"/>
              </w:rPr>
              <w:t xml:space="preserve">Współczynnik konwersji</w:t>
            </w:r>
          </w:p>
        </w:tc>
        <w:tc>
          <w:tcPr>
            <w:tcW w:type="dxa" w:w="2324"/>
          </w:tcPr>
          <w:p>
            <w:pPr>
              <w:pStyle w:val="Compact"/>
              <w:spacing w:before="0" w:after="0" w:line="240" w:lineRule="auto"/>
              <w:ind w:firstLine="0"/>
              <w:jc w:val="left"/>
            </w:pPr>
            <w:r>
              <w:rPr>
                <w:rFonts w:ascii="Times New Roman" w:hAnsi="Times New Roman"/>
                <w:b w:val="0"/>
                <w:sz w:val="20"/>
              </w:rPr>
              <w:t xml:space="preserve">Akcja i mianownik</w:t>
            </w:r>
          </w:p>
        </w:tc>
        <w:tc>
          <w:tcPr>
            <w:tcW w:type="dxa" w:w="2721"/>
          </w:tcPr>
          <w:p>
            <w:pPr>
              <w:pStyle w:val="Compact"/>
              <w:spacing w:before="0" w:after="0" w:line="240" w:lineRule="auto"/>
              <w:ind w:firstLine="0"/>
              <w:jc w:val="left"/>
            </w:pPr>
            <w:r>
              <w:rPr>
                <w:rFonts w:ascii="Times New Roman" w:hAnsi="Times New Roman"/>
                <w:b w:val="0"/>
                <w:sz w:val="20"/>
              </w:rPr>
              <w:t xml:space="preserve">Wzrost jako dowód lojalności</w:t>
            </w:r>
          </w:p>
        </w:tc>
      </w:tr>
      <w:tr>
        <w:trPr>
          <w:cantSplit/>
        </w:trPr>
        <w:tc>
          <w:tcPr>
            <w:tcW w:type="dxa" w:w="1417"/>
          </w:tcPr>
          <w:p>
            <w:pPr>
              <w:pStyle w:val="Compact"/>
              <w:spacing w:before="0" w:after="0" w:line="240" w:lineRule="auto"/>
              <w:ind w:firstLine="0"/>
              <w:jc w:val="left"/>
            </w:pPr>
            <w:r>
              <w:rPr>
                <w:rFonts w:ascii="Times New Roman" w:hAnsi="Times New Roman"/>
                <w:b w:val="0"/>
                <w:sz w:val="20"/>
              </w:rPr>
              <w:t xml:space="preserve">Lepsza obsługa</w:t>
            </w:r>
          </w:p>
        </w:tc>
        <w:tc>
          <w:tcPr>
            <w:tcW w:type="dxa" w:w="2324"/>
          </w:tcPr>
          <w:p>
            <w:pPr>
              <w:pStyle w:val="Compact"/>
              <w:spacing w:before="0" w:after="0" w:line="240" w:lineRule="auto"/>
              <w:ind w:firstLine="0"/>
              <w:jc w:val="left"/>
            </w:pPr>
            <w:r>
              <w:rPr>
                <w:rFonts w:ascii="Times New Roman" w:hAnsi="Times New Roman"/>
                <w:b w:val="0"/>
                <w:sz w:val="20"/>
              </w:rPr>
              <w:t xml:space="preserve">Rozwiązane zgłoszenia</w:t>
            </w:r>
          </w:p>
        </w:tc>
        <w:tc>
          <w:tcPr>
            <w:tcW w:type="dxa" w:w="2324"/>
          </w:tcPr>
          <w:p>
            <w:pPr>
              <w:pStyle w:val="Compact"/>
              <w:spacing w:before="0" w:after="0" w:line="240" w:lineRule="auto"/>
              <w:ind w:firstLine="0"/>
              <w:jc w:val="left"/>
            </w:pPr>
            <w:r>
              <w:rPr>
                <w:rFonts w:ascii="Times New Roman" w:hAnsi="Times New Roman"/>
                <w:b w:val="0"/>
                <w:sz w:val="20"/>
              </w:rPr>
              <w:t xml:space="preserve">Kryterium rozwiązania</w:t>
            </w:r>
          </w:p>
        </w:tc>
        <w:tc>
          <w:tcPr>
            <w:tcW w:type="dxa" w:w="2721"/>
          </w:tcPr>
          <w:p>
            <w:pPr>
              <w:pStyle w:val="Compact"/>
              <w:spacing w:before="0" w:after="0" w:line="240" w:lineRule="auto"/>
              <w:ind w:firstLine="0"/>
              <w:jc w:val="left"/>
            </w:pPr>
            <w:r>
              <w:rPr>
                <w:rFonts w:ascii="Times New Roman" w:hAnsi="Times New Roman"/>
                <w:b w:val="0"/>
                <w:sz w:val="20"/>
              </w:rPr>
              <w:t xml:space="preserve">Brak przekazania jako sukces</w:t>
            </w:r>
          </w:p>
        </w:tc>
      </w:tr>
      <w:tr>
        <w:trPr>
          <w:cantSplit/>
        </w:trPr>
        <w:tc>
          <w:tcPr>
            <w:tcW w:type="dxa" w:w="1417"/>
          </w:tcPr>
          <w:p>
            <w:pPr>
              <w:pStyle w:val="Compact"/>
              <w:spacing w:before="0" w:after="0" w:line="240" w:lineRule="auto"/>
              <w:ind w:firstLine="0"/>
              <w:jc w:val="left"/>
            </w:pPr>
            <w:r>
              <w:rPr>
                <w:rFonts w:ascii="Times New Roman" w:hAnsi="Times New Roman"/>
                <w:b w:val="0"/>
                <w:sz w:val="20"/>
              </w:rPr>
              <w:t xml:space="preserve">Trwalsza relacja</w:t>
            </w:r>
          </w:p>
        </w:tc>
        <w:tc>
          <w:tcPr>
            <w:tcW w:type="dxa" w:w="2324"/>
          </w:tcPr>
          <w:p>
            <w:pPr>
              <w:pStyle w:val="Compact"/>
              <w:spacing w:before="0" w:after="0" w:line="240" w:lineRule="auto"/>
              <w:ind w:firstLine="0"/>
              <w:jc w:val="left"/>
            </w:pPr>
            <w:r>
              <w:rPr>
                <w:rFonts w:ascii="Times New Roman" w:hAnsi="Times New Roman"/>
                <w:b w:val="0"/>
                <w:sz w:val="20"/>
              </w:rPr>
              <w:t xml:space="preserve">Ponowne zakupy</w:t>
            </w:r>
          </w:p>
        </w:tc>
        <w:tc>
          <w:tcPr>
            <w:tcW w:type="dxa" w:w="2324"/>
          </w:tcPr>
          <w:p>
            <w:pPr>
              <w:pStyle w:val="Compact"/>
              <w:spacing w:before="0" w:after="0" w:line="240" w:lineRule="auto"/>
              <w:ind w:firstLine="0"/>
              <w:jc w:val="left"/>
            </w:pPr>
            <w:r>
              <w:rPr>
                <w:rFonts w:ascii="Times New Roman" w:hAnsi="Times New Roman"/>
                <w:b w:val="0"/>
                <w:sz w:val="20"/>
              </w:rPr>
              <w:t xml:space="preserve">Okres i grupa klientów</w:t>
            </w:r>
          </w:p>
        </w:tc>
        <w:tc>
          <w:tcPr>
            <w:tcW w:type="dxa" w:w="2721"/>
          </w:tcPr>
          <w:p>
            <w:pPr>
              <w:pStyle w:val="Compact"/>
              <w:spacing w:before="0" w:after="0" w:line="240" w:lineRule="auto"/>
              <w:ind w:firstLine="0"/>
              <w:jc w:val="left"/>
            </w:pPr>
            <w:r>
              <w:rPr>
                <w:rFonts w:ascii="Times New Roman" w:hAnsi="Times New Roman"/>
                <w:b w:val="0"/>
                <w:sz w:val="20"/>
              </w:rPr>
              <w:t xml:space="preserve">Każdy powrót jako efekt AI</w:t>
            </w:r>
          </w:p>
        </w:tc>
      </w:tr>
      <w:tr>
        <w:trPr>
          <w:cantSplit/>
        </w:trPr>
        <w:tc>
          <w:tcPr>
            <w:tcW w:type="dxa" w:w="1417"/>
          </w:tcPr>
          <w:p>
            <w:pPr>
              <w:pStyle w:val="Compact"/>
              <w:spacing w:before="0" w:after="0" w:line="240" w:lineRule="auto"/>
              <w:ind w:firstLine="0"/>
              <w:jc w:val="left"/>
            </w:pPr>
            <w:r>
              <w:rPr>
                <w:rFonts w:ascii="Times New Roman" w:hAnsi="Times New Roman"/>
                <w:b w:val="0"/>
                <w:sz w:val="20"/>
              </w:rPr>
              <w:t xml:space="preserve">Bezpieczeństwo</w:t>
            </w:r>
          </w:p>
        </w:tc>
        <w:tc>
          <w:tcPr>
            <w:tcW w:type="dxa" w:w="2324"/>
          </w:tcPr>
          <w:p>
            <w:pPr>
              <w:pStyle w:val="Compact"/>
              <w:spacing w:before="0" w:after="0" w:line="240" w:lineRule="auto"/>
              <w:ind w:firstLine="0"/>
              <w:jc w:val="left"/>
            </w:pPr>
            <w:r>
              <w:rPr>
                <w:rFonts w:ascii="Times New Roman" w:hAnsi="Times New Roman"/>
                <w:b w:val="0"/>
                <w:sz w:val="20"/>
              </w:rPr>
              <w:t xml:space="preserve">Potwierdzone incydenty</w:t>
            </w:r>
          </w:p>
        </w:tc>
        <w:tc>
          <w:tcPr>
            <w:tcW w:type="dxa" w:w="2324"/>
          </w:tcPr>
          <w:p>
            <w:pPr>
              <w:pStyle w:val="Compact"/>
              <w:spacing w:before="0" w:after="0" w:line="240" w:lineRule="auto"/>
              <w:ind w:firstLine="0"/>
              <w:jc w:val="left"/>
            </w:pPr>
            <w:r>
              <w:rPr>
                <w:rFonts w:ascii="Times New Roman" w:hAnsi="Times New Roman"/>
                <w:b w:val="0"/>
                <w:sz w:val="20"/>
              </w:rPr>
              <w:t xml:space="preserve">Rodzaj i skala naruszenia</w:t>
            </w:r>
          </w:p>
        </w:tc>
        <w:tc>
          <w:tcPr>
            <w:tcW w:type="dxa" w:w="2721"/>
          </w:tcPr>
          <w:p>
            <w:pPr>
              <w:pStyle w:val="Compact"/>
              <w:spacing w:before="0" w:after="0" w:line="240" w:lineRule="auto"/>
              <w:ind w:firstLine="0"/>
              <w:jc w:val="left"/>
            </w:pPr>
            <w:r>
              <w:rPr>
                <w:rFonts w:ascii="Times New Roman" w:hAnsi="Times New Roman"/>
                <w:b w:val="0"/>
                <w:sz w:val="20"/>
              </w:rPr>
              <w:t xml:space="preserve">Brak zgłoszeń jako brak ryzyka</w:t>
            </w:r>
          </w:p>
        </w:tc>
      </w:tr>
      <w:tr>
        <w:trPr>
          <w:cantSplit/>
        </w:trPr>
        <w:tc>
          <w:tcPr>
            <w:tcW w:type="dxa" w:w="1417"/>
          </w:tcPr>
          <w:p>
            <w:pPr>
              <w:pStyle w:val="Compact"/>
              <w:spacing w:before="0" w:after="0" w:line="240" w:lineRule="auto"/>
              <w:ind w:firstLine="0"/>
              <w:jc w:val="left"/>
            </w:pPr>
            <w:r>
              <w:rPr>
                <w:rFonts w:ascii="Times New Roman" w:hAnsi="Times New Roman"/>
                <w:b w:val="0"/>
                <w:sz w:val="20"/>
              </w:rPr>
              <w:t xml:space="preserve">Akceptacja komunikacji</w:t>
            </w:r>
          </w:p>
        </w:tc>
        <w:tc>
          <w:tcPr>
            <w:tcW w:type="dxa" w:w="2324"/>
          </w:tcPr>
          <w:p>
            <w:pPr>
              <w:pStyle w:val="Compact"/>
              <w:spacing w:before="0" w:after="0" w:line="240" w:lineRule="auto"/>
              <w:ind w:firstLine="0"/>
              <w:jc w:val="left"/>
            </w:pPr>
            <w:r>
              <w:rPr>
                <w:rFonts w:ascii="Times New Roman" w:hAnsi="Times New Roman"/>
                <w:b w:val="0"/>
                <w:sz w:val="20"/>
              </w:rPr>
              <w:t xml:space="preserve">Rezygnacje i skargi</w:t>
            </w:r>
          </w:p>
        </w:tc>
        <w:tc>
          <w:tcPr>
            <w:tcW w:type="dxa" w:w="2324"/>
          </w:tcPr>
          <w:p>
            <w:pPr>
              <w:pStyle w:val="Compact"/>
              <w:spacing w:before="0" w:after="0" w:line="240" w:lineRule="auto"/>
              <w:ind w:firstLine="0"/>
              <w:jc w:val="left"/>
            </w:pPr>
            <w:r>
              <w:rPr>
                <w:rFonts w:ascii="Times New Roman" w:hAnsi="Times New Roman"/>
                <w:b w:val="0"/>
                <w:sz w:val="20"/>
              </w:rPr>
              <w:t xml:space="preserve">Kanał oraz liczba odbiorców</w:t>
            </w:r>
          </w:p>
        </w:tc>
        <w:tc>
          <w:tcPr>
            <w:tcW w:type="dxa" w:w="2721"/>
          </w:tcPr>
          <w:p>
            <w:pPr>
              <w:pStyle w:val="Compact"/>
              <w:spacing w:before="0" w:after="0" w:line="240" w:lineRule="auto"/>
              <w:ind w:firstLine="0"/>
              <w:jc w:val="left"/>
            </w:pPr>
            <w:r>
              <w:rPr>
                <w:rFonts w:ascii="Times New Roman" w:hAnsi="Times New Roman"/>
                <w:b w:val="0"/>
                <w:sz w:val="20"/>
              </w:rPr>
              <w:t xml:space="preserve">Wysokie otwarcia jako zgoda na wszystko</w:t>
            </w:r>
          </w:p>
        </w:tc>
      </w:tr>
    </w:tbl>
    <w:p>
      <w:pPr>
        <w:pStyle w:val="TableSource"/>
      </w:pPr>
      <w:r>
        <w:rPr>
          <w:rFonts w:ascii="Times New Roman" w:hAnsi="Times New Roman" w:eastAsia="Times New Roman" w:cs="Times New Roman"/>
        </w:rPr>
        <w:t xml:space="preserve">Źródło: opracowanie własne na podstawie Payne’a i Frow (2005), Lemon i Verhoefa (2016) oraz NIST (2023).</w:t>
      </w:r>
    </w:p>
    <w:p>
      <w:pPr>
        <w:pStyle w:val="BodyText"/>
      </w:pPr>
      <w:r>
        <w:rPr>
          <w:rFonts w:ascii="Times New Roman" w:hAnsi="Times New Roman" w:eastAsia="Times New Roman" w:cs="Times New Roman"/>
        </w:rPr>
        <w:t xml:space="preserve">Podczas porównywania wariantów można wykorzystać test A/B z odpowiednim podziałem użytkowników. Jeden wariant przedstawia dotychczasowy sposób działania, drugi zawiera badaną zmianę. Należy wcześniej określić główną miarę, czas obserwacji oraz sposób oceny skutków ubocznych. Jednoczesna zmiana wielu elementów utrudnia przypisanie wyniku konkretnemu mechanizmowi. W niniejszej pracy nie przeprowadzono takiego testu, lecz wskazano jego funkcję oceniającą.</w:t>
      </w:r>
    </w:p>
    <w:p>
      <w:pPr>
        <w:pStyle w:val="BodyText"/>
      </w:pPr>
      <w:r>
        <w:rPr>
          <w:rFonts w:ascii="Times New Roman" w:hAnsi="Times New Roman" w:eastAsia="Times New Roman" w:cs="Times New Roman"/>
        </w:rPr>
        <w:t xml:space="preserve">Istotna jest również możliwość bezpiecznego działania podczas awarii modelu lub usługi zewnętrznej. Sklep powinien zachować podstawowe wyszukiwanie, zakup i dostęp do informacji o zamówieniu. Zapasowy wariant może korzystać z ogólnych rekomendacji albo standardowej kolejności produktów. Klient nie powinien tracić możliwości wykonania podstawowej czynności przez niedostępność personalizacji. Takie rozwiązanie ogranicza wpływ awarii na ciągłość obsługi.</w:t>
      </w:r>
    </w:p>
    <w:p>
      <w:pPr>
        <w:pStyle w:val="BodyText"/>
      </w:pPr>
      <w:r>
        <w:rPr>
          <w:rFonts w:ascii="Times New Roman" w:hAnsi="Times New Roman" w:eastAsia="Times New Roman" w:cs="Times New Roman"/>
        </w:rPr>
        <w:t xml:space="preserve">NIST zaleca zarządzanie ryzykiem AI przez cały cykl działania systemu (NIST 2023). Obejmuje ono odpowiedzialność, poznanie kontekstu, pomiar oraz reagowanie na problemy. W przedsiębiorstwie należy wskazać osoby zatwierdzające zmiany i analizujące reklamacje. Powinny one mieć możliwość wyłączenia funkcji powodującej nieakceptowalne skutki dla klientów.</w:t>
      </w:r>
    </w:p>
    <w:bookmarkEnd w:id="36"/>
    <w:bookmarkEnd w:id="37"/>
    <w:bookmarkStart w:id="43" w:name="X78c83b27ad9aecdae54700709fe5a9ca1e5dd1c"/>
    <w:p>
      <w:pPr>
        <w:pStyle w:val="Heading1"/>
      </w:pPr>
      <w:r>
        <w:rPr>
          <w:rFonts w:ascii="Times New Roman" w:hAnsi="Times New Roman" w:eastAsia="Times New Roman" w:cs="Times New Roman"/>
        </w:rPr>
        <w:t xml:space="preserve">4. ZACHOWANIA KONSUMENTÓW ORAZ UWARUNKOWANIA PERSONALIZACJI</w:t>
      </w:r>
    </w:p>
    <w:bookmarkStart w:id="38" w:name="wpływ-dopasowania-na-decyzje-zakupowe"/>
    <w:p>
      <w:pPr>
        <w:pStyle w:val="Heading2"/>
      </w:pPr>
      <w:r>
        <w:rPr>
          <w:rFonts w:ascii="Times New Roman" w:hAnsi="Times New Roman" w:eastAsia="Times New Roman" w:cs="Times New Roman"/>
        </w:rPr>
        <w:t xml:space="preserve">4.1. Wpływ dopasowania na decyzje zakupowe</w:t>
      </w:r>
    </w:p>
    <w:p>
      <w:pPr>
        <w:pStyle w:val="FirstParagraph"/>
      </w:pPr>
      <w:r>
        <w:rPr>
          <w:rFonts w:ascii="Times New Roman" w:hAnsi="Times New Roman" w:eastAsia="Times New Roman" w:cs="Times New Roman"/>
        </w:rPr>
        <w:t xml:space="preserve">Duży wybór produktów może pomagać klientowi, ale jednocześnie zwiększać wysiłek potrzebny do porównania. Rekomendacje ograniczają liczbę propozycji oglądanych na pierwszym etapie poszukiwania, a użytkownik może szybciej odnaleźć kategorię odpowiadającą jego potrzebie i określonemu budżetowi. Korzyść zależy jednak od jakości selekcji dokonanej przez system. Pominięcie istotnych alternatyw może ułatwić decyzję pozornie, kosztem jej trafności.</w:t>
      </w:r>
    </w:p>
    <w:p>
      <w:pPr>
        <w:pStyle w:val="BodyText"/>
      </w:pPr>
      <w:r>
        <w:rPr>
          <w:rFonts w:ascii="Times New Roman" w:hAnsi="Times New Roman" w:eastAsia="Times New Roman" w:cs="Times New Roman"/>
        </w:rPr>
        <w:t xml:space="preserve">Kolejność ofert wpływa na to, z jakimi informacjami odbiorca zetknie się najpierw. Produkty umieszczone wysoko otrzymują większą szansę zauważenia podczas krótkiej wizyty. Wynik rekomendacji nie jest więc neutralnym odzwierciedleniem wszystkich dostępnych możliwości. Stanowi wybór dokonany według określonego celu i sposobu oceny produktów, dlatego ważne jest rozróżnienie trafności oferty od jej wartości dla sprzedawcy.</w:t>
      </w:r>
    </w:p>
    <w:p>
      <w:pPr>
        <w:pStyle w:val="BodyText"/>
      </w:pPr>
      <w:r>
        <w:rPr>
          <w:rFonts w:ascii="Times New Roman" w:hAnsi="Times New Roman" w:eastAsia="Times New Roman" w:cs="Times New Roman"/>
        </w:rPr>
        <w:t xml:space="preserve">Personalizacja może zmniejszać koszt poszukiwania informacji potrzebnych do podjęcia decyzji. Klient nie musi za każdym razem rozpoczynać od pełnej listy asortymentu. Możliwe staje się także przedstawienie wyjaśnienia odpowiadającego aktualnie rozpatrywanemu problemowi, jednak zbyt silne dopasowanie może ograniczyć kontakt z nowymi kategoriami. Potrzebna pozostaje możliwość samodzielnego zmieniania filtrów oraz przeglądania szerszej oferty.</w:t>
      </w:r>
    </w:p>
    <w:p>
      <w:pPr>
        <w:pStyle w:val="BodyText"/>
      </w:pPr>
      <w:r>
        <w:rPr>
          <w:rFonts w:ascii="Times New Roman" w:hAnsi="Times New Roman" w:eastAsia="Times New Roman" w:cs="Times New Roman"/>
        </w:rPr>
        <w:t xml:space="preserve">Badania reklamy personalizowanej pokazują znaczenie czasu i miejsca przedstawienia komunikatu (Bleier i Eisenbeiss 2015). Dopasowana treść nie wywołuje jednakowego skutku w każdej sytuacji kontaktu. Wynik może zależeć od etapu poszukiwania informacji i celu korzystania ze strony, nie jest więc uzasadnione uznawanie większej szczegółowości za zawsze korzystną. Projekt powinien uwzględniać zarówno informacyjność komunikatu, jak też odczuwaną przez odbiorcę natarczywość.</w:t>
      </w:r>
    </w:p>
    <w:p>
      <w:pPr>
        <w:pStyle w:val="BodyText"/>
      </w:pPr>
      <w:r>
        <w:rPr>
          <w:rFonts w:ascii="Times New Roman" w:hAnsi="Times New Roman" w:eastAsia="Times New Roman" w:cs="Times New Roman"/>
        </w:rPr>
        <w:t xml:space="preserve">W ocenie decyzji zakupowych należy rozdzielać zainteresowanie, zamiar i faktyczne zachowanie. Kliknięcie rekomendacji informuje o wejściu w kontakt z ofertą. Deklaracja chęci zakupu opisuje nastawienie, lecz nie potwierdza przeprowadzenia transakcji. Zakup z kolei nie przesądza o późniejszym zadowoleniu z produktu. Każdy z tych wyników odpowiada innemu etapowi relacji.</w:t>
      </w:r>
    </w:p>
    <w:p>
      <w:pPr>
        <w:pStyle w:val="BodyText"/>
      </w:pPr>
      <w:r>
        <w:rPr>
          <w:rFonts w:ascii="Times New Roman" w:hAnsi="Times New Roman" w:eastAsia="Times New Roman" w:cs="Times New Roman"/>
        </w:rPr>
        <w:t xml:space="preserve">Porównanie sprzedaży przed wdrożeniem i po nim również wymaga ostrożności. W tym samym czasie mogły zmienić się ceny, kampanie reklamowe lub asortyment. Na wyniki mogła wpłynąć sezonowość albo sytuacja konkurencyjnego sklepu. Bez odpowiedniego punktu odniesienia trudno oddzielić wpływ personalizacji od pozostałych czynników. Wnioski przyczynowe powinny być zatem słabsze niż przy poprawnie zaprojektowanym eksperymencie.</w:t>
      </w:r>
    </w:p>
    <w:p>
      <w:pPr>
        <w:pStyle w:val="BodyText"/>
      </w:pPr>
      <w:r>
        <w:rPr>
          <w:rFonts w:ascii="Times New Roman" w:hAnsi="Times New Roman" w:eastAsia="Times New Roman" w:cs="Times New Roman"/>
        </w:rPr>
        <w:t xml:space="preserve">Przydatna jest także ocena jakości decyzji z perspektywy samego kupującego. Mniejsza liczba porzuconych koszyków może oznaczać łatwiejszy zakup, ale nie wyjaśnia jego trafności. Należy sprawdzać, czy nie rośnie liczba zwrotów albo skarg dotyczących opisu. Dobre dopasowanie powinno ograniczać rozbieżność między oczekiwaniem a otrzymanym produktem. Takie podejście pozwala uwzględnić skutki widoczne dopiero po zakończeniu transakcji.</w:t>
      </w:r>
    </w:p>
    <w:bookmarkEnd w:id="38"/>
    <w:bookmarkStart w:id="39" w:name="Xae972e695b06b8dc8cf0562be4a810432b93c4c"/>
    <w:p>
      <w:pPr>
        <w:pStyle w:val="Heading2"/>
      </w:pPr>
      <w:r>
        <w:rPr>
          <w:rFonts w:ascii="Times New Roman" w:hAnsi="Times New Roman" w:eastAsia="Times New Roman" w:cs="Times New Roman"/>
        </w:rPr>
        <w:t xml:space="preserve">4.2. Zaangażowanie, satysfakcja, zaufanie i lojalność</w:t>
      </w:r>
    </w:p>
    <w:p>
      <w:pPr>
        <w:pStyle w:val="FirstParagraph"/>
      </w:pPr>
      <w:r>
        <w:rPr>
          <w:rFonts w:ascii="Times New Roman" w:hAnsi="Times New Roman" w:eastAsia="Times New Roman" w:cs="Times New Roman"/>
        </w:rPr>
        <w:t xml:space="preserve">Zaangażowanie opisuje aktywność odbiorcy, lecz jego znaczenie zależy od przyjętej miary. Dłuższy czas na stronie może oznaczać zainteresowanie albo trudność znalezienia informacji. Większa liczba kontaktów z obsługą może wynikać z nierozwiązanego problemu, jednak sam wzrost aktywności nie pozwala zatem ocenić jakości relacji. Wskaźniki należy interpretować wraz z kontekstem konkretnego zadania użytkownika.</w:t>
      </w:r>
    </w:p>
    <w:p>
      <w:pPr>
        <w:pStyle w:val="BodyText"/>
      </w:pPr>
      <w:r>
        <w:rPr>
          <w:rFonts w:ascii="Times New Roman" w:hAnsi="Times New Roman" w:eastAsia="Times New Roman" w:cs="Times New Roman"/>
        </w:rPr>
        <w:t xml:space="preserve">Satysfakcja odnosi się do oceny doświadczenia względem oczekiwań klienta, obejmując produkt, obsługę lub cały przebieg zamówienia. Personalizacja jest tylko jednym z elementów wpływających na taką ocenę. Trafna rekomendacja nie zrównoważy każdej sytuacji związanej z opóźnieniem albo uszkodzeniem przesyłki. Znaczenie ma zgodność doświadczeń w różnych punktach kontaktu opisanych przez Lemon i Verhoefa (2016).</w:t>
      </w:r>
    </w:p>
    <w:p>
      <w:pPr>
        <w:pStyle w:val="BodyText"/>
      </w:pPr>
      <w:r>
        <w:rPr>
          <w:rFonts w:ascii="Times New Roman" w:hAnsi="Times New Roman" w:eastAsia="Times New Roman" w:cs="Times New Roman"/>
        </w:rPr>
        <w:t xml:space="preserve">Zaufanie wiąże się z przekonaniem, że sklep działa w sposób wiarygodny i przewidywalny. W kontekście AI obejmuje również odpowiednie posługiwanie się informacjami o odbiorcy. Klient może akceptować wykorzystanie danych potrzebnych do realizacji zamówienia, a jednocześnie może nie oczekiwać ich zastosowania do szczegółowego przewidywania sytuacji osobistej. Niespodziewane wykorzystanie informacji może osłabiać ocenę nawet poprawnie działającego systemu.</w:t>
      </w:r>
    </w:p>
    <w:p>
      <w:pPr>
        <w:pStyle w:val="BodyText"/>
      </w:pPr>
      <w:r>
        <w:rPr>
          <w:rFonts w:ascii="Times New Roman" w:hAnsi="Times New Roman" w:eastAsia="Times New Roman" w:cs="Times New Roman"/>
        </w:rPr>
        <w:t xml:space="preserve">Paradoks personalizacji polega na współwystępowaniu możliwej korzyści i poczucia utraty prywatności. Zbieranie informacji pomaga dopasować komunikat, ale może też zwiększać niepokój odbiorcy. Aguirre i współautorzy analizują tę zależność z uwzględnieniem sposobu pozyskiwania danych (Aguirre et al. 2015). Wnioskiem dla zarządzania jest potrzeba budowania zaufania równolegle z rozwijaniem dopasowania, jednak sam wzrost zdolności przewidywania nie zapewnia akceptacji klienta.</w:t>
      </w:r>
    </w:p>
    <w:p>
      <w:pPr>
        <w:pStyle w:val="BodyText"/>
      </w:pPr>
      <w:r>
        <w:rPr>
          <w:rFonts w:ascii="Times New Roman" w:hAnsi="Times New Roman" w:eastAsia="Times New Roman" w:cs="Times New Roman"/>
        </w:rPr>
        <w:t xml:space="preserve">Lojalność może oznaczać postawę wobec sklepu albo rzeczywiste powtarzanie zakupów. Te dwa aspekty nie zawsze występują jednocześnie u konkretnej osoby. Klient może wracać z powodu niskiej ceny mimo przeciętnej oceny obsługi, ale może również wysoko oceniać sklep, lecz nie mieć potrzeby kolejnego zakupu. W badaniu trzeba więc jasno określić, jaki wymiar lojalności jest rozpatrywany.</w:t>
      </w:r>
    </w:p>
    <w:p>
      <w:pPr>
        <w:pStyle w:val="BodyText"/>
      </w:pPr>
      <w:r>
        <w:rPr>
          <w:rFonts w:ascii="Times New Roman" w:hAnsi="Times New Roman" w:eastAsia="Times New Roman" w:cs="Times New Roman"/>
        </w:rPr>
        <w:t xml:space="preserve">Wskaźnik powrotów wymaga dodatkowo ustalenia okresu oraz rodzaju oferowanych produktów. Oczekiwanie kolejnego zakupu w ciągu miesiąca jest inne dla żywności i mebli. Porównywanie takich kategorii bez odpowiedniego kontekstu może prowadzić do błędnych wniosków. Podobnie zmiana liczby klientów nie wyjaśnia samodzielnie jakości ich relacji, dlatego potrzebne jest powiązanie wyników z charakterem działalności przedsiębiorstwa.</w:t>
      </w:r>
    </w:p>
    <w:p>
      <w:pPr>
        <w:pStyle w:val="BodyText"/>
      </w:pPr>
      <w:r>
        <w:rPr>
          <w:rFonts w:ascii="Times New Roman" w:hAnsi="Times New Roman" w:eastAsia="Times New Roman" w:cs="Times New Roman"/>
        </w:rPr>
        <w:t xml:space="preserve">Z punktu widzenia CRM personalizacja powinna wspierać tworzenie wartości w dłuższym okresie (Payne i Frow 2005), co oznacza uwzględnianie kosztu utraty zaufania oraz niezadowolenia po zakupie. Krótkotrwała poprawa sprzedaży może współistnieć ze wzrostem rezygnacji z komunikacji, dlatego ocena powinna obejmować zestaw uzupełniających się miar. Jedna liczba nie wystarcza do opisania całej relacji klienta ze sklepem.</w:t>
      </w:r>
    </w:p>
    <w:bookmarkEnd w:id="39"/>
    <w:bookmarkStart w:id="40" w:name="X3b68856ec2f896dedd34e280803d90dbbd93fb0"/>
    <w:p>
      <w:pPr>
        <w:pStyle w:val="Heading2"/>
      </w:pPr>
      <w:r>
        <w:rPr>
          <w:rFonts w:ascii="Times New Roman" w:hAnsi="Times New Roman" w:eastAsia="Times New Roman" w:cs="Times New Roman"/>
        </w:rPr>
        <w:t xml:space="preserve">4.3. Prywatność, profilowanie i obowiązki informacyjne</w:t>
      </w:r>
    </w:p>
    <w:p>
      <w:pPr>
        <w:pStyle w:val="FirstParagraph"/>
      </w:pPr>
      <w:r>
        <w:rPr>
          <w:rFonts w:ascii="Times New Roman" w:hAnsi="Times New Roman" w:eastAsia="Times New Roman" w:cs="Times New Roman"/>
        </w:rPr>
        <w:t xml:space="preserve">Podstawowe znaczenie dla przetwarzania danych osobowych w Unii Europejskiej ma RODO. Definicja danych osobowych obejmuje informacje dotyczące zidentyfikowanej lub możliwej do zidentyfikowania osoby. Identyfikator użytkownika może zatem mieć taki charakter także bez podania jego nazwiska. Ocena zależy od możliwości powiązania informacji z konkretnym człowiekiem. Zasady przetwarzania określa między innymi art. 5 rozporządzenia (Dz.Urz. UE L 119 z 2016 r., s. 1).</w:t>
      </w:r>
    </w:p>
    <w:p>
      <w:pPr>
        <w:pStyle w:val="BodyText"/>
      </w:pPr>
      <w:r>
        <w:rPr>
          <w:rFonts w:ascii="Times New Roman" w:hAnsi="Times New Roman" w:eastAsia="Times New Roman" w:cs="Times New Roman"/>
        </w:rPr>
        <w:t xml:space="preserve">W personalizacji szczególnie ważne są ograniczenie celu oraz minimalizacja zakresu danych. Przedsiębiorstwo powinno określić, do czego potrzebuje informacji i dlaczego wybrany zakres jest odpowiedni. Możliwość technicznego zebrania danych nie stanowi samodzielnego uzasadnienia ich przetwarzania. Historię zakupów należy rozpatrywać inaczej niż informacje zbierane dla konkretnej reklamacji. Każdy cel wymaga właściwej oceny podstawy prawnej i obowiązków wobec klienta.</w:t>
      </w:r>
    </w:p>
    <w:p>
      <w:pPr>
        <w:pStyle w:val="BodyText"/>
      </w:pPr>
      <w:r>
        <w:rPr>
          <w:rFonts w:ascii="Times New Roman" w:hAnsi="Times New Roman" w:eastAsia="Times New Roman" w:cs="Times New Roman"/>
        </w:rPr>
        <w:t xml:space="preserve">RODO przewiduje różne podstawy przetwarzania, dlatego nie każda operacja musi opierać się na zgodzie, a jednocześnie posiadanie jednej podstawy nie oznacza dowolności dalszego wykorzystywania informacji. Przykładowo realizacja zamówienia nie uzasadnia automatycznie wszystkich przyszłych działań marketingowych, dlatego konieczne jest uwzględnienie rzeczywistego celu i warunków konkretnej operacji. Ogólna zgoda na regulamin nie zastępuje całej wymaganej analizy prawnej.</w:t>
      </w:r>
    </w:p>
    <w:p>
      <w:pPr>
        <w:pStyle w:val="BodyText"/>
      </w:pPr>
      <w:r>
        <w:rPr>
          <w:rFonts w:ascii="Times New Roman" w:hAnsi="Times New Roman" w:eastAsia="Times New Roman" w:cs="Times New Roman"/>
        </w:rPr>
        <w:t xml:space="preserve">Profilowanie ma w RODO określone znaczenie związane z automatyczną oceną czynników osobowych. Może dotyczyć między innymi preferencji, zainteresowań albo zachowania konkretnej osoby, jednak nie każde uporządkowanie produktów według popularności jest więc profilowaniem klienta. Ważne jest to, czy przetwarzanie odnosi się do danych osobowych i ich oceny. Definicję zawarto w art. 4 pkt 4 rozporządzenia.</w:t>
      </w:r>
    </w:p>
    <w:p>
      <w:pPr>
        <w:pStyle w:val="BodyText"/>
      </w:pPr>
      <w:r>
        <w:rPr>
          <w:rFonts w:ascii="Times New Roman" w:hAnsi="Times New Roman" w:eastAsia="Times New Roman" w:cs="Times New Roman"/>
        </w:rPr>
        <w:t xml:space="preserve">Odrębnego rozpatrzenia wymaga art. 22 dotyczący określonych decyzji podejmowanych wyłącznie automatycznie, przy czym znaczenie mają skutki prawne albo podobnie istotny wpływ na osobę. Nie można zakładać, że każda zwykła rekomendacja spełnia te warunki. Z drugiej strony poważniejsze rozstrzygnięcia wymagają dokładnej oceny sposobu działania systemu. Sam udział modelu nie przesądza więc ani o stosowaniu przepisu, ani o jego braku.</w:t>
      </w:r>
    </w:p>
    <w:p>
      <w:pPr>
        <w:pStyle w:val="BodyText"/>
      </w:pPr>
      <w:r>
        <w:rPr>
          <w:rFonts w:ascii="Times New Roman" w:hAnsi="Times New Roman" w:eastAsia="Times New Roman" w:cs="Times New Roman"/>
        </w:rPr>
        <w:t xml:space="preserve">Cookies i podobne mechanizmy należy analizować także w kontekście przepisów komunikacji elektronicznej. Na poziomie unijnym znaczenie ma dyrektywa o prywatności i łączności elektronicznej. W Polsce odpowiednie regulacje zawiera Prawo komunikacji elektronicznej, w tym art. 399 (Dz.Urz. UE L 201 z 2002 r., s. 37; Dz.U. z 2024 r., poz. 1221). Należy odróżnić dostęp do informacji na urządzeniu od późniejszego przetwarzania danych osobowych. Wyjątki dotyczące niezbędnych operacji nie obejmują automatycznie każdego narzędzia marketingowego.</w:t>
      </w:r>
    </w:p>
    <w:p>
      <w:pPr>
        <w:pStyle w:val="BodyText"/>
      </w:pPr>
      <w:r>
        <w:rPr>
          <w:rFonts w:ascii="Times New Roman" w:hAnsi="Times New Roman" w:eastAsia="Times New Roman" w:cs="Times New Roman"/>
        </w:rPr>
        <w:t xml:space="preserve">Klient powinien otrzymywać informacje umożliwiające zrozumienie najważniejszych zasad przetwarzania jego danych. Rozbudowany dokument nie spełni praktycznej funkcji, jeżeli komunikaty pozostają niejasne. Szczególnie istotne jest czytelne wyjaśnienie celu oraz dostępnych praw. Interfejs powinien umożliwiać wykonanie wyboru bez niepotrzebnego utrudniania rezygnacji. Takie rozwiązanie łączy formalny obowiązek z rzeczywistą kontrolą użytkownika.</w:t>
      </w:r>
    </w:p>
    <w:p>
      <w:pPr>
        <w:pStyle w:val="BodyText"/>
      </w:pPr>
      <w:r>
        <w:rPr>
          <w:rFonts w:ascii="Times New Roman" w:hAnsi="Times New Roman" w:eastAsia="Times New Roman" w:cs="Times New Roman"/>
        </w:rPr>
        <w:t xml:space="preserve">Personalizacja ceny wymaga dodatkowo uwzględnienia obowiązków informacyjnych wynikających z prawa konsumenckiego. Dyrektywa 2011/83/UE przewiduje informację o cenie spersonalizowanej na podstawie zautomatyzowanego podejmowania decyzji. Obowiązek wskazano w art. 6 ust. 1 lit. ea, w odpowiednim zakresie stosowania, co nie oznacza obowiązku nazywania każdej promocji ceną indywidualnie dopasowaną (Dz.Urz. UE L 304 z 2011 r., s. 64). Trzeba najpierw ustalić, jaki mechanizm rzeczywiście zastosowano w ofercie.</w:t>
      </w:r>
    </w:p>
    <w:p>
      <w:pPr>
        <w:pStyle w:val="BodyText"/>
      </w:pPr>
      <w:r>
        <w:rPr>
          <w:rFonts w:ascii="Times New Roman" w:hAnsi="Times New Roman" w:eastAsia="Times New Roman" w:cs="Times New Roman"/>
        </w:rPr>
        <w:t xml:space="preserve">Kolejnym punktem odniesienia jest rozporządzenie dotyczące sztucznej inteligencji, określane jako AI Act, przy czym obejmuje ono różne obowiązki zależne od rodzaju systemu i roli podmiotu. Samo wykorzystanie AI w sklepie nie przesądza o klasyfikacji wysokiego ryzyka. Dla systemów przeznaczonych do interakcji z ludźmi znaczenie ma między innymi art. 50. Należy uwzględniać przewidziane warunki, wyjątki oraz harmonogram stosowania przepisów (Dz.Urz. UE L z 2024 r., poz. 2024/1689).</w:t>
      </w:r>
    </w:p>
    <w:p>
      <w:pPr>
        <w:pStyle w:val="BodyText"/>
      </w:pPr>
      <w:r>
        <w:rPr>
          <w:rFonts w:ascii="Times New Roman" w:hAnsi="Times New Roman" w:eastAsia="Times New Roman" w:cs="Times New Roman"/>
        </w:rPr>
        <w:t xml:space="preserve">Przywołane regulacje służą wskazaniu problemów związanych z personalizacją, a nie ocenie zgodności konkretnych przedsiębiorstw. Taka ocena wymagałaby dostępu do dokumentacji i rzeczywistego przebiegu przetwarzania informacji. W analizie przypadków nie przyjęto zatem, że sama dostępność funkcji dowodzi zgodności prawnej, ani nie uznano każdego wykorzystania danych za naruszenie prywatności. Ocenie podlegają rozpoznane mechanizmy i związane z nimi wymagania.</w:t>
      </w:r>
    </w:p>
    <w:bookmarkEnd w:id="40"/>
    <w:bookmarkStart w:id="41" w:name="X6d92f38cd8d9c695f7ad14a43a4dc053f464861"/>
    <w:p>
      <w:pPr>
        <w:pStyle w:val="Heading2"/>
      </w:pPr>
      <w:r>
        <w:rPr>
          <w:rFonts w:ascii="Times New Roman" w:hAnsi="Times New Roman" w:eastAsia="Times New Roman" w:cs="Times New Roman"/>
        </w:rPr>
        <w:t xml:space="preserve">4.4. Problemy etyczne i negatywne efekty personalizacji</w:t>
      </w:r>
    </w:p>
    <w:p>
      <w:pPr>
        <w:pStyle w:val="FirstParagraph"/>
      </w:pPr>
      <w:r>
        <w:rPr>
          <w:rFonts w:ascii="Times New Roman" w:hAnsi="Times New Roman" w:eastAsia="Times New Roman" w:cs="Times New Roman"/>
        </w:rPr>
        <w:t xml:space="preserve">Ocena etyczna wykracza poza samo stwierdzenie zgodności z konkretnym przepisem. Działanie może być formalnie dopuszczalne, a mimo to odbierane jako niesprawiedliwe. Dotyczy to zwłaszcza sytuacji, gdy klient nie rozumie przyczyny przedstawionej propozycji. Sklep powinien rozpatrywać, czy personalizacja pomaga podejmować świadomą decyzję, przy czym ważne jest także zachowanie możliwości odmowy i wyboru innych rozwiązań.</w:t>
      </w:r>
    </w:p>
    <w:p>
      <w:pPr>
        <w:pStyle w:val="BodyText"/>
      </w:pPr>
      <w:r>
        <w:rPr>
          <w:rFonts w:ascii="Times New Roman" w:hAnsi="Times New Roman" w:eastAsia="Times New Roman" w:cs="Times New Roman"/>
        </w:rPr>
        <w:t xml:space="preserve">Efekt inwigilacji oznacza poczucie, że przedsiębiorstwo wie o użytkowniku zbyt wiele. Może pojawić się przy wyjątkowo szczegółowej reklamie albo przypomnieniu dotyczącym wrażliwego tematu, co nie oznacza automatycznie wykazania naruszenia prawa przez sklep. Jest jednak sygnałem problemu z akceptacją sposobu wykorzystywania informacji. Badania paradoksu personalizacji uzasadniają uwzględnienie takiej reakcji w projektowaniu komunikacji (Aguirre et al. 2015).</w:t>
      </w:r>
    </w:p>
    <w:p>
      <w:pPr>
        <w:pStyle w:val="BodyText"/>
      </w:pPr>
      <w:r>
        <w:rPr>
          <w:rFonts w:ascii="Times New Roman" w:hAnsi="Times New Roman" w:eastAsia="Times New Roman" w:cs="Times New Roman"/>
        </w:rPr>
        <w:t xml:space="preserve">Innym zagrożeniem jest zawężanie prezentowanego wyboru na podstawie dotychczasowych zainteresowań. W pracy określa się je roboczo jako bańkę zakupową, a klient może stale otrzymywać podobne propozycje, mimo zmiany swoich potrzeb. Nie jest to jednak nieunikniona cecha każdego systemu rekomendacyjnego. Stopień różnorodności zależy również od celu i zasad doboru ofert.</w:t>
      </w:r>
    </w:p>
    <w:p>
      <w:pPr>
        <w:pStyle w:val="BodyText"/>
      </w:pPr>
      <w:r>
        <w:rPr>
          <w:rFonts w:ascii="Times New Roman" w:hAnsi="Times New Roman" w:eastAsia="Times New Roman" w:cs="Times New Roman"/>
        </w:rPr>
        <w:t xml:space="preserve">Sposób oceny modelu może utrwalać istniejące nierówności w dostępie do widoczności. Produkty często pokazywane otrzymują więcej interakcji, które później wspierają ich dalszą ekspozycję. Nowe oferty mają wtedy trudniejszy start nawet przy dobrej jakości. Dla klienta oznacza to ryzyko pomijania wartościowych alternatyw. Dla sprzedawców działających na platformie może oznaczać nierówny dostęp do odbiorców.</w:t>
      </w:r>
    </w:p>
    <w:p>
      <w:pPr>
        <w:pStyle w:val="BodyText"/>
      </w:pPr>
      <w:r>
        <w:rPr>
          <w:rFonts w:ascii="Times New Roman" w:hAnsi="Times New Roman" w:eastAsia="Times New Roman" w:cs="Times New Roman"/>
        </w:rPr>
        <w:t xml:space="preserve">Możliwa jest również stronniczość wynikająca z niereprezentatywnych danych używanych podczas uczenia, a model może gorzej obsługiwać nietypowe zapytania albo rzadziej występujące potrzeby zakupowe. Wysoki wynik średni może ukrywać problemy dotyczące mniejszej grupy użytkowników, dlatego ocena powinna uwzględniać różne kategorie, języki i scenariusze korzystania ze sklepu. Takie podejście odpowiada szerszemu zarządzaniu ryzykiem przedstawionemu przez NIST (2023).</w:t>
      </w:r>
    </w:p>
    <w:p>
      <w:pPr>
        <w:pStyle w:val="BodyText"/>
      </w:pPr>
      <w:r>
        <w:rPr>
          <w:rFonts w:ascii="Times New Roman" w:hAnsi="Times New Roman" w:eastAsia="Times New Roman" w:cs="Times New Roman"/>
        </w:rPr>
        <w:t xml:space="preserve">Granica między pomocą a manipulacją zależy między innymi od celu projektowanego działania. Wyjaśnienie różnic między produktami wspiera samodzielną ocenę dostępnych możliwości. Ukrywanie kosztów albo wywoływanie sztucznej presji ogranicza jakość tej oceny. Personalizacja może zwiększać skuteczność obu rodzajów działań, dlatego wymaga kontroli, jednak nie jest z natury ani rozwiązaniem korzystnym, ani narzędziem szkodliwym w każdej sytuacji.</w:t>
      </w:r>
    </w:p>
    <w:bookmarkEnd w:id="41"/>
    <w:bookmarkStart w:id="42" w:name="cyberbezpieczeństwo-i-bariery-wdrożenia"/>
    <w:p>
      <w:pPr>
        <w:pStyle w:val="Heading2"/>
      </w:pPr>
      <w:r>
        <w:rPr>
          <w:rFonts w:ascii="Times New Roman" w:hAnsi="Times New Roman" w:eastAsia="Times New Roman" w:cs="Times New Roman"/>
        </w:rPr>
        <w:t xml:space="preserve">4.5. Cyberbezpieczeństwo i bariery wdrożenia</w:t>
      </w:r>
    </w:p>
    <w:p>
      <w:pPr>
        <w:pStyle w:val="FirstParagraph"/>
      </w:pPr>
      <w:r>
        <w:rPr>
          <w:rFonts w:ascii="Times New Roman" w:hAnsi="Times New Roman" w:eastAsia="Times New Roman" w:cs="Times New Roman"/>
        </w:rPr>
        <w:t xml:space="preserve">Personalizacja zwiększa znaczenie przepływu informacji między różnymi częściami infrastruktury sklepu. System rekomendacyjny może korzystać z katalogu, danych zachowania oraz usług zewnętrznych. Chatbot może dodatkowo otrzymywać dostęp do informacji o konkretnym zamówieniu. Każde połączenie wymaga określenia uprawnień i zakresu przekazywanych danych. Rozbudowanie funkcji bez odpowiedniej kontroli może zwiększać skutki potencjalnego naruszenia.</w:t>
      </w:r>
    </w:p>
    <w:p>
      <w:pPr>
        <w:pStyle w:val="BodyText"/>
      </w:pPr>
      <w:r>
        <w:rPr>
          <w:rFonts w:ascii="Times New Roman" w:hAnsi="Times New Roman" w:eastAsia="Times New Roman" w:cs="Times New Roman"/>
        </w:rPr>
        <w:t xml:space="preserve">Podstawowe cele bezpieczeństwa obejmują poufność, integralność oraz dostępność informacji. Poufność oznacza ograniczenie dostępu do danych do właściwych osób i systemów. Integralność dotyczy ochrony przed nieuprawnioną zmianą, na przykład ceny lub statusu zamówienia. Dostępność pozwala korzystać z usługi wtedy, gdy jest potrzebna klientowi. Wszystkie te obszary mają znaczenie dla utrzymania zaufania do sklepu.</w:t>
      </w:r>
    </w:p>
    <w:p>
      <w:pPr>
        <w:pStyle w:val="BodyText"/>
      </w:pPr>
      <w:r>
        <w:rPr>
          <w:rFonts w:ascii="Times New Roman" w:hAnsi="Times New Roman" w:eastAsia="Times New Roman" w:cs="Times New Roman"/>
        </w:rPr>
        <w:t xml:space="preserve">System generatywny wprowadza dodatkowe ryzyko związane z interpretowaniem otrzymywanego tekstu. Treść opisu produktu lub wiadomości może próbować zmienić sposób działania asystenta. Materiał zewnętrzny powinien być traktowany jako dane, a nie uprawnione polecenie administracyjne. Szczególnie ważne jest ograniczenie możliwości wykonywania operacji dotyczących zamówień i płatności. Rozmowa językowa nie może zastępować niezależnej kontroli dostępu do takich czynności.</w:t>
      </w:r>
    </w:p>
    <w:p>
      <w:pPr>
        <w:pStyle w:val="BodyText"/>
      </w:pPr>
      <w:r>
        <w:rPr>
          <w:rFonts w:ascii="Times New Roman" w:hAnsi="Times New Roman" w:eastAsia="Times New Roman" w:cs="Times New Roman"/>
        </w:rPr>
        <w:t xml:space="preserve">Należy także chronić informacje trafiające do dzienników systemowych i narzędzi analitycznych. Zapis całej rozmowy może zawierać dane osobowe niewymagane do późniejszej oceny jakości. Okres przechowywania powinien odpowiadać celowi, a dostęp pozostawać odpowiednio ograniczony. Kontrola jakości nie uzasadnia automatycznie gromadzenia każdego szczegółu kontaktu. Bezpieczeństwo wymaga powiązania działań technicznych z zasadami zarządzania informacją.</w:t>
      </w:r>
    </w:p>
    <w:p>
      <w:pPr>
        <w:pStyle w:val="BodyText"/>
      </w:pPr>
      <w:r>
        <w:rPr>
          <w:rFonts w:ascii="Times New Roman" w:hAnsi="Times New Roman" w:eastAsia="Times New Roman" w:cs="Times New Roman"/>
        </w:rPr>
        <w:t xml:space="preserve">Do barier wdrożenia należą również koszty, jakość katalogu oraz kompetencje organizacji. Nieuporządkowane opisy produktów utrudniają zarówno rekomendacje, jak też odpowiedzi generowane przez asystenta. Brak wspólnego identyfikatora produktu komplikuje łączenie informacji pochodzących z różnych systemów, dlatego w takiej sytuacji zakup bardziej rozbudowanego modelu nie rozwiązuje podstawowego problemu. Konieczne może być wcześniejsze uporządkowanie procesów i danych przedsiębiorstwa.</w:t>
      </w:r>
    </w:p>
    <w:p>
      <w:pPr>
        <w:pStyle w:val="BodyText"/>
      </w:pPr>
      <w:r>
        <w:rPr>
          <w:rFonts w:ascii="Times New Roman" w:hAnsi="Times New Roman" w:eastAsia="Times New Roman" w:cs="Times New Roman"/>
        </w:rPr>
        <w:t xml:space="preserve">W małym sklepie ważne staje się porównanie kosztu utrzymania z oczekiwanym efektem. Opłaty za usługę, integracja oraz kontrola odpowiedzi tworzą łączne obciążenie organizacji. Wdrożenie powinno zaczynać się od zadania o czytelnej wartości i ograniczonym ryzyku, na przykład pomocy w wyszukiwaniu informacji lub rekomendacji akcesoriów. Rozszerzanie zakresu wymaga wyników uzasadniających kolejne nakłady.</w:t>
      </w:r>
    </w:p>
    <w:bookmarkEnd w:id="42"/>
    <w:bookmarkEnd w:id="43"/>
    <w:bookmarkStart w:id="49" w:name="analiza-wybranych-przypadków"/>
    <w:p>
      <w:pPr>
        <w:pStyle w:val="Heading1"/>
      </w:pPr>
      <w:r>
        <w:rPr>
          <w:rFonts w:ascii="Times New Roman" w:hAnsi="Times New Roman" w:eastAsia="Times New Roman" w:cs="Times New Roman"/>
        </w:rPr>
        <w:t xml:space="preserve">5. ANALIZA WYBRANYCH PRZYPADKÓW</w:t>
      </w:r>
    </w:p>
    <w:bookmarkStart w:id="44" w:name="kryteria-doboru-i-zakres-porównania"/>
    <w:p>
      <w:pPr>
        <w:pStyle w:val="Heading2"/>
      </w:pPr>
      <w:r>
        <w:rPr>
          <w:rFonts w:ascii="Times New Roman" w:hAnsi="Times New Roman" w:eastAsia="Times New Roman" w:cs="Times New Roman"/>
        </w:rPr>
        <w:t xml:space="preserve">5.1. Kryteria doboru i zakres porównania</w:t>
      </w:r>
    </w:p>
    <w:p>
      <w:pPr>
        <w:pStyle w:val="FirstParagraph"/>
      </w:pPr>
      <w:r>
        <w:rPr>
          <w:rFonts w:ascii="Times New Roman" w:hAnsi="Times New Roman" w:eastAsia="Times New Roman" w:cs="Times New Roman"/>
        </w:rPr>
        <w:t xml:space="preserve">Do analizy wybrano Amazon, Zalando oraz Allegro jako przykłady różnych zastosowań AI. Dobór ma charakter celowy i wynika z dostępności materiałów opisujących konkretne rozwiązania. Amazon reprezentuje rekomendacje produktów oraz rozwój konwersacyjnego wspierania zakupów. Zalando pozwala rozpatrzyć znaczenie kontekstu i języka przy poszukiwaniu odzieży. Allegro pokazuje natomiast wykorzystanie modeli językowych do oceny trafności wyszukiwania.</w:t>
      </w:r>
    </w:p>
    <w:p>
      <w:pPr>
        <w:pStyle w:val="BodyText"/>
      </w:pPr>
      <w:r>
        <w:rPr>
          <w:rFonts w:ascii="Times New Roman" w:hAnsi="Times New Roman" w:eastAsia="Times New Roman" w:cs="Times New Roman"/>
        </w:rPr>
        <w:t xml:space="preserve">Przypadki nie są identyczne, dlatego nie utworzono rankingu skuteczności analizowanych przedsiębiorstw. Różnią się charakterem funkcji, okresem opisu oraz rodzajem udostępnionych danych. Wspólnym punktem porównania jest sposób łączenia potrzeb odbiorcy z informacją o ofercie. Oceniono także ograniczenia dowodów dotyczących poprawy relacji i efektów sprzedażowych. Tak określony zakres pozwala uniknąć porównywania niezgodnych wskaźników.</w:t>
      </w:r>
    </w:p>
    <w:p>
      <w:pPr>
        <w:pStyle w:val="BodyText"/>
      </w:pPr>
      <w:r>
        <w:rPr>
          <w:rFonts w:ascii="Times New Roman" w:hAnsi="Times New Roman" w:eastAsia="Times New Roman" w:cs="Times New Roman"/>
        </w:rPr>
        <w:t xml:space="preserve">Wykorzystano artykuł techniczny dotyczący rekomendacji Amazon oraz oficjalny opis uruchomienia asystenta zakupowego. Dla Zalando podstawę stanowi komunikat z 19 kwietnia 2023 roku. W przypadku Allegro wykorzystano publikację zespołu technicznego z sierpnia 2026 roku. Dokumenty opisują konkretne etapy rozwoju funkcji, a nie pełny stan przedsiębiorstw. Data materiału jest więc istotną częścią interpretacji każdego przypadku.</w:t>
      </w:r>
    </w:p>
    <w:p>
      <w:pPr>
        <w:pStyle w:val="BodyText"/>
      </w:pPr>
      <w:r>
        <w:rPr>
          <w:rFonts w:ascii="Times New Roman" w:hAnsi="Times New Roman" w:eastAsia="Times New Roman" w:cs="Times New Roman"/>
        </w:rPr>
        <w:t xml:space="preserve">Analiza obejmuje problem klienta, wykorzystywany mechanizm, źródła informacji oraz zakres udokumentowanych rezultatów. Oddzielono deklaracje firm od wniosków sformułowanych na potrzeby niniejszej pracy, jednak nie przeprowadzono własnego testu działania platform ani badania ich użytkowników. Nie przyjęto również, że publiczny opis ujawnia pełną architekturę techniczną. Brak określonej informacji wskazano jako ograniczenie dostępnego materiału.</w:t>
      </w:r>
    </w:p>
    <w:bookmarkEnd w:id="44"/>
    <w:bookmarkStart w:id="45" w:name="Xe9c45002061c4e54c20375195c73da616aadc04"/>
    <w:p>
      <w:pPr>
        <w:pStyle w:val="Heading2"/>
      </w:pPr>
      <w:r>
        <w:rPr>
          <w:rFonts w:ascii="Times New Roman" w:hAnsi="Times New Roman" w:eastAsia="Times New Roman" w:cs="Times New Roman"/>
        </w:rPr>
        <w:t xml:space="preserve">5.2. Amazon: od podobieństwa produktów do rozmowy zakupowej</w:t>
      </w:r>
    </w:p>
    <w:p>
      <w:pPr>
        <w:pStyle w:val="FirstParagraph"/>
      </w:pPr>
      <w:r>
        <w:rPr>
          <w:rFonts w:ascii="Times New Roman" w:hAnsi="Times New Roman" w:eastAsia="Times New Roman" w:cs="Times New Roman"/>
        </w:rPr>
        <w:t xml:space="preserve">Artykuł Lindena, Smitha i Yorka przedstawia sposób tworzenia rekomendacji wykorzystujący podobieństwo produktów. Głównym problemem była obsługa dużej liczby klientów oraz rozbudowanego katalogu oferty. Porównywanie każdego użytkownika ze wszystkimi pozostałymi tworzyło ograniczenia wydajnościowe. Autorzy opisali podejście koncentrujące się na relacjach między przedmiotami (Linden et al. 2003). Przygotowane powiązania można było wykorzystać do dopasowywania propozycji podczas kontaktu z klientem.</w:t>
      </w:r>
    </w:p>
    <w:p>
      <w:pPr>
        <w:pStyle w:val="BodyText"/>
      </w:pPr>
      <w:r>
        <w:rPr>
          <w:rFonts w:ascii="Times New Roman" w:hAnsi="Times New Roman" w:eastAsia="Times New Roman" w:cs="Times New Roman"/>
        </w:rPr>
        <w:t xml:space="preserve">Z perspektywy odbiorcy znaczenie miało ograniczenie wysiłku potrzebnego do odkrycia kolejnych produktów. Rekomendacja mogła wskazywać przedmioty związane z dotychczasowym zainteresowaniem lub historią zakupów. Nie wymagało to ręcznego opisania wszystkich preferencji przez użytkownika, a jednocześnie system korzystał z pośrednich sygnałów, które mogły być niejednoznaczne. Historia zakupu nie wyjaśniała na przykład, czy produkt przeznaczono dla kupującego.</w:t>
      </w:r>
    </w:p>
    <w:p>
      <w:pPr>
        <w:pStyle w:val="BodyText"/>
      </w:pPr>
      <w:r>
        <w:rPr>
          <w:rFonts w:ascii="Times New Roman" w:hAnsi="Times New Roman" w:eastAsia="Times New Roman" w:cs="Times New Roman"/>
        </w:rPr>
        <w:t xml:space="preserve">Opisane rozwiązanie pokazuje związek między architekturą techniczną a możliwością prowadzenia personalizacji. Nawet trafna metoda nie spełni zadania, jeśli działa zbyt wolno podczas wizyty. Wydajność jest więc warunkiem udostępnienia propozycji we właściwym momencie procesu zakupowego, nie oznacza jednak automatycznie wzrostu zaufania ani długoterminowej lojalności. Artykuł techniczny nie stanowi samodzielnego dowodu takich skutków relacyjnych.</w:t>
      </w:r>
    </w:p>
    <w:p>
      <w:pPr>
        <w:pStyle w:val="BodyText"/>
      </w:pPr>
      <w:r>
        <w:rPr>
          <w:rFonts w:ascii="Times New Roman" w:hAnsi="Times New Roman" w:eastAsia="Times New Roman" w:cs="Times New Roman"/>
        </w:rPr>
        <w:t xml:space="preserve">Inny sposób wspierania zakupów przedstawiono w komunikacie dotyczącym asystenta Rufus. Amazon opisał możliwość zadawania pytań o potrzeby, kategorie oraz konkretne produkty (www.aboutamazon.com/news/retail/amazon-rufus). Wskazano wykorzystanie katalogu, opinii klientów, pytań społeczności i informacji z Internetu. Odpowiedzi miały uwzględniać kontekst prowadzonej rozmowy i pomagać porównywać dostępne możliwości. Był to opis funkcji rozwijanej początkowo w wersji testowej.</w:t>
      </w:r>
    </w:p>
    <w:p>
      <w:pPr>
        <w:pStyle w:val="BodyText"/>
      </w:pPr>
      <w:r>
        <w:rPr>
          <w:rFonts w:ascii="Times New Roman" w:hAnsi="Times New Roman" w:eastAsia="Times New Roman" w:cs="Times New Roman"/>
        </w:rPr>
        <w:t xml:space="preserve">Klient może w takim modelu rozpocząć kontakt od określenia planowanej aktywności, ale nie musi znać dokładnej nazwy produktu ani pełnego zestawu parametrów wyszukiwania. Kolejne pytania pozwalają doprecyzować oczekiwania oraz zawęzić listę odpowiednich propozycji. Personalizacja opiera się wtedy także na informacji przekazanej świadomie podczas rozmowy. Jest to inny rodzaj kontekstu niż sama historia wcześniejszych kliknięć.</w:t>
      </w:r>
    </w:p>
    <w:p>
      <w:pPr>
        <w:pStyle w:val="BodyText"/>
      </w:pPr>
      <w:r>
        <w:rPr>
          <w:rFonts w:ascii="Times New Roman" w:hAnsi="Times New Roman" w:eastAsia="Times New Roman" w:cs="Times New Roman"/>
        </w:rPr>
        <w:t xml:space="preserve">Oficjalny materiał zaznacza również możliwość występowania błędów generowanej odpowiedzi. Przewidziano przekazywanie opinii przez użytkowników oraz powrót do standardowych wyników wyszukiwania. Elementy te są istotne, ponieważ ograniczają traktowanie rozmowy jako jedynej dostępnej ścieżki, nie dowodzą jednak całkowitego usunięcia ryzyka błędnej rekomendacji. Kontrola jakości pozostaje potrzebna również po udostępnieniu funkcji szerszej grupie odbiorców.</w:t>
      </w:r>
    </w:p>
    <w:p>
      <w:pPr>
        <w:pStyle w:val="BodyText"/>
      </w:pPr>
      <w:r>
        <w:rPr>
          <w:rFonts w:ascii="Times New Roman" w:hAnsi="Times New Roman" w:eastAsia="Times New Roman" w:cs="Times New Roman"/>
        </w:rPr>
        <w:t xml:space="preserve">Na stronie źródłowej dodano informację o zmianie nazwy w maju 2026 roku. Wskazano nazwę Alexa for Shopping, zastępującą wcześniejsze określenie Rufus. W niniejszej analizie zachowano nazwę historyczną przy opisie komunikatu uruchomienia z 2024 roku. Takie rozróżnienie pozwala uniknąć mieszania dat oraz kolejnych wersji produktu, jednak nie przyjęto, że wszystkie obecne funkcje były dostępne podczas pierwszego uruchomienia.</w:t>
      </w:r>
    </w:p>
    <w:p>
      <w:pPr>
        <w:pStyle w:val="BodyText"/>
      </w:pPr>
      <w:r>
        <w:rPr>
          <w:rFonts w:ascii="Times New Roman" w:hAnsi="Times New Roman" w:eastAsia="Times New Roman" w:cs="Times New Roman"/>
        </w:rPr>
        <w:t xml:space="preserve">Przypadek Amazon pokazuje przejście między dwoma sposobami pozyskiwania kontekstu zakupowego. Pierwszy wykorzystuje relacje między wcześniejszymi interakcjami z produktami. Drugi pozwala dodatkowo opisać potrzebę w bezpośredniej rozmowie z systemem, a oba podejścia mogą ograniczać wysiłek poszukiwania, lecz opierają się na odmiennych przesłankach. Ich skuteczności nie należy oceniać wyłącznie przez fakt zastosowania bardziej rozbudowanej technologii.</w:t>
      </w:r>
    </w:p>
    <w:bookmarkEnd w:id="45"/>
    <w:bookmarkStart w:id="46" w:name="X837ff9533adf2f470505b7bdd5055e5035f0684"/>
    <w:p>
      <w:pPr>
        <w:pStyle w:val="Heading2"/>
      </w:pPr>
      <w:r>
        <w:rPr>
          <w:rFonts w:ascii="Times New Roman" w:hAnsi="Times New Roman" w:eastAsia="Times New Roman" w:cs="Times New Roman"/>
        </w:rPr>
        <w:t xml:space="preserve">5.3. Zalando: interpretacja potrzeby w kontekście mody</w:t>
      </w:r>
    </w:p>
    <w:p>
      <w:pPr>
        <w:pStyle w:val="FirstParagraph"/>
      </w:pPr>
      <w:r>
        <w:rPr>
          <w:rFonts w:ascii="Times New Roman" w:hAnsi="Times New Roman" w:eastAsia="Times New Roman" w:cs="Times New Roman"/>
        </w:rPr>
        <w:t xml:space="preserve">W zakupach odzieżowych klient często rozpoczyna od okazji, stylu albo oczekiwanego efektu. Parametry katalogowe nie zawsze odpowiadają językowi używanemu podczas opisywania takiej potrzeby, a użytkownik może wiedzieć, na jakie wydarzenie szuka stroju, bez wskazania konkretnego fasonu. Powstaje wtedy potrzeba przełożenia opisu sytuacji na odpowiednie propozycje produktów. Temu problemowi odpowiadał zapowiedziany przez Zalando asystent wykorzystujący ChatGPT (corporate.zalando.com/en/technology/zalando-launch-fashion-assistant-powered-chatgpt).</w:t>
      </w:r>
    </w:p>
    <w:p>
      <w:pPr>
        <w:pStyle w:val="BodyText"/>
      </w:pPr>
      <w:r>
        <w:rPr>
          <w:rFonts w:ascii="Times New Roman" w:hAnsi="Times New Roman" w:eastAsia="Times New Roman" w:cs="Times New Roman"/>
        </w:rPr>
        <w:t xml:space="preserve">Komunikat przedstawiał możliwość wyszukiwania przy użyciu własnych słów i określeń związanych z modą. Jako przykład podano pytanie o strój na ślub na Santorini w lipcu. Kontekst obejmował więc rodzaj wydarzenia, miejsce oraz porę roku. Asystent miał przygotować wyjaśnienie i propozycje odpowiadające tak opisanej sytuacji. Przykład prezentuje deklarowany scenariusz funkcji, a nie wynik niezależnego badania jej skuteczności.</w:t>
      </w:r>
    </w:p>
    <w:p>
      <w:pPr>
        <w:pStyle w:val="BodyText"/>
      </w:pPr>
      <w:r>
        <w:rPr>
          <w:rFonts w:ascii="Times New Roman" w:hAnsi="Times New Roman" w:eastAsia="Times New Roman" w:cs="Times New Roman"/>
        </w:rPr>
        <w:t xml:space="preserve">W dokumencie zapowiedziano pierwszą wersję dla wybranych klientów na określonych rynkach. Wymieniono Niemcy, Irlandię, Wielką Brytanię oraz Austrię, z obsługą angielskiego i niemieckiego, dlatego nie można na tej podstawie stwierdzać powszechnej dostępności funkcji we wszystkich krajach. Nie jest też uzasadnione przenoszenie opisu bezpośrednio na polską wersję platformy. Zakres pilotażu stanowi część informacji potrzebnych do poprawnej interpretacji materiału.</w:t>
      </w:r>
    </w:p>
    <w:p>
      <w:pPr>
        <w:pStyle w:val="BodyText"/>
      </w:pPr>
      <w:r>
        <w:rPr>
          <w:rFonts w:ascii="Times New Roman" w:hAnsi="Times New Roman" w:eastAsia="Times New Roman" w:cs="Times New Roman"/>
        </w:rPr>
        <w:t xml:space="preserve">Szczególnie ważne jest rozróżnienie opisanej funkcji od planowanego rozwoju personalizacji. Powiązanie propozycji z obserwowanymi markami oraz dostępnymi rozmiarami wskazano jako przyszłą możliwość, dlatego nie należy przedstawiać tych elementów jako potwierdzonych funkcji pierwszej wersji. Komunikaty produktowe często łączą opis stanu bieżącego i zamierzeń przedsiębiorstwa. Analiza wymaga oddzielenia obu rodzajów informacji.</w:t>
      </w:r>
    </w:p>
    <w:p>
      <w:pPr>
        <w:pStyle w:val="BodyText"/>
      </w:pPr>
      <w:r>
        <w:rPr>
          <w:rFonts w:ascii="Times New Roman" w:hAnsi="Times New Roman" w:eastAsia="Times New Roman" w:cs="Times New Roman"/>
        </w:rPr>
        <w:t xml:space="preserve">Potencjalna korzyść wynika z ograniczenia trudności w przełożeniu potrzeby na język katalogu. Klient może doprecyzować sytuację kolejnym pytaniem zamiast rozpoczynać wyszukiwanie od nowa, nie rozwiązuje to jednak wszystkich problemów charakterystycznych dla sprzedaży odzieży online. Dopasowanie stylu nie oznacza pewności dotyczącej rozmiaru, materiału i komfortu użytkowania. Informacje te nadal wymagają odpowiednich danych produktowych i możliwości sprawdzenia warunków zakupu.</w:t>
      </w:r>
    </w:p>
    <w:p>
      <w:pPr>
        <w:pStyle w:val="BodyText"/>
      </w:pPr>
      <w:r>
        <w:rPr>
          <w:rFonts w:ascii="Times New Roman" w:hAnsi="Times New Roman" w:eastAsia="Times New Roman" w:cs="Times New Roman"/>
        </w:rPr>
        <w:t xml:space="preserve">W komunikacie podkreślono zamiar poznawania sposobu korzystania klientów z nowego asystenta. Wskazano również znaczenie prywatności oraz zaufania podczas rozwoju doświadczenia zakupowego. Są to deklaracje określające kierunek projektu, nie wyniki audytu zgodności. Materiał nie dostarcza porównywalnego pomiaru długoterminowej lojalności użytkowników, ani nie pozwala przypisać konkretnego wzrostu sprzedaży samemu asystentowi.</w:t>
      </w:r>
    </w:p>
    <w:p>
      <w:pPr>
        <w:pStyle w:val="BodyText"/>
      </w:pPr>
      <w:r>
        <w:rPr>
          <w:rFonts w:ascii="Times New Roman" w:hAnsi="Times New Roman" w:eastAsia="Times New Roman" w:cs="Times New Roman"/>
        </w:rPr>
        <w:t xml:space="preserve">Z perspektywy zarządzania przypadek ten pokazuje znaczenie języka właściwego dla danej kategorii. W modzie potrzeba może być opisana przez okazję i oczekiwany sposób prezentacji. W elektronice większe znaczenie mogą mieć parametry oraz zgodność z posiadanym sprzętem. Skuteczny interfejs powinien zatem odpowiadać sposobowi formułowania pytań przez odbiorców. Jeden ogólny schemat rozmowy nie musi być równie przydatny w każdym sklepie.</w:t>
      </w:r>
    </w:p>
    <w:bookmarkEnd w:id="46"/>
    <w:bookmarkStart w:id="47" w:name="Xa6b2be6e17839628008d470e1a4e1f98f7cb47a"/>
    <w:p>
      <w:pPr>
        <w:pStyle w:val="Heading2"/>
      </w:pPr>
      <w:r>
        <w:rPr>
          <w:rFonts w:ascii="Times New Roman" w:hAnsi="Times New Roman" w:eastAsia="Times New Roman" w:cs="Times New Roman"/>
        </w:rPr>
        <w:t xml:space="preserve">5.4. Allegro: ocena trafności jako warunek użytecznego dopasowania</w:t>
      </w:r>
    </w:p>
    <w:p>
      <w:pPr>
        <w:pStyle w:val="FirstParagraph"/>
      </w:pPr>
      <w:r>
        <w:rPr>
          <w:rFonts w:ascii="Times New Roman" w:hAnsi="Times New Roman" w:eastAsia="Times New Roman" w:cs="Times New Roman"/>
        </w:rPr>
        <w:t xml:space="preserve">Na platformie obejmującej wiele kategorii problemem jest także ocena jakości wyników wyszukiwania, jednak sama liczba kliknięć nie wyjaśnia, czy produkty odpowiadają znaczeniu konkretnego zapytania. Artykuł Marhuli i Sidora opisuje wykorzystanie modeli językowych do wspierania takiej oceny. Przedstawiono narzędzie Relevance Assessment Tool oraz proces przygotowania danych odniesienia (blog.allegro.tech/2026/08/automating-search-relevance-llm-as-a-judge.html). Materiał pochodzi od zespołu technicznego przedsiębiorstwa i opisuje jego doświadczenia.</w:t>
      </w:r>
    </w:p>
    <w:p>
      <w:pPr>
        <w:pStyle w:val="BodyText"/>
      </w:pPr>
      <w:r>
        <w:rPr>
          <w:rFonts w:ascii="Times New Roman" w:hAnsi="Times New Roman" w:eastAsia="Times New Roman" w:cs="Times New Roman"/>
        </w:rPr>
        <w:t xml:space="preserve">Autorzy zwracają uwagę na niejednoznaczność relacji między zapytaniem a przedstawionym produktem. Oferta może dokładnie odpowiadać potrzebie, stanowić zamiennik albo jedynie produkt uzupełniający. W innych sytuacjach okazuje się nieistotna lub trudna do jednoznacznej oceny. Przygotowanie wspólnych zasad klasyfikacji wymaga więc wiedzy o różnych kategoriach asortymentu, jednak nie wystarcza automatyczne porównanie podobieństwa użytych słów.</w:t>
      </w:r>
    </w:p>
    <w:p>
      <w:pPr>
        <w:pStyle w:val="BodyText"/>
      </w:pPr>
      <w:r>
        <w:rPr>
          <w:rFonts w:ascii="Times New Roman" w:hAnsi="Times New Roman" w:eastAsia="Times New Roman" w:cs="Times New Roman"/>
        </w:rPr>
        <w:t xml:space="preserve">Opisany proces wykorzystywał ocenę ludzi oraz rozstrzyganie rozbieżności przez ekspertów. Na tej podstawie przygotowano materiał służący porównywaniu rezultatów modeli językowych. Jest to ważne, ponieważ sam model nie powinien wyznaczać jednocześnie kryterium i oceniać własnej poprawności. Potrzebny pozostaje punkt odniesienia związany z rzeczywistym znaczeniem wyszukiwanego produktu. Dokument pokazuje zatem rolę pracy ludzkiej w przygotowaniu automatycznej oceny.</w:t>
      </w:r>
    </w:p>
    <w:p>
      <w:pPr>
        <w:pStyle w:val="BodyText"/>
      </w:pPr>
      <w:r>
        <w:rPr>
          <w:rFonts w:ascii="Times New Roman" w:hAnsi="Times New Roman" w:eastAsia="Times New Roman" w:cs="Times New Roman"/>
        </w:rPr>
        <w:t xml:space="preserve">W tabeli 4 przytoczono wybrane wyniki pozwalające porównać trudność rozpoznawania poszczególnych klas trafności.</w:t>
      </w:r>
    </w:p>
    <w:p>
      <w:pPr>
        <w:pStyle w:val="TableCaption"/>
      </w:pPr>
      <w:r>
        <w:rPr>
          <w:rFonts w:ascii="Times New Roman" w:hAnsi="Times New Roman" w:eastAsia="Times New Roman" w:cs="Times New Roman"/>
          <w:b/>
          <w:bCs/>
        </w:rPr>
        <w:t xml:space="preserve">Tabela 4. Wybrane wyniki oceny klas trafności opisane przez zespół Allegro</w:t>
      </w:r>
    </w:p>
    <w:tbl>
      <w:tblPr>
        <w:tblStyle w:val="Table"/>
        <w:tblW w:type="pct" w:w="5000"/>
        <w:jc w:val="center"/>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4252"/>
        <w:gridCol w:w="1701"/>
        <w:gridCol w:w="2835"/>
      </w:tblGrid>
      <w:tr>
        <w:trPr>
          <w:tblHeader w:val="on"/>
          <w:cantSplit/>
        </w:trPr>
        <w:tc>
          <w:tcPr>
            <w:tcW w:type="dxa" w:w="4252"/>
          </w:tcPr>
          <w:p>
            <w:pPr>
              <w:pStyle w:val="Compact"/>
              <w:spacing w:before="0" w:after="0" w:line="240" w:lineRule="auto"/>
              <w:ind w:firstLine="0"/>
              <w:jc w:val="center"/>
            </w:pPr>
            <w:r>
              <w:rPr>
                <w:rFonts w:ascii="Times New Roman" w:hAnsi="Times New Roman"/>
                <w:b/>
                <w:sz w:val="20"/>
              </w:rPr>
              <w:t xml:space="preserve">Klasa relacji produktu do zapytania</w:t>
            </w:r>
          </w:p>
        </w:tc>
        <w:tc>
          <w:tcPr>
            <w:tcW w:type="dxa" w:w="1701"/>
          </w:tcPr>
          <w:p>
            <w:pPr>
              <w:pStyle w:val="Compact"/>
              <w:spacing w:before="0" w:after="0" w:line="240" w:lineRule="auto"/>
              <w:ind w:firstLine="0"/>
              <w:jc w:val="center"/>
            </w:pPr>
            <w:r>
              <w:rPr>
                <w:rFonts w:ascii="Times New Roman" w:hAnsi="Times New Roman"/>
                <w:b/>
                <w:sz w:val="20"/>
              </w:rPr>
              <w:t xml:space="preserve">Wartość F1</w:t>
            </w:r>
          </w:p>
        </w:tc>
        <w:tc>
          <w:tcPr>
            <w:tcW w:type="dxa" w:w="2835"/>
          </w:tcPr>
          <w:p>
            <w:pPr>
              <w:pStyle w:val="Compact"/>
              <w:spacing w:before="0" w:after="0" w:line="240" w:lineRule="auto"/>
              <w:ind w:firstLine="0"/>
              <w:jc w:val="center"/>
            </w:pPr>
            <w:r>
              <w:rPr>
                <w:rFonts w:ascii="Times New Roman" w:hAnsi="Times New Roman"/>
                <w:b/>
                <w:sz w:val="20"/>
              </w:rPr>
              <w:t xml:space="preserve">Liczba przykładów w pokazanym zbiorze</w:t>
            </w:r>
          </w:p>
        </w:tc>
      </w:tr>
      <w:tr>
        <w:trPr>
          <w:cantSplit/>
        </w:trPr>
        <w:tc>
          <w:tcPr>
            <w:tcW w:type="dxa" w:w="4252"/>
          </w:tcPr>
          <w:p>
            <w:pPr>
              <w:pStyle w:val="Compact"/>
              <w:spacing w:before="0" w:after="0" w:line="240" w:lineRule="auto"/>
              <w:ind w:firstLine="0"/>
              <w:jc w:val="left"/>
            </w:pPr>
            <w:r>
              <w:rPr>
                <w:rFonts w:ascii="Times New Roman" w:hAnsi="Times New Roman"/>
                <w:b w:val="0"/>
                <w:sz w:val="20"/>
              </w:rPr>
              <w:t xml:space="preserve">Produkt dokładnie odpowiadający</w:t>
            </w:r>
          </w:p>
        </w:tc>
        <w:tc>
          <w:tcPr>
            <w:tcW w:type="dxa" w:w="1701"/>
          </w:tcPr>
          <w:p>
            <w:pPr>
              <w:pStyle w:val="Compact"/>
              <w:spacing w:before="0" w:after="0" w:line="240" w:lineRule="auto"/>
              <w:ind w:firstLine="0"/>
              <w:jc w:val="left"/>
            </w:pPr>
            <w:r>
              <w:rPr>
                <w:rFonts w:ascii="Times New Roman" w:hAnsi="Times New Roman"/>
                <w:b w:val="0"/>
                <w:sz w:val="20"/>
              </w:rPr>
              <w:t xml:space="preserve">0,94</w:t>
            </w:r>
          </w:p>
        </w:tc>
        <w:tc>
          <w:tcPr>
            <w:tcW w:type="dxa" w:w="2835"/>
          </w:tcPr>
          <w:p>
            <w:pPr>
              <w:pStyle w:val="Compact"/>
              <w:spacing w:before="0" w:after="0" w:line="240" w:lineRule="auto"/>
              <w:ind w:firstLine="0"/>
              <w:jc w:val="left"/>
            </w:pPr>
            <w:r>
              <w:rPr>
                <w:rFonts w:ascii="Times New Roman" w:hAnsi="Times New Roman"/>
                <w:b w:val="0"/>
                <w:sz w:val="20"/>
              </w:rPr>
              <w:t xml:space="preserve">10 413</w:t>
            </w:r>
          </w:p>
        </w:tc>
      </w:tr>
      <w:tr>
        <w:trPr>
          <w:cantSplit/>
        </w:trPr>
        <w:tc>
          <w:tcPr>
            <w:tcW w:type="dxa" w:w="4252"/>
          </w:tcPr>
          <w:p>
            <w:pPr>
              <w:pStyle w:val="Compact"/>
              <w:spacing w:before="0" w:after="0" w:line="240" w:lineRule="auto"/>
              <w:ind w:firstLine="0"/>
              <w:jc w:val="left"/>
            </w:pPr>
            <w:r>
              <w:rPr>
                <w:rFonts w:ascii="Times New Roman" w:hAnsi="Times New Roman"/>
                <w:b w:val="0"/>
                <w:sz w:val="20"/>
              </w:rPr>
              <w:t xml:space="preserve">Produkt wysoce zastępowalny</w:t>
            </w:r>
          </w:p>
        </w:tc>
        <w:tc>
          <w:tcPr>
            <w:tcW w:type="dxa" w:w="1701"/>
          </w:tcPr>
          <w:p>
            <w:pPr>
              <w:pStyle w:val="Compact"/>
              <w:spacing w:before="0" w:after="0" w:line="240" w:lineRule="auto"/>
              <w:ind w:firstLine="0"/>
              <w:jc w:val="left"/>
            </w:pPr>
            <w:r>
              <w:rPr>
                <w:rFonts w:ascii="Times New Roman" w:hAnsi="Times New Roman"/>
                <w:b w:val="0"/>
                <w:sz w:val="20"/>
              </w:rPr>
              <w:t xml:space="preserve">0,51</w:t>
            </w:r>
          </w:p>
        </w:tc>
        <w:tc>
          <w:tcPr>
            <w:tcW w:type="dxa" w:w="2835"/>
          </w:tcPr>
          <w:p>
            <w:pPr>
              <w:pStyle w:val="Compact"/>
              <w:spacing w:before="0" w:after="0" w:line="240" w:lineRule="auto"/>
              <w:ind w:firstLine="0"/>
              <w:jc w:val="left"/>
            </w:pPr>
            <w:r>
              <w:rPr>
                <w:rFonts w:ascii="Times New Roman" w:hAnsi="Times New Roman"/>
                <w:b w:val="0"/>
                <w:sz w:val="20"/>
              </w:rPr>
              <w:t xml:space="preserve">607</w:t>
            </w:r>
          </w:p>
        </w:tc>
      </w:tr>
      <w:tr>
        <w:trPr>
          <w:cantSplit/>
        </w:trPr>
        <w:tc>
          <w:tcPr>
            <w:tcW w:type="dxa" w:w="4252"/>
          </w:tcPr>
          <w:p>
            <w:pPr>
              <w:pStyle w:val="Compact"/>
              <w:spacing w:before="0" w:after="0" w:line="240" w:lineRule="auto"/>
              <w:ind w:firstLine="0"/>
              <w:jc w:val="left"/>
            </w:pPr>
            <w:r>
              <w:rPr>
                <w:rFonts w:ascii="Times New Roman" w:hAnsi="Times New Roman"/>
                <w:b w:val="0"/>
                <w:sz w:val="20"/>
              </w:rPr>
              <w:t xml:space="preserve">Produkt zastępowalny</w:t>
            </w:r>
          </w:p>
        </w:tc>
        <w:tc>
          <w:tcPr>
            <w:tcW w:type="dxa" w:w="1701"/>
          </w:tcPr>
          <w:p>
            <w:pPr>
              <w:pStyle w:val="Compact"/>
              <w:spacing w:before="0" w:after="0" w:line="240" w:lineRule="auto"/>
              <w:ind w:firstLine="0"/>
              <w:jc w:val="left"/>
            </w:pPr>
            <w:r>
              <w:rPr>
                <w:rFonts w:ascii="Times New Roman" w:hAnsi="Times New Roman"/>
                <w:b w:val="0"/>
                <w:sz w:val="20"/>
              </w:rPr>
              <w:t xml:space="preserve">0,33</w:t>
            </w:r>
          </w:p>
        </w:tc>
        <w:tc>
          <w:tcPr>
            <w:tcW w:type="dxa" w:w="2835"/>
          </w:tcPr>
          <w:p>
            <w:pPr>
              <w:pStyle w:val="Compact"/>
              <w:spacing w:before="0" w:after="0" w:line="240" w:lineRule="auto"/>
              <w:ind w:firstLine="0"/>
              <w:jc w:val="left"/>
            </w:pPr>
            <w:r>
              <w:rPr>
                <w:rFonts w:ascii="Times New Roman" w:hAnsi="Times New Roman"/>
                <w:b w:val="0"/>
                <w:sz w:val="20"/>
              </w:rPr>
              <w:t xml:space="preserve">387</w:t>
            </w:r>
          </w:p>
        </w:tc>
      </w:tr>
      <w:tr>
        <w:trPr>
          <w:cantSplit/>
        </w:trPr>
        <w:tc>
          <w:tcPr>
            <w:tcW w:type="dxa" w:w="4252"/>
          </w:tcPr>
          <w:p>
            <w:pPr>
              <w:pStyle w:val="Compact"/>
              <w:spacing w:before="0" w:after="0" w:line="240" w:lineRule="auto"/>
              <w:ind w:firstLine="0"/>
              <w:jc w:val="left"/>
            </w:pPr>
            <w:r>
              <w:rPr>
                <w:rFonts w:ascii="Times New Roman" w:hAnsi="Times New Roman"/>
                <w:b w:val="0"/>
                <w:sz w:val="20"/>
              </w:rPr>
              <w:t xml:space="preserve">Produkt uzupełniający</w:t>
            </w:r>
          </w:p>
        </w:tc>
        <w:tc>
          <w:tcPr>
            <w:tcW w:type="dxa" w:w="1701"/>
          </w:tcPr>
          <w:p>
            <w:pPr>
              <w:pStyle w:val="Compact"/>
              <w:spacing w:before="0" w:after="0" w:line="240" w:lineRule="auto"/>
              <w:ind w:firstLine="0"/>
              <w:jc w:val="left"/>
            </w:pPr>
            <w:r>
              <w:rPr>
                <w:rFonts w:ascii="Times New Roman" w:hAnsi="Times New Roman"/>
                <w:b w:val="0"/>
                <w:sz w:val="20"/>
              </w:rPr>
              <w:t xml:space="preserve">0,83</w:t>
            </w:r>
          </w:p>
        </w:tc>
        <w:tc>
          <w:tcPr>
            <w:tcW w:type="dxa" w:w="2835"/>
          </w:tcPr>
          <w:p>
            <w:pPr>
              <w:pStyle w:val="Compact"/>
              <w:spacing w:before="0" w:after="0" w:line="240" w:lineRule="auto"/>
              <w:ind w:firstLine="0"/>
              <w:jc w:val="left"/>
            </w:pPr>
            <w:r>
              <w:rPr>
                <w:rFonts w:ascii="Times New Roman" w:hAnsi="Times New Roman"/>
                <w:b w:val="0"/>
                <w:sz w:val="20"/>
              </w:rPr>
              <w:t xml:space="preserve">719</w:t>
            </w:r>
          </w:p>
        </w:tc>
      </w:tr>
      <w:tr>
        <w:trPr>
          <w:cantSplit/>
        </w:trPr>
        <w:tc>
          <w:tcPr>
            <w:tcW w:type="dxa" w:w="4252"/>
          </w:tcPr>
          <w:p>
            <w:pPr>
              <w:pStyle w:val="Compact"/>
              <w:spacing w:before="0" w:after="0" w:line="240" w:lineRule="auto"/>
              <w:ind w:firstLine="0"/>
              <w:jc w:val="left"/>
            </w:pPr>
            <w:r>
              <w:rPr>
                <w:rFonts w:ascii="Times New Roman" w:hAnsi="Times New Roman"/>
                <w:b w:val="0"/>
                <w:sz w:val="20"/>
              </w:rPr>
              <w:t xml:space="preserve">Produkt nieistotny</w:t>
            </w:r>
          </w:p>
        </w:tc>
        <w:tc>
          <w:tcPr>
            <w:tcW w:type="dxa" w:w="1701"/>
          </w:tcPr>
          <w:p>
            <w:pPr>
              <w:pStyle w:val="Compact"/>
              <w:spacing w:before="0" w:after="0" w:line="240" w:lineRule="auto"/>
              <w:ind w:firstLine="0"/>
              <w:jc w:val="left"/>
            </w:pPr>
            <w:r>
              <w:rPr>
                <w:rFonts w:ascii="Times New Roman" w:hAnsi="Times New Roman"/>
                <w:b w:val="0"/>
                <w:sz w:val="20"/>
              </w:rPr>
              <w:t xml:space="preserve">0,52</w:t>
            </w:r>
          </w:p>
        </w:tc>
        <w:tc>
          <w:tcPr>
            <w:tcW w:type="dxa" w:w="2835"/>
          </w:tcPr>
          <w:p>
            <w:pPr>
              <w:pStyle w:val="Compact"/>
              <w:spacing w:before="0" w:after="0" w:line="240" w:lineRule="auto"/>
              <w:ind w:firstLine="0"/>
              <w:jc w:val="left"/>
            </w:pPr>
            <w:r>
              <w:rPr>
                <w:rFonts w:ascii="Times New Roman" w:hAnsi="Times New Roman"/>
                <w:b w:val="0"/>
                <w:sz w:val="20"/>
              </w:rPr>
              <w:t xml:space="preserve">480</w:t>
            </w:r>
          </w:p>
        </w:tc>
      </w:tr>
    </w:tbl>
    <w:p>
      <w:pPr>
        <w:pStyle w:val="TableSource"/>
      </w:pPr>
      <w:r>
        <w:rPr>
          <w:rFonts w:ascii="Times New Roman" w:hAnsi="Times New Roman" w:eastAsia="Times New Roman" w:cs="Times New Roman"/>
        </w:rPr>
        <w:t xml:space="preserve">Źródło: Marhula i Sidor (2026), tabela wyników dla Gemini 3.1 Flash Lite. Przytoczono pięć klas z opublikowanego zestawienia.</w:t>
      </w:r>
    </w:p>
    <w:p>
      <w:pPr>
        <w:pStyle w:val="BodyText"/>
      </w:pPr>
      <w:r>
        <w:rPr>
          <w:rFonts w:ascii="Times New Roman" w:hAnsi="Times New Roman" w:eastAsia="Times New Roman" w:cs="Times New Roman"/>
        </w:rPr>
        <w:t xml:space="preserve">Wskaźnik F1 łączy precyzję i kompletność rozpoznawania danej klasy, jednak nie jest miarą zadowolenia klienta ani wzrostu przychodów platformy. W przedstawionym zestawieniu wyniki różnią się między kategoriami relacji produktów. Trudniejsze okazuje się odróżnianie niektórych rodzajów zamienników niż rozpoznawanie dokładnego dopasowania. Wysoki wynik ogólny może więc ukrywać słabości występujące w mniej licznych grupach.</w:t>
      </w:r>
    </w:p>
    <w:p>
      <w:pPr>
        <w:pStyle w:val="BodyText"/>
      </w:pPr>
      <w:r>
        <w:rPr>
          <w:rFonts w:ascii="Times New Roman" w:hAnsi="Times New Roman" w:eastAsia="Times New Roman" w:cs="Times New Roman"/>
        </w:rPr>
        <w:t xml:space="preserve">Wybór tego przypadku wymaga zaznaczenia granicy między wyszukiwaniem a personalizacją indywidualną. Dopasowanie do treści zapytania nie musi wykorzystywać profilu konkretnego klienta. Opisane narzędzie wspiera ocenę trafności, a nie bezpośrednią rozmowę zakupową. Jest jednak istotne dla tematu, ponieważ pokazuje warunki rzetelnej oceny dopasowania oferty. Bez odpowiednich kryteriów trudno stwierdzić, czy bardziej złożony system rzeczywiście pomaga użytkownikowi.</w:t>
      </w:r>
    </w:p>
    <w:p>
      <w:pPr>
        <w:pStyle w:val="BodyText"/>
      </w:pPr>
      <w:r>
        <w:rPr>
          <w:rFonts w:ascii="Times New Roman" w:hAnsi="Times New Roman" w:eastAsia="Times New Roman" w:cs="Times New Roman"/>
        </w:rPr>
        <w:t xml:space="preserve">Wnioskiem z tego przypadku jest potrzeba łączenia różnych rodzajów pomiaru. Ocena trafności pary zapytanie–produkt dostarcza innych informacji niż wynik testu sprzedażowego. Dane techniczne mogą wskazać błąd niewidoczny w średnim wskaźniku aktywności użytkowników, nie zastępują jednak badania doświadczenia i jakości relacji z platformą. Obie perspektywy powinny wspierać ocenę tej samej funkcji, zachowując odrębne znaczenie wyników.</w:t>
      </w:r>
    </w:p>
    <w:bookmarkEnd w:id="47"/>
    <w:bookmarkStart w:id="48" w:name="X83afe0d0342dfabe46b9d254fe50ced365c734b"/>
    <w:p>
      <w:pPr>
        <w:pStyle w:val="Heading2"/>
      </w:pPr>
      <w:r>
        <w:rPr>
          <w:rFonts w:ascii="Times New Roman" w:hAnsi="Times New Roman" w:eastAsia="Times New Roman" w:cs="Times New Roman"/>
        </w:rPr>
        <w:t xml:space="preserve">5.5. Porównanie przypadków i wnioski dla zarządzania</w:t>
      </w:r>
    </w:p>
    <w:p>
      <w:pPr>
        <w:pStyle w:val="FirstParagraph"/>
      </w:pPr>
      <w:r>
        <w:rPr>
          <w:rFonts w:ascii="Times New Roman" w:hAnsi="Times New Roman" w:eastAsia="Times New Roman" w:cs="Times New Roman"/>
        </w:rPr>
        <w:t xml:space="preserve">Przedstawione rozwiązania różnią się miejscem, w którym AI wspiera kontakt z ofertą. Amazon pokazuje rekomendowanie na podstawie powiązań produktów oraz kontekst rozmowy zakupowej. Zalando koncentruje się na interpretowaniu potrzeby wyrażonej językiem związanym z modą. Allegro przedstawia automatyczną ocenę jakości dopasowania wyników do treści zapytania. W każdym przypadku użyteczność zależy od odpowiedniego połączenia danych i celu zadania.</w:t>
      </w:r>
    </w:p>
    <w:p>
      <w:pPr>
        <w:pStyle w:val="BodyText"/>
      </w:pPr>
      <w:r>
        <w:rPr>
          <w:rFonts w:ascii="Times New Roman" w:hAnsi="Times New Roman" w:eastAsia="Times New Roman" w:cs="Times New Roman"/>
        </w:rPr>
        <w:t xml:space="preserve">Tabela 5 zestawia rodzaje dostępnych dowodów oraz granice wnioskowania dla analizowanych przypadków.</w:t>
      </w:r>
    </w:p>
    <w:p>
      <w:pPr>
        <w:pStyle w:val="TableCaption"/>
      </w:pPr>
      <w:r>
        <w:rPr>
          <w:rFonts w:ascii="Times New Roman" w:hAnsi="Times New Roman" w:eastAsia="Times New Roman" w:cs="Times New Roman"/>
          <w:b/>
          <w:bCs/>
        </w:rPr>
        <w:t xml:space="preserve">Tabela 5. Porównanie zakresu dowodów w analizowanych przypadkach</w:t>
      </w:r>
    </w:p>
    <w:tbl>
      <w:tblPr>
        <w:tblStyle w:val="Table"/>
        <w:tblW w:type="pct" w:w="5000"/>
        <w:jc w:val="center"/>
        <w:tblLayout w:type="fixed"/>
        <w:tblLook w:firstRow="1" w:lastRow="0" w:firstColumn="0" w:lastColumn="0" w:noHBand="0" w:noVBand="0" w:val="0020"/>
        <w:tblBorders>
          <w:top w:val="single" w:sz="4" w:color="888888"/>
          <w:left w:val="single" w:sz="4" w:color="888888"/>
          <w:bottom w:val="single" w:sz="4" w:color="888888"/>
          <w:right w:val="single" w:sz="4" w:color="888888"/>
          <w:insideH w:val="single" w:sz="4" w:color="888888"/>
          <w:insideV w:val="single" w:sz="4" w:color="888888"/>
        </w:tblBorders>
      </w:tblPr>
      <w:tblGrid>
        <w:gridCol w:w="1474"/>
        <w:gridCol w:w="1814"/>
        <w:gridCol w:w="2891"/>
        <w:gridCol w:w="2608"/>
      </w:tblGrid>
      <w:tr>
        <w:trPr>
          <w:tblHeader w:val="on"/>
          <w:cantSplit/>
        </w:trPr>
        <w:tc>
          <w:tcPr>
            <w:tcW w:type="dxa" w:w="1474"/>
          </w:tcPr>
          <w:p>
            <w:pPr>
              <w:pStyle w:val="Compact"/>
              <w:spacing w:before="0" w:after="0" w:line="240" w:lineRule="auto"/>
              <w:ind w:firstLine="0"/>
              <w:jc w:val="center"/>
            </w:pPr>
            <w:r>
              <w:rPr>
                <w:rFonts w:ascii="Times New Roman" w:hAnsi="Times New Roman"/>
                <w:b/>
                <w:sz w:val="20"/>
              </w:rPr>
              <w:t xml:space="preserve">Przypadek</w:t>
            </w:r>
          </w:p>
        </w:tc>
        <w:tc>
          <w:tcPr>
            <w:tcW w:type="dxa" w:w="1814"/>
          </w:tcPr>
          <w:p>
            <w:pPr>
              <w:pStyle w:val="Compact"/>
              <w:spacing w:before="0" w:after="0" w:line="240" w:lineRule="auto"/>
              <w:ind w:firstLine="0"/>
              <w:jc w:val="center"/>
            </w:pPr>
            <w:r>
              <w:rPr>
                <w:rFonts w:ascii="Times New Roman" w:hAnsi="Times New Roman"/>
                <w:b/>
                <w:sz w:val="20"/>
              </w:rPr>
              <w:t xml:space="preserve">Główna funkcja</w:t>
            </w:r>
          </w:p>
        </w:tc>
        <w:tc>
          <w:tcPr>
            <w:tcW w:type="dxa" w:w="2891"/>
          </w:tcPr>
          <w:p>
            <w:pPr>
              <w:pStyle w:val="Compact"/>
              <w:spacing w:before="0" w:after="0" w:line="240" w:lineRule="auto"/>
              <w:ind w:firstLine="0"/>
              <w:jc w:val="center"/>
            </w:pPr>
            <w:r>
              <w:rPr>
                <w:rFonts w:ascii="Times New Roman" w:hAnsi="Times New Roman"/>
                <w:b/>
                <w:sz w:val="20"/>
              </w:rPr>
              <w:t xml:space="preserve">Potwierdzony zakres materiału</w:t>
            </w:r>
          </w:p>
        </w:tc>
        <w:tc>
          <w:tcPr>
            <w:tcW w:type="dxa" w:w="2608"/>
          </w:tcPr>
          <w:p>
            <w:pPr>
              <w:pStyle w:val="Compact"/>
              <w:spacing w:before="0" w:after="0" w:line="240" w:lineRule="auto"/>
              <w:ind w:firstLine="0"/>
              <w:jc w:val="center"/>
            </w:pPr>
            <w:r>
              <w:rPr>
                <w:rFonts w:ascii="Times New Roman" w:hAnsi="Times New Roman"/>
                <w:b/>
                <w:sz w:val="20"/>
              </w:rPr>
              <w:t xml:space="preserve">Czego materiał nie rozstrzyga</w:t>
            </w:r>
          </w:p>
        </w:tc>
      </w:tr>
      <w:tr>
        <w:trPr>
          <w:cantSplit/>
        </w:trPr>
        <w:tc>
          <w:tcPr>
            <w:tcW w:type="dxa" w:w="1474"/>
          </w:tcPr>
          <w:p>
            <w:pPr>
              <w:pStyle w:val="Compact"/>
              <w:spacing w:before="0" w:after="0" w:line="240" w:lineRule="auto"/>
              <w:ind w:firstLine="0"/>
              <w:jc w:val="left"/>
            </w:pPr>
            <w:r>
              <w:rPr>
                <w:rFonts w:ascii="Times New Roman" w:hAnsi="Times New Roman"/>
                <w:b w:val="0"/>
                <w:sz w:val="20"/>
              </w:rPr>
              <w:t xml:space="preserve">Amazon, rekomendacje</w:t>
            </w:r>
          </w:p>
        </w:tc>
        <w:tc>
          <w:tcPr>
            <w:tcW w:type="dxa" w:w="1814"/>
          </w:tcPr>
          <w:p>
            <w:pPr>
              <w:pStyle w:val="Compact"/>
              <w:spacing w:before="0" w:after="0" w:line="240" w:lineRule="auto"/>
              <w:ind w:firstLine="0"/>
              <w:jc w:val="left"/>
            </w:pPr>
            <w:r>
              <w:rPr>
                <w:rFonts w:ascii="Times New Roman" w:hAnsi="Times New Roman"/>
                <w:b w:val="0"/>
                <w:sz w:val="20"/>
              </w:rPr>
              <w:t xml:space="preserve">Dobór powiązanych produktów</w:t>
            </w:r>
          </w:p>
        </w:tc>
        <w:tc>
          <w:tcPr>
            <w:tcW w:type="dxa" w:w="2891"/>
          </w:tcPr>
          <w:p>
            <w:pPr>
              <w:pStyle w:val="Compact"/>
              <w:spacing w:before="0" w:after="0" w:line="240" w:lineRule="auto"/>
              <w:ind w:firstLine="0"/>
              <w:jc w:val="left"/>
            </w:pPr>
            <w:r>
              <w:rPr>
                <w:rFonts w:ascii="Times New Roman" w:hAnsi="Times New Roman"/>
                <w:b w:val="0"/>
                <w:sz w:val="20"/>
              </w:rPr>
              <w:t xml:space="preserve">Opis metody technicznej z 2003 roku</w:t>
            </w:r>
          </w:p>
        </w:tc>
        <w:tc>
          <w:tcPr>
            <w:tcW w:type="dxa" w:w="2608"/>
          </w:tcPr>
          <w:p>
            <w:pPr>
              <w:pStyle w:val="Compact"/>
              <w:spacing w:before="0" w:after="0" w:line="240" w:lineRule="auto"/>
              <w:ind w:firstLine="0"/>
              <w:jc w:val="left"/>
            </w:pPr>
            <w:r>
              <w:rPr>
                <w:rFonts w:ascii="Times New Roman" w:hAnsi="Times New Roman"/>
                <w:b w:val="0"/>
                <w:sz w:val="20"/>
              </w:rPr>
              <w:t xml:space="preserve">Aktualnej pełnej architektury i lojalności</w:t>
            </w:r>
          </w:p>
        </w:tc>
      </w:tr>
      <w:tr>
        <w:trPr>
          <w:cantSplit/>
        </w:trPr>
        <w:tc>
          <w:tcPr>
            <w:tcW w:type="dxa" w:w="1474"/>
          </w:tcPr>
          <w:p>
            <w:pPr>
              <w:pStyle w:val="Compact"/>
              <w:spacing w:before="0" w:after="0" w:line="240" w:lineRule="auto"/>
              <w:ind w:firstLine="0"/>
              <w:jc w:val="left"/>
            </w:pPr>
            <w:r>
              <w:rPr>
                <w:rFonts w:ascii="Times New Roman" w:hAnsi="Times New Roman"/>
                <w:b w:val="0"/>
                <w:sz w:val="20"/>
              </w:rPr>
              <w:t xml:space="preserve">Amazon, Rufus</w:t>
            </w:r>
          </w:p>
        </w:tc>
        <w:tc>
          <w:tcPr>
            <w:tcW w:type="dxa" w:w="1814"/>
          </w:tcPr>
          <w:p>
            <w:pPr>
              <w:pStyle w:val="Compact"/>
              <w:spacing w:before="0" w:after="0" w:line="240" w:lineRule="auto"/>
              <w:ind w:firstLine="0"/>
              <w:jc w:val="left"/>
            </w:pPr>
            <w:r>
              <w:rPr>
                <w:rFonts w:ascii="Times New Roman" w:hAnsi="Times New Roman"/>
                <w:b w:val="0"/>
                <w:sz w:val="20"/>
              </w:rPr>
              <w:t xml:space="preserve">Wspieranie zakupów przez rozmowę</w:t>
            </w:r>
          </w:p>
        </w:tc>
        <w:tc>
          <w:tcPr>
            <w:tcW w:type="dxa" w:w="2891"/>
          </w:tcPr>
          <w:p>
            <w:pPr>
              <w:pStyle w:val="Compact"/>
              <w:spacing w:before="0" w:after="0" w:line="240" w:lineRule="auto"/>
              <w:ind w:firstLine="0"/>
              <w:jc w:val="left"/>
            </w:pPr>
            <w:r>
              <w:rPr>
                <w:rFonts w:ascii="Times New Roman" w:hAnsi="Times New Roman"/>
                <w:b w:val="0"/>
                <w:sz w:val="20"/>
              </w:rPr>
              <w:t xml:space="preserve">Oficjalny opis uruchomienia i funkcji</w:t>
            </w:r>
          </w:p>
        </w:tc>
        <w:tc>
          <w:tcPr>
            <w:tcW w:type="dxa" w:w="2608"/>
          </w:tcPr>
          <w:p>
            <w:pPr>
              <w:pStyle w:val="Compact"/>
              <w:spacing w:before="0" w:after="0" w:line="240" w:lineRule="auto"/>
              <w:ind w:firstLine="0"/>
              <w:jc w:val="left"/>
            </w:pPr>
            <w:r>
              <w:rPr>
                <w:rFonts w:ascii="Times New Roman" w:hAnsi="Times New Roman"/>
                <w:b w:val="0"/>
                <w:sz w:val="20"/>
              </w:rPr>
              <w:t xml:space="preserve">Niezależnego efektu przyczynowego</w:t>
            </w:r>
          </w:p>
        </w:tc>
      </w:tr>
      <w:tr>
        <w:trPr>
          <w:cantSplit/>
        </w:trPr>
        <w:tc>
          <w:tcPr>
            <w:tcW w:type="dxa" w:w="1474"/>
          </w:tcPr>
          <w:p>
            <w:pPr>
              <w:pStyle w:val="Compact"/>
              <w:spacing w:before="0" w:after="0" w:line="240" w:lineRule="auto"/>
              <w:ind w:firstLine="0"/>
              <w:jc w:val="left"/>
            </w:pPr>
            <w:r>
              <w:rPr>
                <w:rFonts w:ascii="Times New Roman" w:hAnsi="Times New Roman"/>
                <w:b w:val="0"/>
                <w:sz w:val="20"/>
              </w:rPr>
              <w:t xml:space="preserve">Zalando</w:t>
            </w:r>
          </w:p>
        </w:tc>
        <w:tc>
          <w:tcPr>
            <w:tcW w:type="dxa" w:w="1814"/>
          </w:tcPr>
          <w:p>
            <w:pPr>
              <w:pStyle w:val="Compact"/>
              <w:spacing w:before="0" w:after="0" w:line="240" w:lineRule="auto"/>
              <w:ind w:firstLine="0"/>
              <w:jc w:val="left"/>
            </w:pPr>
            <w:r>
              <w:rPr>
                <w:rFonts w:ascii="Times New Roman" w:hAnsi="Times New Roman"/>
                <w:b w:val="0"/>
                <w:sz w:val="20"/>
              </w:rPr>
              <w:t xml:space="preserve">Wyszukiwanie przez opis sytuacji</w:t>
            </w:r>
          </w:p>
        </w:tc>
        <w:tc>
          <w:tcPr>
            <w:tcW w:type="dxa" w:w="2891"/>
          </w:tcPr>
          <w:p>
            <w:pPr>
              <w:pStyle w:val="Compact"/>
              <w:spacing w:before="0" w:after="0" w:line="240" w:lineRule="auto"/>
              <w:ind w:firstLine="0"/>
              <w:jc w:val="left"/>
            </w:pPr>
            <w:r>
              <w:rPr>
                <w:rFonts w:ascii="Times New Roman" w:hAnsi="Times New Roman"/>
                <w:b w:val="0"/>
                <w:sz w:val="20"/>
              </w:rPr>
              <w:t xml:space="preserve">Zapowiedź pilotażu i zakres scenariuszy</w:t>
            </w:r>
          </w:p>
        </w:tc>
        <w:tc>
          <w:tcPr>
            <w:tcW w:type="dxa" w:w="2608"/>
          </w:tcPr>
          <w:p>
            <w:pPr>
              <w:pStyle w:val="Compact"/>
              <w:spacing w:before="0" w:after="0" w:line="240" w:lineRule="auto"/>
              <w:ind w:firstLine="0"/>
              <w:jc w:val="left"/>
            </w:pPr>
            <w:r>
              <w:rPr>
                <w:rFonts w:ascii="Times New Roman" w:hAnsi="Times New Roman"/>
                <w:b w:val="0"/>
                <w:sz w:val="20"/>
              </w:rPr>
              <w:t xml:space="preserve">Realizacji wszystkich planowanych funkcji</w:t>
            </w:r>
          </w:p>
        </w:tc>
      </w:tr>
      <w:tr>
        <w:trPr>
          <w:cantSplit/>
        </w:trPr>
        <w:tc>
          <w:tcPr>
            <w:tcW w:type="dxa" w:w="1474"/>
          </w:tcPr>
          <w:p>
            <w:pPr>
              <w:pStyle w:val="Compact"/>
              <w:spacing w:before="0" w:after="0" w:line="240" w:lineRule="auto"/>
              <w:ind w:firstLine="0"/>
              <w:jc w:val="left"/>
            </w:pPr>
            <w:r>
              <w:rPr>
                <w:rFonts w:ascii="Times New Roman" w:hAnsi="Times New Roman"/>
                <w:b w:val="0"/>
                <w:sz w:val="20"/>
              </w:rPr>
              <w:t xml:space="preserve">Allegro</w:t>
            </w:r>
          </w:p>
        </w:tc>
        <w:tc>
          <w:tcPr>
            <w:tcW w:type="dxa" w:w="1814"/>
          </w:tcPr>
          <w:p>
            <w:pPr>
              <w:pStyle w:val="Compact"/>
              <w:spacing w:before="0" w:after="0" w:line="240" w:lineRule="auto"/>
              <w:ind w:firstLine="0"/>
              <w:jc w:val="left"/>
            </w:pPr>
            <w:r>
              <w:rPr>
                <w:rFonts w:ascii="Times New Roman" w:hAnsi="Times New Roman"/>
                <w:b w:val="0"/>
                <w:sz w:val="20"/>
              </w:rPr>
              <w:t xml:space="preserve">Ocena trafności wyszukiwania</w:t>
            </w:r>
          </w:p>
        </w:tc>
        <w:tc>
          <w:tcPr>
            <w:tcW w:type="dxa" w:w="2891"/>
          </w:tcPr>
          <w:p>
            <w:pPr>
              <w:pStyle w:val="Compact"/>
              <w:spacing w:before="0" w:after="0" w:line="240" w:lineRule="auto"/>
              <w:ind w:firstLine="0"/>
              <w:jc w:val="left"/>
            </w:pPr>
            <w:r>
              <w:rPr>
                <w:rFonts w:ascii="Times New Roman" w:hAnsi="Times New Roman"/>
                <w:b w:val="0"/>
                <w:sz w:val="20"/>
              </w:rPr>
              <w:t xml:space="preserve">Procedura i wybrane wyniki techniczne</w:t>
            </w:r>
          </w:p>
        </w:tc>
        <w:tc>
          <w:tcPr>
            <w:tcW w:type="dxa" w:w="2608"/>
          </w:tcPr>
          <w:p>
            <w:pPr>
              <w:pStyle w:val="Compact"/>
              <w:spacing w:before="0" w:after="0" w:line="240" w:lineRule="auto"/>
              <w:ind w:firstLine="0"/>
              <w:jc w:val="left"/>
            </w:pPr>
            <w:r>
              <w:rPr>
                <w:rFonts w:ascii="Times New Roman" w:hAnsi="Times New Roman"/>
                <w:b w:val="0"/>
                <w:sz w:val="20"/>
              </w:rPr>
              <w:t xml:space="preserve">Wzrostu zaufania lub retencji klientów</w:t>
            </w:r>
          </w:p>
        </w:tc>
      </w:tr>
    </w:tbl>
    <w:p>
      <w:pPr>
        <w:pStyle w:val="TableSource"/>
      </w:pPr>
      <w:r>
        <w:rPr>
          <w:rFonts w:ascii="Times New Roman" w:hAnsi="Times New Roman" w:eastAsia="Times New Roman" w:cs="Times New Roman"/>
        </w:rPr>
        <w:t xml:space="preserve">Źródło: opracowanie własne na podstawie Lindena, Smitha i Yorka (2003), Amazon (2024), Zalando (2023) oraz Marhuli i Sidora (2026).</w:t>
      </w:r>
    </w:p>
    <w:p>
      <w:pPr>
        <w:pStyle w:val="BodyText"/>
      </w:pPr>
      <w:r>
        <w:rPr>
          <w:rFonts w:ascii="Times New Roman" w:hAnsi="Times New Roman" w:eastAsia="Times New Roman" w:cs="Times New Roman"/>
        </w:rPr>
        <w:t xml:space="preserve">Pierwszy wniosek dotyczy sposobu pozyskiwania informacji o potrzebie użytkownika. Historia interakcji pozwala ograniczyć konieczność zadawania pytań, lecz bywa niejednoznaczna. Rozmowa umożliwia wyjaśnienie aktualnej sytuacji, ale wymaga wysiłku i poprawnej interpretacji wypowiedzi. Wybór zależy więc od charakteru zadania oraz dostępnego kontekstu, jednak nie ma podstaw do uznania jednego sposobu za najlepszy w każdym zastosowaniu.</w:t>
      </w:r>
    </w:p>
    <w:p>
      <w:pPr>
        <w:pStyle w:val="BodyText"/>
      </w:pPr>
      <w:r>
        <w:rPr>
          <w:rFonts w:ascii="Times New Roman" w:hAnsi="Times New Roman" w:eastAsia="Times New Roman" w:cs="Times New Roman"/>
        </w:rPr>
        <w:t xml:space="preserve">Drugi wniosek odnosi się do jakości danych produktowych. Rekomendacja, rozmowa i ocena trafności wymagają informacji pozwalających właściwie rozpoznać ofertę. Błędny opis może prowadzić do nietrafnego dopasowania nawet przy rozbudowanym modelu. Z punktu widzenia sklepu uporządkowanie katalogu stanowi zatem ważny etap przygotowania wdrożenia, jednak nie powinno być traktowane jako zadanie drugorzędne wobec wyboru technologii.</w:t>
      </w:r>
    </w:p>
    <w:p>
      <w:pPr>
        <w:pStyle w:val="BodyText"/>
      </w:pPr>
      <w:r>
        <w:rPr>
          <w:rFonts w:ascii="Times New Roman" w:hAnsi="Times New Roman" w:eastAsia="Times New Roman" w:cs="Times New Roman"/>
        </w:rPr>
        <w:t xml:space="preserve">Trzeci wniosek dotyczy ograniczeń dostępnych dowodów skuteczności. Analizowane materiały potwierdzają konkretne mechanizmy lub deklarowane funkcje, lecz nie tworzą wspólnego pomiaru relacji. Nie przedstawiają porównywalnego badania lojalności klientów wszystkich trzech przedsiębiorstw, dlatego nie wyliczono zbiorczego procentowego efektu personalizacji. Takie zestawienie wymagałoby danych o zgodnych definicjach, okresach i grupach odbiorców.</w:t>
      </w:r>
    </w:p>
    <w:p>
      <w:pPr>
        <w:pStyle w:val="BodyText"/>
      </w:pPr>
      <w:r>
        <w:rPr>
          <w:rFonts w:ascii="Times New Roman" w:hAnsi="Times New Roman" w:eastAsia="Times New Roman" w:cs="Times New Roman"/>
        </w:rPr>
        <w:t xml:space="preserve">Dla mniejszego sklepu praktyczne znaczenie ma rozpoczęcie od jasno rozpoznanego problemu klienta, na przykład trudności wyboru akcesorium, odnalezienia informacji albo opisania potrzeby. Następnie należy określić dostępne dane i prosty punkt odniesienia dla przyszłej oceny, dlatego dopiero wtedy uzasadniony staje się wybór modelu oraz zakresu automatyzacji. Odwrócenie tej kolejności zwiększa ryzyko wdrożenia funkcji o niewielkiej wartości.</w:t>
      </w:r>
    </w:p>
    <w:p>
      <w:pPr>
        <w:pStyle w:val="BodyText"/>
      </w:pPr>
      <w:r>
        <w:rPr>
          <w:rFonts w:ascii="Times New Roman" w:hAnsi="Times New Roman" w:eastAsia="Times New Roman" w:cs="Times New Roman"/>
        </w:rPr>
        <w:t xml:space="preserve">Analiza wspiera również potrzebę pozostawienia klientowi możliwości korekty działania systemu, co dotyczy zmiany zapytania, pominięcia nietrafnej kategorii albo przejścia do zwykłego wyszukiwania. W obsłudze reklamacji znaczenie ma dodatkowo dostęp do pracownika. Kontrola użytkownika nie wyklucza personalizacji, lecz pomaga ograniczać skutki błędnych założeń. Właśnie takie połączenie technologii i odpowiedzialnego procesu sprzyja użyteczności rozwiązań.</w:t>
      </w:r>
    </w:p>
    <w:bookmarkEnd w:id="48"/>
    <w:bookmarkEnd w:id="49"/>
    <w:bookmarkStart w:id="50" w:name="zakończenie"/>
    <w:p>
      <w:pPr>
        <w:pStyle w:val="Heading1"/>
      </w:pPr>
      <w:r>
        <w:rPr>
          <w:rFonts w:ascii="Times New Roman" w:hAnsi="Times New Roman" w:eastAsia="Times New Roman" w:cs="Times New Roman"/>
        </w:rPr>
        <w:t xml:space="preserve">ZAKOŃCZENIE</w:t>
      </w:r>
    </w:p>
    <w:p>
      <w:pPr>
        <w:pStyle w:val="FirstParagraph"/>
      </w:pPr>
      <w:r>
        <w:rPr>
          <w:rFonts w:ascii="Times New Roman" w:hAnsi="Times New Roman" w:eastAsia="Times New Roman" w:cs="Times New Roman"/>
        </w:rPr>
        <w:t xml:space="preserve">Celem pracy była analiza zastosowania sztucznej inteligencji do personalizacji relacji z klientami sklepów internetowych. Omówiono mechanizmy dopasowywania oferty, komunikacji oraz obsługi, a także ich najważniejsze ograniczenia. Rozważania objęły podstawy techniczne, perspektywę marketingową oraz uwarunkowania prawne i etyczne, a uzupełnieniem była analiza wybranych materiałów dotyczących Amazon, Zalando oraz Allegro. Pozwoliło to powiązać ogólne pojęcia z konkretnymi problemami występującymi w praktyce.</w:t>
      </w:r>
    </w:p>
    <w:p>
      <w:pPr>
        <w:pStyle w:val="BodyText"/>
      </w:pPr>
      <w:r>
        <w:rPr>
          <w:rFonts w:ascii="Times New Roman" w:hAnsi="Times New Roman" w:eastAsia="Times New Roman" w:cs="Times New Roman"/>
        </w:rPr>
        <w:t xml:space="preserve">W odpowiedzi na główne pytanie wskazano kilka sposobów wspierania personalizacji przez AI. Systemy rekomendacyjne ograniczają liczbę ofert wymagających samodzielnego przejrzenia przez klienta. Analityka predykcyjna pomaga rozpoznawać sytuacje uzasadniające określony rodzaj kontaktu. Chatboty oraz asystenci zakupowi umożliwiają wyrażenie potrzeby przy użyciu naturalnego języka. Modele mogą również wspierać przygotowanie treści oraz ocenę trafności wyników wyszukiwania.</w:t>
      </w:r>
    </w:p>
    <w:p>
      <w:pPr>
        <w:pStyle w:val="BodyText"/>
      </w:pPr>
      <w:r>
        <w:rPr>
          <w:rFonts w:ascii="Times New Roman" w:hAnsi="Times New Roman" w:eastAsia="Times New Roman" w:cs="Times New Roman"/>
        </w:rPr>
        <w:t xml:space="preserve">Pierwsze pytanie szczegółowe dotyczyło mechanizmów wykorzystywanych do takiego dopasowania. Wskazano znaczenie cech produktów, wzorców wcześniejszych interakcji oraz kontekstu bieżącej rozmowy. Każde źródło informacji ma inne zalety i ograniczenia interpretacyjne. Historia zakupu nie ujawnia wszystkich intencji, a deklaracja klienta może wymagać doprecyzowania. Personalizacja powinna zatem opierać się na odpowiednim połączeniu informacji z celem zadania.</w:t>
      </w:r>
    </w:p>
    <w:p>
      <w:pPr>
        <w:pStyle w:val="BodyText"/>
      </w:pPr>
      <w:r>
        <w:rPr>
          <w:rFonts w:ascii="Times New Roman" w:hAnsi="Times New Roman" w:eastAsia="Times New Roman" w:cs="Times New Roman"/>
        </w:rPr>
        <w:t xml:space="preserve">Drugie pytanie obejmowało różnicę między efektem sprzedażowym a jakością relacji. Analiza wykazała potrzebę odrębnego traktowania konwersji, satysfakcji, zaufania i lojalności. Poprawa jednego wskaźnika nie przesądza o analogicznej zmianie pozostałych aspektów. Większa liczba kliknięć może współistnieć z natarczywością komunikacji albo niezadowoleniem po zakupie. Ocena korzyści wymaga więc zestawu miar odpowiadających rzeczywistym celom przedsiębiorstwa i klienta.</w:t>
      </w:r>
    </w:p>
    <w:p>
      <w:pPr>
        <w:pStyle w:val="BodyText"/>
      </w:pPr>
      <w:r>
        <w:rPr>
          <w:rFonts w:ascii="Times New Roman" w:hAnsi="Times New Roman" w:eastAsia="Times New Roman" w:cs="Times New Roman"/>
        </w:rPr>
        <w:t xml:space="preserve">Trzecie pytanie dotyczyło ograniczeń technicznych, prawnych oraz etycznych. Za istotne uznano jakość danych, integrację systemów, kontrolę błędów i ciągłość obsługi. W obszarze prawnym znaczenie mają cel przetwarzania, właściwa podstawa oraz obowiązki informacyjne. Ocena etyczna obejmuje natomiast przejrzystość, możliwość wyboru i unikanie nadmiernej presji, jednak sama dostępność technologii nie rozstrzyga, czy jej użycie będzie odpowiednie w danej sytuacji.</w:t>
      </w:r>
    </w:p>
    <w:p>
      <w:pPr>
        <w:pStyle w:val="BodyText"/>
      </w:pPr>
      <w:r>
        <w:rPr>
          <w:rFonts w:ascii="Times New Roman" w:hAnsi="Times New Roman" w:eastAsia="Times New Roman" w:cs="Times New Roman"/>
        </w:rPr>
        <w:t xml:space="preserve">Czwarte pytanie odnosiło się do wniosków z porównania przypadków. Materiały Amazon pokazały różnicę między rekomendowaniem produktów a wspieraniem wyboru przez rozmowę. Przypadek Zalando ujawnił znaczenie języka i kontekstu charakterystycznego dla konkretnej kategorii zakupowej. Publikacja Allegro podkreśliła potrzebę oceny trafności wykraczającej poza ogólne wskaźniki aktywności. Wspólnym warunkiem użyteczności pozostaje jakość powiązania danych z rzeczywistą potrzebą odbiorcy.</w:t>
      </w:r>
    </w:p>
    <w:p>
      <w:pPr>
        <w:pStyle w:val="BodyText"/>
      </w:pPr>
      <w:r>
        <w:rPr>
          <w:rFonts w:ascii="Times New Roman" w:hAnsi="Times New Roman" w:eastAsia="Times New Roman" w:cs="Times New Roman"/>
        </w:rPr>
        <w:t xml:space="preserve">Przyjęta hipoteza znalazła częściowe wsparcie w przeprowadzonej analizie. Literatura i przypadki wskazują mechanizmy mogące poprawiać trafność oferty oraz ułatwiać kontakt. Uzasadniają także znaczenie jakości danych, prywatności i przejrzystości dla oceny personalizacji. Dostępny materiał nie pozwala jednak potwierdzić powszechnego wzrostu długoterminowej lojalności dzięki AI. W tym zakresie wniosek pozostaje warunkowy i wymaga dalszych badań empirycznych.</w:t>
      </w:r>
    </w:p>
    <w:p>
      <w:pPr>
        <w:pStyle w:val="BodyText"/>
      </w:pPr>
      <w:r>
        <w:rPr>
          <w:rFonts w:ascii="Times New Roman" w:hAnsi="Times New Roman" w:eastAsia="Times New Roman" w:cs="Times New Roman"/>
        </w:rPr>
        <w:t xml:space="preserve">Ograniczenie pracy wynika przede wszystkim z wykorzystania materiałów wtórnych o różnym charakterze, ponieważ publikacje naukowe, opisy techniczne i komunikaty firmowe odpowiadają na odmienne pytania. Nie dysponowano jednolitymi danymi pozwalającymi porównać efekty wszystkich analizowanych rozwiązań, nie przeprowadzono również własnego eksperymentu ani reprezentatywnego badania opinii konsumentów. Z tego względu wnioski dotyczą wskazanych mechanizmów oraz zakresu dostępnych dowodów.</w:t>
      </w:r>
    </w:p>
    <w:p>
      <w:pPr>
        <w:pStyle w:val="BodyText"/>
      </w:pPr>
      <w:r>
        <w:rPr>
          <w:rFonts w:ascii="Times New Roman" w:hAnsi="Times New Roman" w:eastAsia="Times New Roman" w:cs="Times New Roman"/>
        </w:rPr>
        <w:t xml:space="preserve">Dalsze badania mogłyby porównać doświadczenia klientów korzystających z różnych wariantów personalizacji. Przydatne byłoby połączenie pomiaru zachowania z oceną zaufania i odczuwanej kontroli. Warto także analizować skutki dopasowania w dłuższym okresie oraz różnych kategoriach produktów. Takie podejście pozwoliłoby lepiej oddzielić chwilową reakcję od trwałej jakości relacji. Istotne pozostaje również uwzględnienie osób rezygnujących z personalizacji lub kontaktu z chatbotem.</w:t>
      </w:r>
    </w:p>
    <w:p>
      <w:pPr>
        <w:pStyle w:val="BodyText"/>
      </w:pPr>
      <w:r>
        <w:rPr>
          <w:rFonts w:ascii="Times New Roman" w:hAnsi="Times New Roman" w:eastAsia="Times New Roman" w:cs="Times New Roman"/>
        </w:rPr>
        <w:t xml:space="preserve">Z perspektywy zarządzania najważniejsze jest powiązanie wdrożenia z konkretną potrzebą klienta. Technologia powinna zmniejszać jego wysiłek, poprawiać jakość informacji i ułatwiać rozwiązanie sprawy, co wymaga kontroli wyników oraz współpracy zespołów technicznych, marketingowych i obsługowych. Personalizacja oparta na AI może wtedy wspierać relacje w handlu internetowym. Jej wartość zależy jednak od sposobu wykorzystania, a nie samego zastosowania algorytmu.</w:t>
      </w:r>
    </w:p>
    <w:bookmarkEnd w:id="50"/>
    <w:bookmarkStart w:id="60" w:name="bibliografia"/>
    <w:p>
      <w:pPr>
        <w:pStyle w:val="Heading1"/>
      </w:pPr>
      <w:r>
        <w:rPr>
          <w:rFonts w:ascii="Times New Roman" w:hAnsi="Times New Roman" w:eastAsia="Times New Roman" w:cs="Times New Roman"/>
        </w:rPr>
        <w:t xml:space="preserve">BIBLIOGRAFIA</w:t>
      </w:r>
    </w:p>
    <w:bookmarkStart w:id="51" w:name="książki-i-opracowania-zwarte"/>
    <w:p>
      <w:pPr>
        <w:pStyle w:val="Heading2"/>
      </w:pPr>
      <w:r>
        <w:rPr>
          <w:rFonts w:ascii="Times New Roman" w:hAnsi="Times New Roman" w:eastAsia="Times New Roman" w:cs="Times New Roman"/>
        </w:rPr>
        <w:t xml:space="preserve">Książki i opracowania zwarte</w:t>
      </w:r>
    </w:p>
    <w:p>
      <w:pPr>
        <w:pStyle w:val="FirstParagraph"/>
      </w:pPr>
      <w:r>
        <w:rPr>
          <w:rFonts w:ascii="Times New Roman" w:hAnsi="Times New Roman" w:eastAsia="Times New Roman" w:cs="Times New Roman"/>
        </w:rPr>
        <w:t xml:space="preserve">1. OECD. 2019.</w:t>
      </w:r>
      <w:r>
        <w:rPr>
          <w:rFonts w:ascii="Times New Roman" w:hAnsi="Times New Roman" w:eastAsia="Times New Roman" w:cs="Times New Roman"/>
        </w:rPr>
        <w:t xml:space="preserve"> </w:t>
      </w:r>
      <w:r>
        <w:rPr>
          <w:rFonts w:ascii="Times New Roman" w:hAnsi="Times New Roman" w:eastAsia="Times New Roman" w:cs="Times New Roman"/>
          <w:i/>
          <w:iCs/>
        </w:rPr>
        <w:t xml:space="preserve">Unpacking E-commerce: Business Models, Trends and Policies</w:t>
      </w:r>
      <w:r>
        <w:rPr>
          <w:rFonts w:ascii="Times New Roman" w:hAnsi="Times New Roman" w:eastAsia="Times New Roman" w:cs="Times New Roman"/>
        </w:rPr>
        <w:t xml:space="preserve">, OECD Publishing, Paryż. https://doi.org/10.1787/23561431-en.</w:t>
      </w:r>
    </w:p>
    <w:bookmarkEnd w:id="51"/>
    <w:bookmarkStart w:id="52" w:name="artykuły-w-czasopismach"/>
    <w:p>
      <w:pPr>
        <w:pStyle w:val="Heading2"/>
      </w:pPr>
      <w:r>
        <w:rPr>
          <w:rFonts w:ascii="Times New Roman" w:hAnsi="Times New Roman" w:eastAsia="Times New Roman" w:cs="Times New Roman"/>
        </w:rPr>
        <w:t xml:space="preserve">Artykuły w czasopismach</w:t>
      </w:r>
    </w:p>
    <w:p>
      <w:pPr>
        <w:pStyle w:val="FirstParagraph"/>
      </w:pPr>
      <w:r>
        <w:rPr>
          <w:rFonts w:ascii="Times New Roman" w:hAnsi="Times New Roman" w:eastAsia="Times New Roman" w:cs="Times New Roman"/>
        </w:rPr>
        <w:t xml:space="preserve">2. Adam M., Wessel M., Benlian A. 2021. AI-based chatbots in customer service and their effects on user compliance,</w:t>
      </w:r>
      <w:r>
        <w:rPr>
          <w:rFonts w:ascii="Times New Roman" w:hAnsi="Times New Roman" w:eastAsia="Times New Roman" w:cs="Times New Roman"/>
        </w:rPr>
        <w:t xml:space="preserve"> </w:t>
      </w:r>
      <w:r>
        <w:rPr>
          <w:rFonts w:ascii="Times New Roman" w:hAnsi="Times New Roman" w:eastAsia="Times New Roman" w:cs="Times New Roman"/>
          <w:i/>
          <w:iCs/>
        </w:rPr>
        <w:t xml:space="preserve">Electronic Markets</w:t>
      </w:r>
      <w:r>
        <w:rPr>
          <w:rFonts w:ascii="Times New Roman" w:hAnsi="Times New Roman" w:eastAsia="Times New Roman" w:cs="Times New Roman"/>
        </w:rPr>
        <w:t xml:space="preserve">, 31, 427–445. https://doi.org/10.1007/s12525-020-00414-7.</w:t>
      </w:r>
    </w:p>
    <w:p>
      <w:pPr>
        <w:pStyle w:val="BodyText"/>
      </w:pPr>
      <w:r>
        <w:rPr>
          <w:rFonts w:ascii="Times New Roman" w:hAnsi="Times New Roman" w:eastAsia="Times New Roman" w:cs="Times New Roman"/>
        </w:rPr>
        <w:t xml:space="preserve">3. Adomavicius G., Tuzhilin A. 2005. Toward the Next Generation of Recommender Systems: A Survey of the State-of-the-Art and Possible Extensions,</w:t>
      </w:r>
      <w:r>
        <w:rPr>
          <w:rFonts w:ascii="Times New Roman" w:hAnsi="Times New Roman" w:eastAsia="Times New Roman" w:cs="Times New Roman"/>
        </w:rPr>
        <w:t xml:space="preserve"> </w:t>
      </w:r>
      <w:r>
        <w:rPr>
          <w:rFonts w:ascii="Times New Roman" w:hAnsi="Times New Roman" w:eastAsia="Times New Roman" w:cs="Times New Roman"/>
          <w:i/>
          <w:iCs/>
        </w:rPr>
        <w:t xml:space="preserve">IEEE Transactions on Knowledge and Data Engineering</w:t>
      </w:r>
      <w:r>
        <w:rPr>
          <w:rFonts w:ascii="Times New Roman" w:hAnsi="Times New Roman" w:eastAsia="Times New Roman" w:cs="Times New Roman"/>
        </w:rPr>
        <w:t xml:space="preserve">, 17(6), 734–749. https://doi.org/10.1109/TKDE.2005.99.</w:t>
      </w:r>
    </w:p>
    <w:p>
      <w:pPr>
        <w:pStyle w:val="BodyText"/>
      </w:pPr>
      <w:r>
        <w:rPr>
          <w:rFonts w:ascii="Times New Roman" w:hAnsi="Times New Roman" w:eastAsia="Times New Roman" w:cs="Times New Roman"/>
        </w:rPr>
        <w:t xml:space="preserve">4. Aguirre E., Mahr D., Grewal D., de Ruyter K., Wetzels M. 2015. Unraveling the Personalization Paradox: The Effect of Information Collection and Trust-Building Strategies on Online Advertisement Effectiveness,</w:t>
      </w:r>
      <w:r>
        <w:rPr>
          <w:rFonts w:ascii="Times New Roman" w:hAnsi="Times New Roman" w:eastAsia="Times New Roman" w:cs="Times New Roman"/>
        </w:rPr>
        <w:t xml:space="preserve"> </w:t>
      </w:r>
      <w:r>
        <w:rPr>
          <w:rFonts w:ascii="Times New Roman" w:hAnsi="Times New Roman" w:eastAsia="Times New Roman" w:cs="Times New Roman"/>
          <w:i/>
          <w:iCs/>
        </w:rPr>
        <w:t xml:space="preserve">Journal of Retailing</w:t>
      </w:r>
      <w:r>
        <w:rPr>
          <w:rFonts w:ascii="Times New Roman" w:hAnsi="Times New Roman" w:eastAsia="Times New Roman" w:cs="Times New Roman"/>
        </w:rPr>
        <w:t xml:space="preserve">, 91(1), 34–49. https://doi.org/10.1016/j.jretai.2014.09.005.</w:t>
      </w:r>
    </w:p>
    <w:p>
      <w:pPr>
        <w:pStyle w:val="BodyText"/>
      </w:pPr>
      <w:r>
        <w:rPr>
          <w:rFonts w:ascii="Times New Roman" w:hAnsi="Times New Roman" w:eastAsia="Times New Roman" w:cs="Times New Roman"/>
        </w:rPr>
        <w:t xml:space="preserve">5. Bleier A., Eisenbeiss M. 2015. Personalized Online Advertising Effectiveness: The Interplay of What, When, and Where,</w:t>
      </w:r>
      <w:r>
        <w:rPr>
          <w:rFonts w:ascii="Times New Roman" w:hAnsi="Times New Roman" w:eastAsia="Times New Roman" w:cs="Times New Roman"/>
        </w:rPr>
        <w:t xml:space="preserve"> </w:t>
      </w:r>
      <w:r>
        <w:rPr>
          <w:rFonts w:ascii="Times New Roman" w:hAnsi="Times New Roman" w:eastAsia="Times New Roman" w:cs="Times New Roman"/>
          <w:i/>
          <w:iCs/>
        </w:rPr>
        <w:t xml:space="preserve">Marketing Science</w:t>
      </w:r>
      <w:r>
        <w:rPr>
          <w:rFonts w:ascii="Times New Roman" w:hAnsi="Times New Roman" w:eastAsia="Times New Roman" w:cs="Times New Roman"/>
        </w:rPr>
        <w:t xml:space="preserve">, 34(5), 669–688. https://doi.org/10.1287/mksc.2015.0930.</w:t>
      </w:r>
    </w:p>
    <w:p>
      <w:pPr>
        <w:pStyle w:val="BodyText"/>
      </w:pPr>
      <w:r>
        <w:rPr>
          <w:rFonts w:ascii="Times New Roman" w:hAnsi="Times New Roman" w:eastAsia="Times New Roman" w:cs="Times New Roman"/>
        </w:rPr>
        <w:t xml:space="preserve">6. Huang M.-H., Rust R. T. 2021. A Strategic Framework for Artificial Intelligence in Marketing,</w:t>
      </w:r>
      <w:r>
        <w:rPr>
          <w:rFonts w:ascii="Times New Roman" w:hAnsi="Times New Roman" w:eastAsia="Times New Roman" w:cs="Times New Roman"/>
        </w:rPr>
        <w:t xml:space="preserve"> </w:t>
      </w:r>
      <w:r>
        <w:rPr>
          <w:rFonts w:ascii="Times New Roman" w:hAnsi="Times New Roman" w:eastAsia="Times New Roman" w:cs="Times New Roman"/>
          <w:i/>
          <w:iCs/>
        </w:rPr>
        <w:t xml:space="preserve">Journal of the Academy of Marketing Science</w:t>
      </w:r>
      <w:r>
        <w:rPr>
          <w:rFonts w:ascii="Times New Roman" w:hAnsi="Times New Roman" w:eastAsia="Times New Roman" w:cs="Times New Roman"/>
        </w:rPr>
        <w:t xml:space="preserve">, 49, 30–50. https://doi.org/10.1007/s11747-020-00749-9.</w:t>
      </w:r>
    </w:p>
    <w:p>
      <w:pPr>
        <w:pStyle w:val="BodyText"/>
      </w:pPr>
      <w:r>
        <w:rPr>
          <w:rFonts w:ascii="Times New Roman" w:hAnsi="Times New Roman" w:eastAsia="Times New Roman" w:cs="Times New Roman"/>
        </w:rPr>
        <w:t xml:space="preserve">7. LeCun Y., Bengio Y., Hinton G. 2015. Deep Learning,</w:t>
      </w:r>
      <w:r>
        <w:rPr>
          <w:rFonts w:ascii="Times New Roman" w:hAnsi="Times New Roman" w:eastAsia="Times New Roman" w:cs="Times New Roman"/>
        </w:rPr>
        <w:t xml:space="preserve"> </w:t>
      </w:r>
      <w:r>
        <w:rPr>
          <w:rFonts w:ascii="Times New Roman" w:hAnsi="Times New Roman" w:eastAsia="Times New Roman" w:cs="Times New Roman"/>
          <w:i/>
          <w:iCs/>
        </w:rPr>
        <w:t xml:space="preserve">Nature</w:t>
      </w:r>
      <w:r>
        <w:rPr>
          <w:rFonts w:ascii="Times New Roman" w:hAnsi="Times New Roman" w:eastAsia="Times New Roman" w:cs="Times New Roman"/>
        </w:rPr>
        <w:t xml:space="preserve">, 521, 436–444. https://doi.org/10.1038/nature14539.</w:t>
      </w:r>
    </w:p>
    <w:p>
      <w:pPr>
        <w:pStyle w:val="BodyText"/>
      </w:pPr>
      <w:r>
        <w:rPr>
          <w:rFonts w:ascii="Times New Roman" w:hAnsi="Times New Roman" w:eastAsia="Times New Roman" w:cs="Times New Roman"/>
        </w:rPr>
        <w:t xml:space="preserve">8. Lemon K. N., Verhoef P. C. 2016. Understanding Customer Experience Throughout the Customer Journey,</w:t>
      </w:r>
      <w:r>
        <w:rPr>
          <w:rFonts w:ascii="Times New Roman" w:hAnsi="Times New Roman" w:eastAsia="Times New Roman" w:cs="Times New Roman"/>
        </w:rPr>
        <w:t xml:space="preserve"> </w:t>
      </w:r>
      <w:r>
        <w:rPr>
          <w:rFonts w:ascii="Times New Roman" w:hAnsi="Times New Roman" w:eastAsia="Times New Roman" w:cs="Times New Roman"/>
          <w:i/>
          <w:iCs/>
        </w:rPr>
        <w:t xml:space="preserve">Journal of Marketing</w:t>
      </w:r>
      <w:r>
        <w:rPr>
          <w:rFonts w:ascii="Times New Roman" w:hAnsi="Times New Roman" w:eastAsia="Times New Roman" w:cs="Times New Roman"/>
        </w:rPr>
        <w:t xml:space="preserve">, 80(6), 69–96. https://doi.org/10.1509/jm.15.0420.</w:t>
      </w:r>
    </w:p>
    <w:p>
      <w:pPr>
        <w:pStyle w:val="BodyText"/>
      </w:pPr>
      <w:r>
        <w:rPr>
          <w:rFonts w:ascii="Times New Roman" w:hAnsi="Times New Roman" w:eastAsia="Times New Roman" w:cs="Times New Roman"/>
        </w:rPr>
        <w:t xml:space="preserve">9. Linden G., Smith B., York J. 2003. Amazon.com Recommendations: Item-to-Item Collaborative Filtering,</w:t>
      </w:r>
      <w:r>
        <w:rPr>
          <w:rFonts w:ascii="Times New Roman" w:hAnsi="Times New Roman" w:eastAsia="Times New Roman" w:cs="Times New Roman"/>
        </w:rPr>
        <w:t xml:space="preserve"> </w:t>
      </w:r>
      <w:r>
        <w:rPr>
          <w:rFonts w:ascii="Times New Roman" w:hAnsi="Times New Roman" w:eastAsia="Times New Roman" w:cs="Times New Roman"/>
          <w:i/>
          <w:iCs/>
        </w:rPr>
        <w:t xml:space="preserve">IEEE Internet Computing</w:t>
      </w:r>
      <w:r>
        <w:rPr>
          <w:rFonts w:ascii="Times New Roman" w:hAnsi="Times New Roman" w:eastAsia="Times New Roman" w:cs="Times New Roman"/>
        </w:rPr>
        <w:t xml:space="preserve">, 7(1), 76–80. https://doi.org/10.1109/MIC.2003.1167344.</w:t>
      </w:r>
    </w:p>
    <w:p>
      <w:pPr>
        <w:pStyle w:val="BodyText"/>
      </w:pPr>
      <w:r>
        <w:rPr>
          <w:rFonts w:ascii="Times New Roman" w:hAnsi="Times New Roman" w:eastAsia="Times New Roman" w:cs="Times New Roman"/>
        </w:rPr>
        <w:t xml:space="preserve">10. Luo X., Tong S., Fang Z., Qu Z. 2019. Frontiers: Machines vs. Humans: The Impact of Artificial Intelligence Chatbot Disclosure on Customer Purchases,</w:t>
      </w:r>
      <w:r>
        <w:rPr>
          <w:rFonts w:ascii="Times New Roman" w:hAnsi="Times New Roman" w:eastAsia="Times New Roman" w:cs="Times New Roman"/>
        </w:rPr>
        <w:t xml:space="preserve"> </w:t>
      </w:r>
      <w:r>
        <w:rPr>
          <w:rFonts w:ascii="Times New Roman" w:hAnsi="Times New Roman" w:eastAsia="Times New Roman" w:cs="Times New Roman"/>
          <w:i/>
          <w:iCs/>
        </w:rPr>
        <w:t xml:space="preserve">Marketing Science</w:t>
      </w:r>
      <w:r>
        <w:rPr>
          <w:rFonts w:ascii="Times New Roman" w:hAnsi="Times New Roman" w:eastAsia="Times New Roman" w:cs="Times New Roman"/>
        </w:rPr>
        <w:t xml:space="preserve">. https://doi.org/10.1287/mksc.2019.1192.</w:t>
      </w:r>
    </w:p>
    <w:p>
      <w:pPr>
        <w:pStyle w:val="BodyText"/>
      </w:pPr>
      <w:r>
        <w:rPr>
          <w:rFonts w:ascii="Times New Roman" w:hAnsi="Times New Roman" w:eastAsia="Times New Roman" w:cs="Times New Roman"/>
        </w:rPr>
        <w:t xml:space="preserve">11. Payne A., Frow P. 2005. A Strategic Framework for Customer Relationship Management,</w:t>
      </w:r>
      <w:r>
        <w:rPr>
          <w:rFonts w:ascii="Times New Roman" w:hAnsi="Times New Roman" w:eastAsia="Times New Roman" w:cs="Times New Roman"/>
        </w:rPr>
        <w:t xml:space="preserve"> </w:t>
      </w:r>
      <w:r>
        <w:rPr>
          <w:rFonts w:ascii="Times New Roman" w:hAnsi="Times New Roman" w:eastAsia="Times New Roman" w:cs="Times New Roman"/>
          <w:i/>
          <w:iCs/>
        </w:rPr>
        <w:t xml:space="preserve">Journal of Marketing</w:t>
      </w:r>
      <w:r>
        <w:rPr>
          <w:rFonts w:ascii="Times New Roman" w:hAnsi="Times New Roman" w:eastAsia="Times New Roman" w:cs="Times New Roman"/>
        </w:rPr>
        <w:t xml:space="preserve">, 69(4), 167–176. https://doi.org/10.1509/jmkg.2005.69.4.167.</w:t>
      </w:r>
    </w:p>
    <w:bookmarkEnd w:id="52"/>
    <w:bookmarkStart w:id="53" w:name="artykuły-w-materiałach-konferencyjnych"/>
    <w:p>
      <w:pPr>
        <w:pStyle w:val="Heading2"/>
      </w:pPr>
      <w:r>
        <w:rPr>
          <w:rFonts w:ascii="Times New Roman" w:hAnsi="Times New Roman" w:eastAsia="Times New Roman" w:cs="Times New Roman"/>
        </w:rPr>
        <w:t xml:space="preserve">Artykuły w materiałach konferencyjnych</w:t>
      </w:r>
    </w:p>
    <w:p>
      <w:pPr>
        <w:pStyle w:val="FirstParagraph"/>
      </w:pPr>
      <w:r>
        <w:rPr>
          <w:rFonts w:ascii="Times New Roman" w:hAnsi="Times New Roman" w:eastAsia="Times New Roman" w:cs="Times New Roman"/>
        </w:rPr>
        <w:t xml:space="preserve">12. Abadi M. i in. 2016. TensorFlow: A System for Large-Scale Machine Learning,</w:t>
      </w:r>
      <w:r>
        <w:rPr>
          <w:rFonts w:ascii="Times New Roman" w:hAnsi="Times New Roman" w:eastAsia="Times New Roman" w:cs="Times New Roman"/>
        </w:rPr>
        <w:t xml:space="preserve"> </w:t>
      </w:r>
      <w:r>
        <w:rPr>
          <w:rFonts w:ascii="Times New Roman" w:hAnsi="Times New Roman" w:eastAsia="Times New Roman" w:cs="Times New Roman"/>
          <w:i/>
          <w:iCs/>
        </w:rPr>
        <w:t xml:space="preserve">12th USENIX Symposium on Operating Systems Design and Implementation</w:t>
      </w:r>
      <w:r>
        <w:rPr>
          <w:rFonts w:ascii="Times New Roman" w:hAnsi="Times New Roman" w:eastAsia="Times New Roman" w:cs="Times New Roman"/>
        </w:rPr>
        <w:t xml:space="preserve">, USENIX Association, Savannah, 265–283. https://arxiv.org/abs/1605.08695 [dostęp: 08.10.2026].</w:t>
      </w:r>
    </w:p>
    <w:p>
      <w:pPr>
        <w:pStyle w:val="BodyText"/>
      </w:pPr>
      <w:r>
        <w:rPr>
          <w:rFonts w:ascii="Times New Roman" w:hAnsi="Times New Roman" w:eastAsia="Times New Roman" w:cs="Times New Roman"/>
        </w:rPr>
        <w:t xml:space="preserve">13. Jouppi N. P. i in. 2017. In-Datacenter Performance Analysis of a Tensor Processing Unit,</w:t>
      </w:r>
      <w:r>
        <w:rPr>
          <w:rFonts w:ascii="Times New Roman" w:hAnsi="Times New Roman" w:eastAsia="Times New Roman" w:cs="Times New Roman"/>
        </w:rPr>
        <w:t xml:space="preserve"> </w:t>
      </w:r>
      <w:r>
        <w:rPr>
          <w:rFonts w:ascii="Times New Roman" w:hAnsi="Times New Roman" w:eastAsia="Times New Roman" w:cs="Times New Roman"/>
          <w:i/>
          <w:iCs/>
        </w:rPr>
        <w:t xml:space="preserve">Proceedings of the 44th Annual International Symposium on Computer Architecture</w:t>
      </w:r>
      <w:r>
        <w:rPr>
          <w:rFonts w:ascii="Times New Roman" w:hAnsi="Times New Roman" w:eastAsia="Times New Roman" w:cs="Times New Roman"/>
        </w:rPr>
        <w:t xml:space="preserve">, ACM, Toronto, 1–12. https://doi.org/10.1145/3079856.3080246.</w:t>
      </w:r>
    </w:p>
    <w:p>
      <w:pPr>
        <w:pStyle w:val="BodyText"/>
      </w:pPr>
      <w:r>
        <w:rPr>
          <w:rFonts w:ascii="Times New Roman" w:hAnsi="Times New Roman" w:eastAsia="Times New Roman" w:cs="Times New Roman"/>
        </w:rPr>
        <w:t xml:space="preserve">14. Paszke A. i in. 2019. PyTorch: An Imperative Style, High-Performance Deep Learning Library,</w:t>
      </w:r>
      <w:r>
        <w:rPr>
          <w:rFonts w:ascii="Times New Roman" w:hAnsi="Times New Roman" w:eastAsia="Times New Roman" w:cs="Times New Roman"/>
        </w:rPr>
        <w:t xml:space="preserve"> </w:t>
      </w:r>
      <w:r>
        <w:rPr>
          <w:rFonts w:ascii="Times New Roman" w:hAnsi="Times New Roman" w:eastAsia="Times New Roman" w:cs="Times New Roman"/>
          <w:i/>
          <w:iCs/>
        </w:rPr>
        <w:t xml:space="preserve">Advances in Neural Information Processing Systems</w:t>
      </w:r>
      <w:r>
        <w:rPr>
          <w:rFonts w:ascii="Times New Roman" w:hAnsi="Times New Roman" w:eastAsia="Times New Roman" w:cs="Times New Roman"/>
        </w:rPr>
        <w:t xml:space="preserve">, 32. https://arxiv.org/abs/1912.01703 [dostęp: 08.10.2026].</w:t>
      </w:r>
    </w:p>
    <w:p>
      <w:pPr>
        <w:pStyle w:val="BodyText"/>
      </w:pPr>
      <w:r>
        <w:rPr>
          <w:rFonts w:ascii="Times New Roman" w:hAnsi="Times New Roman" w:eastAsia="Times New Roman" w:cs="Times New Roman"/>
        </w:rPr>
        <w:t xml:space="preserve">15. Vaswani A. i in. 2017. Attention Is All You Need,</w:t>
      </w:r>
      <w:r>
        <w:rPr>
          <w:rFonts w:ascii="Times New Roman" w:hAnsi="Times New Roman" w:eastAsia="Times New Roman" w:cs="Times New Roman"/>
        </w:rPr>
        <w:t xml:space="preserve"> </w:t>
      </w:r>
      <w:r>
        <w:rPr>
          <w:rFonts w:ascii="Times New Roman" w:hAnsi="Times New Roman" w:eastAsia="Times New Roman" w:cs="Times New Roman"/>
          <w:i/>
          <w:iCs/>
        </w:rPr>
        <w:t xml:space="preserve">Advances in Neural Information Processing Systems</w:t>
      </w:r>
      <w:r>
        <w:rPr>
          <w:rFonts w:ascii="Times New Roman" w:hAnsi="Times New Roman" w:eastAsia="Times New Roman" w:cs="Times New Roman"/>
        </w:rPr>
        <w:t xml:space="preserve">, 30. https://arxiv.org/abs/1706.03762 [dostęp: 08.10.2026].</w:t>
      </w:r>
    </w:p>
    <w:bookmarkEnd w:id="53"/>
    <w:bookmarkStart w:id="54" w:name="akty-prawne"/>
    <w:p>
      <w:pPr>
        <w:pStyle w:val="Heading2"/>
      </w:pPr>
      <w:r>
        <w:rPr>
          <w:rFonts w:ascii="Times New Roman" w:hAnsi="Times New Roman" w:eastAsia="Times New Roman" w:cs="Times New Roman"/>
        </w:rPr>
        <w:t xml:space="preserve">Akty prawne</w:t>
      </w:r>
    </w:p>
    <w:p>
      <w:pPr>
        <w:pStyle w:val="FirstParagraph"/>
      </w:pPr>
      <w:r>
        <w:rPr>
          <w:rFonts w:ascii="Times New Roman" w:hAnsi="Times New Roman" w:eastAsia="Times New Roman" w:cs="Times New Roman"/>
        </w:rPr>
        <w:t xml:space="preserve">16. Dyrektywa 2002/58/WE Parlamentu Europejskiego i Rady z 12.07.2002 r. dotycząca przetwarzania danych osobowych i ochrony prywatności w sektorze łączności elektronicznej (Dz.Urz. UE L 201, s. 37, ze zm.). https://eur-lex.europa.eu/eli/dir/2002/58/oj [dostęp: 08.10.2026].</w:t>
      </w:r>
    </w:p>
    <w:p>
      <w:pPr>
        <w:pStyle w:val="BodyText"/>
      </w:pPr>
      <w:r>
        <w:rPr>
          <w:rFonts w:ascii="Times New Roman" w:hAnsi="Times New Roman" w:eastAsia="Times New Roman" w:cs="Times New Roman"/>
        </w:rPr>
        <w:t xml:space="preserve">17. Dyrektywa 2011/83/UE Parlamentu Europejskiego i Rady z 25.10.2011 r. w sprawie praw konsumentów (Dz.Urz. UE L 304, s. 64, ze zm.). https://eur-lex.europa.eu/eli/dir/2011/83/oj [dostęp: 08.10.2026].</w:t>
      </w:r>
    </w:p>
    <w:p>
      <w:pPr>
        <w:pStyle w:val="BodyText"/>
      </w:pPr>
      <w:r>
        <w:rPr>
          <w:rFonts w:ascii="Times New Roman" w:hAnsi="Times New Roman" w:eastAsia="Times New Roman" w:cs="Times New Roman"/>
        </w:rPr>
        <w:t xml:space="preserve">18. Rozporządzenie Parlamentu Europejskiego i Rady (UE) 2016/679 z 27.04.2016 r. w sprawie ochrony osób fizycznych w związku z przetwarzaniem danych osobowych (Dz.Urz. UE L 119, s. 1). https://eur-lex.europa.eu/eli/reg/2016/679/oj [dostęp: 08.10.2026].</w:t>
      </w:r>
    </w:p>
    <w:p>
      <w:pPr>
        <w:pStyle w:val="BodyText"/>
      </w:pPr>
      <w:r>
        <w:rPr>
          <w:rFonts w:ascii="Times New Roman" w:hAnsi="Times New Roman" w:eastAsia="Times New Roman" w:cs="Times New Roman"/>
        </w:rPr>
        <w:t xml:space="preserve">19. Rozporządzenie Parlamentu Europejskiego i Rady (UE) 2024/1689 z 13.06.2024 r. w sprawie ustanowienia zharmonizowanych przepisów dotyczących sztucznej inteligencji (Dz.Urz. UE L z 2024 r., poz. 2024/1689). https://eur-lex.europa.eu/eli/reg/2024/1689/oj [dostęp: 08.10.2026].</w:t>
      </w:r>
    </w:p>
    <w:p>
      <w:pPr>
        <w:pStyle w:val="BodyText"/>
      </w:pPr>
      <w:r>
        <w:rPr>
          <w:rFonts w:ascii="Times New Roman" w:hAnsi="Times New Roman" w:eastAsia="Times New Roman" w:cs="Times New Roman"/>
        </w:rPr>
        <w:t xml:space="preserve">20. Ustawa z 12.07.2024 r. – Prawo komunikacji elektronicznej (Dz.U. z 2024 r., poz. 1221). https://dziennikustaw.gov.pl/D2024000122101.pdf [dostęp: 08.10.2026].</w:t>
      </w:r>
    </w:p>
    <w:bookmarkEnd w:id="54"/>
    <w:bookmarkStart w:id="59" w:name="inne-źródła-raporty-i-strony-internetowe"/>
    <w:p>
      <w:pPr>
        <w:pStyle w:val="Heading2"/>
      </w:pPr>
      <w:r>
        <w:rPr>
          <w:rFonts w:ascii="Times New Roman" w:hAnsi="Times New Roman" w:eastAsia="Times New Roman" w:cs="Times New Roman"/>
        </w:rPr>
        <w:t xml:space="preserve">Inne źródła: raporty i strony internetowe</w:t>
      </w:r>
    </w:p>
    <w:p>
      <w:pPr>
        <w:pStyle w:val="FirstParagraph"/>
      </w:pPr>
      <w:r>
        <w:rPr>
          <w:rFonts w:ascii="Times New Roman" w:hAnsi="Times New Roman" w:eastAsia="Times New Roman" w:cs="Times New Roman"/>
        </w:rPr>
        <w:t xml:space="preserve">21. Amazon. 2024. Amazon announces Rufus, a new generative AI-powered conversational shopping experience.</w:t>
      </w:r>
      <w:r>
        <w:rPr>
          <w:rFonts w:ascii="Times New Roman" w:hAnsi="Times New Roman" w:eastAsia="Times New Roman" w:cs="Times New Roman"/>
        </w:rPr>
        <w:t xml:space="preserve"> </w:t>
      </w:r>
      <w:hyperlink r:id="rId55">
        <w:r>
          <w:rPr>
            <w:rStyle w:val="Hyperlink"/>
          </w:rPr>
          <w:t xml:space="preserve">https:/​/​www.aboutamazon.com/​news/​retail/​amazon‑rufus</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[dostęp: 08.10.2026].</w:t>
      </w:r>
    </w:p>
    <w:p>
      <w:pPr>
        <w:pStyle w:val="BodyText"/>
      </w:pPr>
      <w:r>
        <w:rPr>
          <w:rFonts w:ascii="Times New Roman" w:hAnsi="Times New Roman" w:eastAsia="Times New Roman" w:cs="Times New Roman"/>
        </w:rPr>
        <w:t xml:space="preserve">22. Marhula J., Sidor M. 2026. Automating Search Relevance Assessment at Scale with LLM‑as‑a‑Judge.</w:t>
      </w:r>
      <w:r>
        <w:rPr>
          <w:rFonts w:ascii="Times New Roman" w:hAnsi="Times New Roman" w:eastAsia="Times New Roman" w:cs="Times New Roman"/>
        </w:rPr>
        <w:t xml:space="preserve"> </w:t>
      </w:r>
      <w:hyperlink r:id="rId56">
        <w:r>
          <w:rPr>
            <w:rStyle w:val="Hyperlink"/>
          </w:rPr>
          <w:t xml:space="preserve">https:/​/​blog.allegro.tech/​2026/​08/​automating‑search‑relevance‑llm‑as‑a‑judge.html</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[dostęp: 08.10.2026].</w:t>
      </w:r>
    </w:p>
    <w:p>
      <w:pPr>
        <w:pStyle w:val="BodyText"/>
      </w:pPr>
      <w:r>
        <w:rPr>
          <w:rFonts w:ascii="Times New Roman" w:hAnsi="Times New Roman" w:eastAsia="Times New Roman" w:cs="Times New Roman"/>
        </w:rPr>
        <w:t xml:space="preserve">23. McCarthy J. 2007. What Is Artificial Intelligence? Stanford University.</w:t>
      </w:r>
      <w:r>
        <w:rPr>
          <w:rFonts w:ascii="Times New Roman" w:hAnsi="Times New Roman" w:eastAsia="Times New Roman" w:cs="Times New Roman"/>
        </w:rPr>
        <w:t xml:space="preserve"> </w:t>
      </w:r>
      <w:hyperlink r:id="rId57">
        <w:r>
          <w:rPr>
            <w:rStyle w:val="Hyperlink"/>
          </w:rPr>
          <w:t xml:space="preserve">https:/​/​www‑formal.stanford.edu/​jmc/​whatisai/​whatisai.html</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[dostęp: 08.10.2026].</w:t>
      </w:r>
    </w:p>
    <w:p>
      <w:pPr>
        <w:pStyle w:val="BodyText"/>
      </w:pPr>
      <w:r>
        <w:rPr>
          <w:rFonts w:ascii="Times New Roman" w:hAnsi="Times New Roman" w:eastAsia="Times New Roman" w:cs="Times New Roman"/>
        </w:rPr>
        <w:t xml:space="preserve">24. Mell P., Grance T. 2011. The NIST Definition of Cloud Computing, NIST Special Publication 800-145. https://doi.org/10.6028/NIST.SP.800-145.</w:t>
      </w:r>
    </w:p>
    <w:p>
      <w:pPr>
        <w:pStyle w:val="BodyText"/>
      </w:pPr>
      <w:r>
        <w:rPr>
          <w:rFonts w:ascii="Times New Roman" w:hAnsi="Times New Roman" w:eastAsia="Times New Roman" w:cs="Times New Roman"/>
        </w:rPr>
        <w:t xml:space="preserve">25. NIST. 2023. Artificial Intelligence Risk Management Framework (AI RMF 1.0), NIST AI 100-1. https://doi.org/10.6028/NIST.AI.100-1.</w:t>
      </w:r>
    </w:p>
    <w:p>
      <w:pPr>
        <w:pStyle w:val="BodyText"/>
      </w:pPr>
      <w:r>
        <w:rPr>
          <w:rFonts w:ascii="Times New Roman" w:hAnsi="Times New Roman" w:eastAsia="Times New Roman" w:cs="Times New Roman"/>
        </w:rPr>
        <w:t xml:space="preserve">26. Zalando. 2023. Zalando to launch a fashion assistant powered by ChatGPT.</w:t>
      </w:r>
      <w:r>
        <w:rPr>
          <w:rFonts w:ascii="Times New Roman" w:hAnsi="Times New Roman" w:eastAsia="Times New Roman" w:cs="Times New Roman"/>
        </w:rPr>
        <w:t xml:space="preserve"> </w:t>
      </w:r>
      <w:hyperlink r:id="rId58">
        <w:r>
          <w:rPr>
            <w:rStyle w:val="Hyperlink"/>
          </w:rPr>
          <w:t xml:space="preserve">https:/​/​corporate.zalando.com/​en/​technology/​zalando‑launch‑fashion‑assistant‑powered‑chatgpt</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[dostęp: 08.10.2026].</w:t>
      </w:r>
    </w:p>
    <w:bookmarkEnd w:id="59"/>
    <w:bookmarkEnd w:id="60"/>
    <w:bookmarkStart w:id="61" w:name="spis-tabel"/>
    <w:p>
      <w:pPr>
        <w:pStyle w:val="Heading1"/>
      </w:pPr>
      <w:r>
        <w:rPr>
          <w:rFonts w:ascii="Times New Roman" w:hAnsi="Times New Roman" w:eastAsia="Times New Roman" w:cs="Times New Roman"/>
        </w:rPr>
        <w:t xml:space="preserve">SPIS TABEL</w:t>
      </w:r>
    </w:p>
    <w:p>
      <w:pPr>
        <w:pStyle w:val="TOCEntry"/>
      </w:pPr>
      <w:r>
        <w:rPr>
          <w:rFonts w:ascii="Times New Roman" w:hAnsi="Times New Roman" w:eastAsia="Times New Roman" w:cs="Times New Roman"/>
        </w:rPr>
        <w:t xml:space="preserve">Tabela 1. Personalizacja na kolejnych etapach relacji z klientem — s. 15</w:t>
      </w:r>
    </w:p>
    <w:p>
      <w:pPr>
        <w:pStyle w:val="TOCEntry"/>
      </w:pPr>
      <w:r>
        <w:rPr>
          <w:rFonts w:ascii="Times New Roman" w:hAnsi="Times New Roman" w:eastAsia="Times New Roman" w:cs="Times New Roman"/>
        </w:rPr>
        <w:t xml:space="preserve">Tabela 2. Porównanie podstawowych podejść rekomendacyjnych — s. 21</w:t>
      </w:r>
    </w:p>
    <w:p>
      <w:pPr>
        <w:pStyle w:val="TOCEntry"/>
      </w:pPr>
      <w:r>
        <w:rPr>
          <w:rFonts w:ascii="Times New Roman" w:hAnsi="Times New Roman" w:eastAsia="Times New Roman" w:cs="Times New Roman"/>
        </w:rPr>
        <w:t xml:space="preserve">Tabela 3. Proponowane kryteria oceny wdrożenia personalizacji — s. 26</w:t>
      </w:r>
    </w:p>
    <w:p>
      <w:pPr>
        <w:pStyle w:val="TOCEntry"/>
      </w:pPr>
      <w:r>
        <w:rPr>
          <w:rFonts w:ascii="Times New Roman" w:hAnsi="Times New Roman" w:eastAsia="Times New Roman" w:cs="Times New Roman"/>
        </w:rPr>
        <w:t xml:space="preserve">Tabela 4. Wybrane wyniki oceny klas trafności opisane przez zespół Allegro — s. 39</w:t>
      </w:r>
    </w:p>
    <w:p>
      <w:pPr>
        <w:pStyle w:val="TOCEntry"/>
      </w:pPr>
      <w:r>
        <w:rPr>
          <w:rFonts w:ascii="Times New Roman" w:hAnsi="Times New Roman" w:eastAsia="Times New Roman" w:cs="Times New Roman"/>
        </w:rPr>
        <w:t xml:space="preserve">Tabela 5. Porównanie zakresu dowodów w analizowanych przypadkach — s. 40</w:t>
      </w:r>
    </w:p>
    <w:bookmarkEnd w:id="61"/>
    <w:bookmarkStart w:id="62" w:name="abstract"/>
    <w:p>
      <w:pPr>
        <w:pStyle w:val="Heading1"/>
      </w:pPr>
      <w:r>
        <w:rPr>
          <w:rFonts w:ascii="Times New Roman" w:hAnsi="Times New Roman" w:eastAsia="Times New Roman" w:cs="Times New Roman"/>
        </w:rPr>
        <w:t xml:space="preserve">ABSTRACT</w:t>
      </w:r>
    </w:p>
    <w:p>
      <w:pPr>
        <w:pStyle w:val="FirstParagraph"/>
      </w:pPr>
      <w:r>
        <w:rPr>
          <w:rFonts w:ascii="Times New Roman" w:hAnsi="Times New Roman" w:eastAsia="Times New Roman" w:cs="Times New Roman"/>
          <w:b/>
          <w:bCs/>
        </w:rPr>
        <w:t xml:space="preserve">Application of artificial intelligence to personalize relationships with customers of online stores</w:t>
      </w:r>
    </w:p>
    <w:p>
      <w:pPr>
        <w:pStyle w:val="BodyText"/>
      </w:pPr>
      <w:r>
        <w:rPr>
          <w:rFonts w:ascii="Times New Roman" w:hAnsi="Times New Roman" w:eastAsia="Times New Roman" w:cs="Times New Roman"/>
        </w:rPr>
        <w:t xml:space="preserve">This thesis examines the use of artificial intelligence to personalize relationships with customers of online stores. Its aim is to explain how retailers tailor offers, communication, and service, and to assess the benefits and limits of these practices. The method combines a literature review with a comparative analysis of publicly described solutions from Amazon, Zalando, and Allegro. The study discusses recommender systems, predictive analytics, and tools that communicate with customers. It also considers data quality, transparency, privacy, and the reliability of available evidence. The findings suggest that AI can help customers choose products and obtain support. However, relevant suggestions alone do not prove a lasting improvement in customer relationships. Company materials describe system features but rarely allow changes in loyalty to be attributed solely to AI. The thesis proposes evaluating personalization through several measures, including usefulness, service quality, data protection, and customer trust. The conclusions are qualitative because the study did not involve a customer survey or an experiment using customer data.</w:t>
      </w:r>
    </w:p>
    <w:p>
      <w:pPr>
        <w:pStyle w:val="BodyText"/>
      </w:pPr>
      <w:r>
        <w:rPr>
          <w:rFonts w:ascii="Times New Roman" w:hAnsi="Times New Roman" w:eastAsia="Times New Roman" w:cs="Times New Roman"/>
          <w:i/>
          <w:iCs/>
        </w:rPr>
        <w:t xml:space="preserve">Keywords: artificial intelligence, personalization, e‑commerce, customer relationships, recommender systems.</w:t>
      </w:r>
    </w:p>
    <w:bookmarkEnd w:id="62"/>
    <w:sectPr>
      <w:footerReference w:type="default" r:id="rId9"/>
      <w:pgSz w:w="11906" w:h="16838"/>
      <w:pgMar w:left="1417" w:right="1417" w:gutter="283" w:top="1417" w:bottom="1417"/>
      <w:pgNumType w:start="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mirrorMargins/>
  <w:doNotHyphenateCap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360" w:lineRule="auto" w:before="0" w:after="0"/>
      <w:ind w:firstLine="425"/>
      <w:jc w:val="both"/>
      <w:suppressAutoHyphens w:val="1"/>
    </w:pPr>
    <w:rPr>
      <w:rFonts w:ascii="Times New Roman" w:hAnsi="Times New Roman" w:eastAsia="Times New Roman" w:cs="Times New Roman"/>
      <w:color w:val="000000"/>
      <w:sz w:val="24"/>
    </w:rPr>
  </w:style>
  <w:style w:styleId="BodyText" w:type="paragraph">
    <w:name w:val="Body Text"/>
    <w:basedOn w:val="Normal"/>
    <w:link w:val="BodyTextChar"/>
    <w:qFormat/>
    <w:pPr>
      <w:widowControl/>
      <w:spacing w:after="0" w:before="0" w:line="360" w:lineRule="auto"/>
      <w:ind w:firstLine="425"/>
      <w:jc w:val="both"/>
      <w:suppressAutoHyphens w:val="1"/>
    </w:pPr>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widowControl/>
      <w:spacing w:line="360" w:lineRule="auto" w:before="0" w:after="0"/>
      <w:ind w:firstLine="425"/>
      <w:jc w:val="both"/>
      <w:suppressAutoHyphens w:val="1"/>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0"/>
      <w:ind w:firstLine="0"/>
      <w:jc w:val="center"/>
      <w:outlineLvl w:val="0"/>
      <w:suppressAutoHyphens w:val="1"/>
    </w:pPr>
    <w:rPr>
      <w:rFonts w:ascii="Times New Roman" w:hAnsi="Times New Roman" w:eastAsia="Times New Roman" w:cs="Times New Roman"/>
      <w:b/>
      <w:bCs/>
      <w:color w:val="000000"/>
      <w:sz w:val="28"/>
      <w:szCs w:val="32"/>
    </w:rPr>
  </w:style>
  <w:style w:styleId="Heading2" w:type="paragraph">
    <w:name w:val="Heading 2"/>
    <w:basedOn w:val="Normal"/>
    <w:next w:val="BodyText"/>
    <w:uiPriority w:val="9"/>
    <w:unhideWhenUsed/>
    <w:qFormat/>
    <w:pPr>
      <w:keepNext/>
      <w:keepLines/>
      <w:pageBreakBefore w:val="0"/>
      <w:spacing w:after="240" w:before="240"/>
      <w:ind w:firstLine="0"/>
      <w:jc w:val="left"/>
      <w:outlineLvl w:val="1"/>
      <w:suppressAutoHyphens w:val="1"/>
    </w:pPr>
    <w:rPr>
      <w:rFonts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40" w:after="0" w:line="240" w:lineRule="auto"/>
      <w:ind w:firstLine="0"/>
      <w:jc w:val="center"/>
      <w:suppressAutoHyphens w:val="1"/>
    </w:pPr>
    <w:rPr>
      <w:rFonts w:ascii="Times New Roman" w:hAnsi="Times New Roman" w:eastAsia="Times New Roman" w:cs="Times New Roman"/>
      <w:b w:val="0"/>
      <w:color w:val="000000"/>
      <w:sz w:val="20"/>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before="0" w:line="360" w:lineRule="auto" w:after="0"/>
      <w:ind w:firstLine="0"/>
      <w:jc w:val="center"/>
      <w:outlineLvl w:val="9"/>
      <w:suppressAutoHyphens w:val="1"/>
    </w:pPr>
    <w:rPr>
      <w:rFonts w:ascii="Times New Roman" w:hAnsi="Times New Roman" w:eastAsia="Times New Roman" w:cs="Times New Roman"/>
      <w:b/>
      <w:bCs w:val="0"/>
      <w:color w:val="000000"/>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OCEntry">
    <w:name w:val="TOC Entry"/>
    <w:pPr>
      <w:keepNext w:val="0"/>
      <w:spacing w:before="0" w:after="0" w:line="240" w:lineRule="auto"/>
      <w:ind w:firstLine="0"/>
      <w:jc w:val="left"/>
      <w:suppressAutoHyphens w:val="1"/>
    </w:pPr>
    <w:rPr>
      <w:rFonts w:ascii="Times New Roman" w:hAnsi="Times New Roman" w:eastAsia="Times New Roman" w:cs="Times New Roman"/>
      <w:b w:val="0"/>
      <w:color w:val="000000"/>
      <w:sz w:val="20"/>
    </w:rPr>
  </w:style>
  <w:style w:type="paragraph" w:customStyle="1" w:styleId="TableSource">
    <w:name w:val="Table Source"/>
    <w:pPr>
      <w:keepNext w:val="0"/>
      <w:spacing w:before="0" w:after="240" w:line="240" w:lineRule="auto"/>
      <w:ind w:firstLine="0"/>
      <w:jc w:val="left"/>
      <w:suppressAutoHyphens w:val="1"/>
    </w:pPr>
    <w:rPr>
      <w:rFonts w:ascii="Times New Roman" w:hAnsi="Times New Roman" w:eastAsia="Times New Roman" w:cs="Times New Roman"/>
      <w:b w:val="0"/>
      <w:i/>
      <w:color w:val="000000"/>
      <w:sz w:val="16"/>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6" Type="http://schemas.openxmlformats.org/officeDocument/2006/relationships/hyperlink" Target="https://blog.allegro.tech/2026/08/automating-search-relevance-llm-as-a-judge.html" TargetMode="External"/><Relationship Id="rId58" Type="http://schemas.openxmlformats.org/officeDocument/2006/relationships/hyperlink" Target="https://corporate.zalando.com/en/technology/zalando-launch-fashion-assistant-powered-chatgpt" TargetMode="External"/><Relationship Id="rId57" Type="http://schemas.openxmlformats.org/officeDocument/2006/relationships/hyperlink" Target="https://www-formal.stanford.edu/jmc/whatisai/whatisai.html" TargetMode="External"/><Relationship Id="rId55" Type="http://schemas.openxmlformats.org/officeDocument/2006/relationships/hyperlink" Target="https://www.aboutamazon.com/news/retail/amazon-rufus"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6" Type="http://schemas.openxmlformats.org/officeDocument/2006/relationships/hyperlink" Target="https://blog.allegro.tech/2026/08/automating-search-relevance-llm-as-a-judge.html" TargetMode="External"/><Relationship Id="rId58" Type="http://schemas.openxmlformats.org/officeDocument/2006/relationships/hyperlink" Target="https://corporate.zalando.com/en/technology/zalando-launch-fashion-assistant-powered-chatgpt" TargetMode="External"/><Relationship Id="rId57" Type="http://schemas.openxmlformats.org/officeDocument/2006/relationships/hyperlink" Target="https://www-formal.stanford.edu/jmc/whatisai/whatisai.html" TargetMode="External"/><Relationship Id="rId55" Type="http://schemas.openxmlformats.org/officeDocument/2006/relationships/hyperlink" Target="https://www.aboutamazon.com/news/retail/amazon-ruf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Zastosowanie sztucznej inteligencji do personalizacji relacji z klientami sklepów internetowych</dc:title>
  <dc:creator>Łukasz Bernaciak</dc:creator>
  <cp:keywords/>
  <dcterms:created xsi:type="dcterms:W3CDTF">2026-10-09T00:45:47Z</dcterms:created>
  <dcterms:modified xsi:type="dcterms:W3CDTF">2026-10-09T00:45:47Z</dcterms:modified>
  <dc:subject>Praca licencjacka – wersja do uzupełnienia o stronę tytułową i oświadczenie</dc:subject>
</cp:coreProperties>
</file>

<file path=docProps/custom.xml><?xml version="1.0" encoding="utf-8"?>
<Properties xmlns="http://schemas.openxmlformats.org/officeDocument/2006/custom-properties" xmlns:vt="http://schemas.openxmlformats.org/officeDocument/2006/docPropsVTypes"/>
</file>