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B1625" w14:textId="77777777" w:rsidR="00ED65BD" w:rsidRDefault="00ED65BD" w:rsidP="00ED65BD">
      <w:r>
        <w:t xml:space="preserve">KI verspricht Effizienz und Tempo. Ohne Plan drohen jedoch Reibungsverluste, rechtliche Risiken und teure Korrekturen. Mit klarer </w:t>
      </w:r>
      <w:proofErr w:type="spellStart"/>
      <w:r>
        <w:t>Governance</w:t>
      </w:r>
      <w:proofErr w:type="spellEnd"/>
      <w:r>
        <w:t xml:space="preserve"> und pragmatischen Prozessen lässt sich das Risiko für folgenreiche Fehler verringern. Eine Checkliste.</w:t>
      </w:r>
    </w:p>
    <w:p w14:paraId="7FABEAC6" w14:textId="77777777" w:rsidR="00ED65BD" w:rsidRDefault="00ED65BD" w:rsidP="00ED65BD"/>
    <w:p w14:paraId="4F1EE6E5" w14:textId="77777777" w:rsidR="00ED65BD" w:rsidRDefault="00ED65BD" w:rsidP="00ED65BD">
      <w:r>
        <w:t xml:space="preserve">Stolperstein 1: </w:t>
      </w:r>
    </w:p>
    <w:p w14:paraId="015AAEE3" w14:textId="64FCBE56" w:rsidR="00ED65BD" w:rsidRDefault="00ED65BD" w:rsidP="00ED65BD">
      <w:r>
        <w:t>Regulierung zu lange ignorieren – Die KI</w:t>
      </w:r>
      <w:r>
        <w:rPr>
          <w:rFonts w:ascii="Cambria Math" w:hAnsi="Cambria Math" w:cs="Cambria Math"/>
        </w:rPr>
        <w:t>‑</w:t>
      </w:r>
      <w:r>
        <w:t>Verordnung ordnet Pflichten nach Risikoklassen. Teile gelten bereits. Spätestens bis August 2027 müssen alle Anforderungen erfüllt sein. Viele greifen schon in der Entwicklung. Nachrüstungen unter Live-Bedingungen sind teuer. Es drohen Bußgelder, Vertriebsverbote, Rückrufe, Abschaltungen und Vertrauensverluste. Wer Regulierung von Beginn an einplant, spart Zeit und Geld.</w:t>
      </w:r>
    </w:p>
    <w:p w14:paraId="0826F11A" w14:textId="77777777" w:rsidR="00ED65BD" w:rsidRDefault="00ED65BD" w:rsidP="00ED65BD">
      <w:r>
        <w:t xml:space="preserve">Stolperstein 2: </w:t>
      </w:r>
    </w:p>
    <w:p w14:paraId="0EF3DECF" w14:textId="6F8CD07B" w:rsidR="00ED65BD" w:rsidRDefault="00ED65BD" w:rsidP="00ED65BD">
      <w:r>
        <w:t>Kein Überblick über die eingesetzte KI und Pflichten – Ohne Inventar keine Compliance. Erst die vollständige Erfassung aller bestehenden und geplanten Use Cases – inklusive Tests – ermöglicht die Zuordnung von Rollen und Pflichten. Dokumentation ist Pflicht, nicht Kür.</w:t>
      </w:r>
    </w:p>
    <w:p w14:paraId="3CB76259" w14:textId="77777777" w:rsidR="00ED65BD" w:rsidRDefault="00ED65BD" w:rsidP="00ED65BD"/>
    <w:p w14:paraId="5E640817" w14:textId="77777777" w:rsidR="00ED65BD" w:rsidRDefault="00ED65BD" w:rsidP="00ED65BD">
      <w:r>
        <w:t xml:space="preserve">Stolperstein 3: </w:t>
      </w:r>
    </w:p>
    <w:p w14:paraId="136EBA17" w14:textId="58FC3402" w:rsidR="00ED65BD" w:rsidRDefault="00ED65BD" w:rsidP="00ED65BD">
      <w:r>
        <w:t>Prozesse ohne Leitplanken – Use Cases zu sammeln, reicht nicht. Rollen und Pflichten müssen nach KI</w:t>
      </w:r>
      <w:r>
        <w:rPr>
          <w:rFonts w:ascii="Cambria Math" w:hAnsi="Cambria Math" w:cs="Cambria Math"/>
        </w:rPr>
        <w:t>‑</w:t>
      </w:r>
      <w:r>
        <w:t xml:space="preserve">Verordnung festgelegt und über den gesamten Lebenszyklus überwacht werden. Ohne klare Leitlinien für Auswahl, Test, Freigabe und Dokumentation entstehen Uneinheitlichkeit, Doppelarbeit und Lücken. Nötig sind saubere </w:t>
      </w:r>
      <w:proofErr w:type="spellStart"/>
      <w:r>
        <w:t>Governance</w:t>
      </w:r>
      <w:proofErr w:type="spellEnd"/>
      <w:r>
        <w:rPr>
          <w:rFonts w:ascii="Cambria Math" w:hAnsi="Cambria Math" w:cs="Cambria Math"/>
        </w:rPr>
        <w:t>‑</w:t>
      </w:r>
      <w:r>
        <w:t>Strukturen, definierte Verantwortlichkeiten und standardisierte Prüf</w:t>
      </w:r>
      <w:r>
        <w:rPr>
          <w:rFonts w:ascii="Cambria Math" w:hAnsi="Cambria Math" w:cs="Cambria Math"/>
        </w:rPr>
        <w:t>‑</w:t>
      </w:r>
      <w:r>
        <w:t>, Freigabe</w:t>
      </w:r>
      <w:r>
        <w:rPr>
          <w:rFonts w:ascii="Cambria Math" w:hAnsi="Cambria Math" w:cs="Cambria Math"/>
        </w:rPr>
        <w:t>‑</w:t>
      </w:r>
      <w:r>
        <w:t xml:space="preserve"> und Überwachungsprozesse.</w:t>
      </w:r>
    </w:p>
    <w:p w14:paraId="4E493F54" w14:textId="77777777" w:rsidR="00ED65BD" w:rsidRDefault="00ED65BD" w:rsidP="00ED65BD">
      <w:r>
        <w:t xml:space="preserve">Stolperstein 4: </w:t>
      </w:r>
    </w:p>
    <w:p w14:paraId="19E5C0D3" w14:textId="3E97529E" w:rsidR="00ED65BD" w:rsidRDefault="00ED65BD" w:rsidP="00ED65BD">
      <w:r>
        <w:t>Auf Gesetze vertrauen, Verträge vergessen – Die KI</w:t>
      </w:r>
      <w:r>
        <w:rPr>
          <w:rFonts w:ascii="Cambria Math" w:hAnsi="Cambria Math" w:cs="Cambria Math"/>
        </w:rPr>
        <w:t>‑</w:t>
      </w:r>
      <w:r>
        <w:t>Verordnung bleibt teils abstrakt. Lieferanten müssen nicht automatisch alle Informationen liefern, die sie zur Pflichterfüllung benötigen. Lieferumfang, Informationspflichten und Sicherheit gehören in einen Vertrag – auch wenn das Gesetz schweigt. Zudem müssen Nutzungsrechte an KI und deren Output geklärt werden.</w:t>
      </w:r>
    </w:p>
    <w:p w14:paraId="482582E6" w14:textId="77777777" w:rsidR="00ED65BD" w:rsidRDefault="00ED65BD" w:rsidP="00ED65BD">
      <w:r>
        <w:t xml:space="preserve">Stolperstein 5: </w:t>
      </w:r>
    </w:p>
    <w:p w14:paraId="1E232889" w14:textId="6B0F61BD" w:rsidR="00ED65BD" w:rsidRDefault="00ED65BD" w:rsidP="00ED65BD">
      <w:r>
        <w:t>Geistiges Eigentum außer Acht lassen – IP</w:t>
      </w:r>
      <w:r>
        <w:rPr>
          <w:rFonts w:ascii="Cambria Math" w:hAnsi="Cambria Math" w:cs="Cambria Math"/>
        </w:rPr>
        <w:t>‑</w:t>
      </w:r>
      <w:r>
        <w:t>Risiken bestehen bei Modell, System, Input und Output. Texte, Code und Daten sind oft geschützt und ohne Erlaubnis tabu. Training mit geschützten Inhalten kann doppelt verletzen: beim Kopieren/Bearbeiten und später im Output. Verträge helfen finanziell, beseitigen aber nicht die eigene Haftung. Daher: Lizenzen prüfen, Input prüfen, Output prüfen – und alles dokumentieren.</w:t>
      </w:r>
    </w:p>
    <w:p w14:paraId="57D61B4F" w14:textId="77777777" w:rsidR="00ED65BD" w:rsidRDefault="00ED65BD" w:rsidP="00ED65BD">
      <w:r>
        <w:lastRenderedPageBreak/>
        <w:t xml:space="preserve">Stolperstein 6: </w:t>
      </w:r>
    </w:p>
    <w:p w14:paraId="45D6C6FE" w14:textId="53B3567F" w:rsidR="00ED65BD" w:rsidRDefault="00ED65BD" w:rsidP="00ED65BD">
      <w:r>
        <w:t>KI</w:t>
      </w:r>
      <w:r>
        <w:rPr>
          <w:rFonts w:ascii="Cambria Math" w:hAnsi="Cambria Math" w:cs="Cambria Math"/>
        </w:rPr>
        <w:t>‑</w:t>
      </w:r>
      <w:r>
        <w:t>Kompetenz unter</w:t>
      </w:r>
      <w:r>
        <w:rPr>
          <w:rFonts w:ascii="Cambria Math" w:hAnsi="Cambria Math" w:cs="Cambria Math"/>
        </w:rPr>
        <w:t>‑</w:t>
      </w:r>
      <w:r>
        <w:t xml:space="preserve"> oder überschätzen – Ohne Grundwissen steigt das Fehlerrisiko. Anbieter und Betreiber müssen Personal schulen und ausreichende KI</w:t>
      </w:r>
      <w:r>
        <w:rPr>
          <w:rFonts w:ascii="Cambria Math" w:hAnsi="Cambria Math" w:cs="Cambria Math"/>
        </w:rPr>
        <w:t>‑</w:t>
      </w:r>
      <w:r>
        <w:t xml:space="preserve">Kompetenz sichern. Wer Funktionsweise, Kennzeichnung, sichere Nutzung und Grenzen nicht kennt, bewertet Ergebnisse falsch. Ein </w:t>
      </w:r>
      <w:r w:rsidR="00923CBF">
        <w:t>individuelles</w:t>
      </w:r>
      <w:r>
        <w:t xml:space="preserve"> AI</w:t>
      </w:r>
      <w:r>
        <w:rPr>
          <w:rFonts w:ascii="Cambria Math" w:hAnsi="Cambria Math" w:cs="Cambria Math"/>
        </w:rPr>
        <w:t>‑</w:t>
      </w:r>
      <w:proofErr w:type="spellStart"/>
      <w:r>
        <w:t>Literacy</w:t>
      </w:r>
      <w:proofErr w:type="spellEnd"/>
      <w:r>
        <w:rPr>
          <w:rFonts w:ascii="Cambria Math" w:hAnsi="Cambria Math" w:cs="Cambria Math"/>
        </w:rPr>
        <w:t>‑</w:t>
      </w:r>
      <w:r>
        <w:t>Programm mit regelmäßigen Auffrischungen ist Pflicht.</w:t>
      </w:r>
    </w:p>
    <w:p w14:paraId="5B9CD317" w14:textId="77777777" w:rsidR="00ED65BD" w:rsidRDefault="00ED65BD" w:rsidP="00ED65BD"/>
    <w:p w14:paraId="4B4F2249" w14:textId="77777777" w:rsidR="00ED65BD" w:rsidRDefault="00ED65BD" w:rsidP="00ED65BD">
      <w:r>
        <w:t xml:space="preserve">Stolperstein 7: </w:t>
      </w:r>
    </w:p>
    <w:p w14:paraId="2A5B0AE0" w14:textId="4BE27FD6" w:rsidR="00ED65BD" w:rsidRDefault="00ED65BD" w:rsidP="00ED65BD">
      <w:r>
        <w:t>Veränderungen und KI</w:t>
      </w:r>
      <w:r>
        <w:rPr>
          <w:rFonts w:ascii="Cambria Math" w:hAnsi="Cambria Math" w:cs="Cambria Math"/>
        </w:rPr>
        <w:t>‑</w:t>
      </w:r>
      <w:r>
        <w:t xml:space="preserve">Agenten nicht einplanen – Finetuning, weiteres Training, Zweckwechsel oder Vertrieb unter eigener Marke können einzuhaltende Pflichten verändern; bei KI-Agenten kann das Ganze auch ohne menschliches Zutun passieren. Nötig sind ein strukturierter </w:t>
      </w:r>
      <w:proofErr w:type="spellStart"/>
      <w:r>
        <w:t>Änderungs</w:t>
      </w:r>
      <w:proofErr w:type="spellEnd"/>
      <w:r>
        <w:rPr>
          <w:rFonts w:ascii="Cambria Math" w:hAnsi="Cambria Math" w:cs="Cambria Math"/>
        </w:rPr>
        <w:t>‑</w:t>
      </w:r>
      <w:r>
        <w:t>Check, feste Review</w:t>
      </w:r>
      <w:r>
        <w:rPr>
          <w:rFonts w:ascii="Cambria Math" w:hAnsi="Cambria Math" w:cs="Cambria Math"/>
        </w:rPr>
        <w:t>‑</w:t>
      </w:r>
      <w:r>
        <w:t xml:space="preserve">Zyklen und klare Re-Klassifizierungstrigger. Zudem gilt: Human in </w:t>
      </w:r>
      <w:proofErr w:type="spellStart"/>
      <w:r>
        <w:t>the</w:t>
      </w:r>
      <w:proofErr w:type="spellEnd"/>
      <w:r>
        <w:t xml:space="preserve"> Loop und ein wirksamer Kill</w:t>
      </w:r>
      <w:r>
        <w:rPr>
          <w:rFonts w:ascii="Cambria Math" w:hAnsi="Cambria Math" w:cs="Cambria Math"/>
        </w:rPr>
        <w:t>‑</w:t>
      </w:r>
      <w:r>
        <w:t>Switch.</w:t>
      </w:r>
    </w:p>
    <w:p w14:paraId="692CCA1B" w14:textId="77777777" w:rsidR="00ED65BD" w:rsidRDefault="00ED65BD" w:rsidP="00ED65BD">
      <w:r>
        <w:t>Stolperstein 8:</w:t>
      </w:r>
    </w:p>
    <w:p w14:paraId="01BCEDF9" w14:textId="35E339CA" w:rsidR="00ED65BD" w:rsidRDefault="00ED65BD" w:rsidP="00ED65BD">
      <w:r>
        <w:t xml:space="preserve"> Compliance in der KI</w:t>
      </w:r>
      <w:r>
        <w:rPr>
          <w:rFonts w:ascii="Cambria Math" w:hAnsi="Cambria Math" w:cs="Cambria Math"/>
        </w:rPr>
        <w:t>‑</w:t>
      </w:r>
      <w:r>
        <w:t>Blase – Die KI</w:t>
      </w:r>
      <w:r>
        <w:rPr>
          <w:rFonts w:ascii="Cambria Math" w:hAnsi="Cambria Math" w:cs="Cambria Math"/>
        </w:rPr>
        <w:t>‑</w:t>
      </w:r>
      <w:r>
        <w:t>VO ist nicht alles. Produktbezogene Vorgaben (zum Beispiel Luftfahrt, Fahrzeuge) können vorgehen oder ergänzen. Hinzu kommen EU</w:t>
      </w:r>
      <w:r>
        <w:rPr>
          <w:rFonts w:ascii="Cambria Math" w:hAnsi="Cambria Math" w:cs="Cambria Math"/>
        </w:rPr>
        <w:t>‑</w:t>
      </w:r>
      <w:r>
        <w:t xml:space="preserve">Digitalrechtsakte wie Produkthaftung, </w:t>
      </w:r>
      <w:proofErr w:type="spellStart"/>
      <w:r>
        <w:t>Cyber</w:t>
      </w:r>
      <w:proofErr w:type="spellEnd"/>
      <w:r>
        <w:t xml:space="preserve"> </w:t>
      </w:r>
      <w:proofErr w:type="spellStart"/>
      <w:r>
        <w:t>Resilience</w:t>
      </w:r>
      <w:proofErr w:type="spellEnd"/>
      <w:r>
        <w:t xml:space="preserve"> Act, Digital Services Act und Data Act. Wer den „Rest“ des Rechts ignoriert, riskiert Haftung.</w:t>
      </w:r>
    </w:p>
    <w:p w14:paraId="4F1A6B63" w14:textId="77777777" w:rsidR="00ED65BD" w:rsidRDefault="00ED65BD" w:rsidP="00ED65BD">
      <w:r>
        <w:t xml:space="preserve">Stolperstein 9: </w:t>
      </w:r>
    </w:p>
    <w:p w14:paraId="48021E95" w14:textId="765251D6" w:rsidR="00ED65BD" w:rsidRDefault="00ED65BD" w:rsidP="00ED65BD">
      <w:r>
        <w:t>Technologischen Wandel ignorieren – KI verändert sich laufend und kann immer mehr. Review- und Kategorisierungsprozesse müssen dies berücksichtigen und den Fortschritt antizipieren – nicht ihm hinterherlaufen.</w:t>
      </w:r>
    </w:p>
    <w:p w14:paraId="041EED6C" w14:textId="77777777" w:rsidR="00ED65BD" w:rsidRDefault="00ED65BD" w:rsidP="00ED65BD">
      <w:r>
        <w:t xml:space="preserve">Stolperstein 10: </w:t>
      </w:r>
    </w:p>
    <w:p w14:paraId="145C0BA8" w14:textId="43969D57" w:rsidR="00ED65BD" w:rsidRDefault="00ED65BD" w:rsidP="00ED65BD">
      <w:r>
        <w:t>Loslegen ohne Planung – „Erst mal KI, den Rest klären wir später“ ist teuer. Ohne konsistente Planung vor der Einführung von KI im Unternehmen ist die Wahrscheinlichkeit, alle Stolpersteine mitzunehmen, sehr hoch. Daher ist es ratsam, das Thema vor der Einführung des ersten Use Cases auf die Agenda zu nehmen.</w:t>
      </w:r>
    </w:p>
    <w:p w14:paraId="234DBCF6" w14:textId="77777777" w:rsidR="00ED65BD" w:rsidRDefault="00ED65BD" w:rsidP="00ED65BD"/>
    <w:p w14:paraId="2A37E820" w14:textId="31870168" w:rsidR="00ED65BD" w:rsidRDefault="00ED65BD" w:rsidP="00ED65BD">
      <w:r>
        <w:t>Fazit: Was jetzt zu tun ist</w:t>
      </w:r>
    </w:p>
    <w:p w14:paraId="3DD0E107" w14:textId="77777777" w:rsidR="00ED65BD" w:rsidRDefault="00ED65BD" w:rsidP="00ED65BD">
      <w:r>
        <w:t>Aus dem Vorstehenden ergeben sich ein paar „Hausaufgaben“, deren Umsetzung natürlich auf das jeweilige Unternehmen zuzuschneiden ist, um Haftungsrisiken wirksam zu begrenzen:</w:t>
      </w:r>
    </w:p>
    <w:p w14:paraId="11559560" w14:textId="77777777" w:rsidR="00ED65BD" w:rsidRDefault="00ED65BD" w:rsidP="00ED65BD"/>
    <w:p w14:paraId="1B503076" w14:textId="77777777" w:rsidR="00ED65BD" w:rsidRDefault="00ED65BD" w:rsidP="00ED65BD">
      <w:r>
        <w:lastRenderedPageBreak/>
        <w:t>KI</w:t>
      </w:r>
      <w:r>
        <w:rPr>
          <w:rFonts w:ascii="Cambria Math" w:hAnsi="Cambria Math" w:cs="Cambria Math"/>
        </w:rPr>
        <w:t>‑</w:t>
      </w:r>
      <w:r>
        <w:t xml:space="preserve">Verordnung auf das eigene Geschäftsmodell anwenden: Pflichten identifizieren, Compliance </w:t>
      </w:r>
      <w:proofErr w:type="spellStart"/>
      <w:r>
        <w:t>by</w:t>
      </w:r>
      <w:proofErr w:type="spellEnd"/>
      <w:r>
        <w:t xml:space="preserve"> Design verankern, ein Go</w:t>
      </w:r>
      <w:r>
        <w:rPr>
          <w:rFonts w:ascii="Cambria Math" w:hAnsi="Cambria Math" w:cs="Cambria Math"/>
        </w:rPr>
        <w:t>‑</w:t>
      </w:r>
      <w:r>
        <w:t>Live</w:t>
      </w:r>
      <w:r>
        <w:rPr>
          <w:rFonts w:ascii="Cambria Math" w:hAnsi="Cambria Math" w:cs="Cambria Math"/>
        </w:rPr>
        <w:t>‑</w:t>
      </w:r>
      <w:r>
        <w:t>Gate einführen, Minimal Viable Compliance parallel zum MVP liefern und die Roadmap bis August 2027 steuern.</w:t>
      </w:r>
    </w:p>
    <w:p w14:paraId="6E5FD543" w14:textId="77777777" w:rsidR="00ED65BD" w:rsidRDefault="00ED65BD" w:rsidP="00ED65BD">
      <w:r>
        <w:t>Zentrales KI</w:t>
      </w:r>
      <w:r>
        <w:rPr>
          <w:rFonts w:ascii="Cambria Math" w:hAnsi="Cambria Math" w:cs="Cambria Math"/>
        </w:rPr>
        <w:t>‑</w:t>
      </w:r>
      <w:r>
        <w:t>Register aufsetzen und verpflichtend nutzen: Alle Use Cases mit Rolle, Risikoklasse, Pflichten, Nachweisen und Status erfassen – vor der Beschaffung und vor dem Betrieb.</w:t>
      </w:r>
    </w:p>
    <w:p w14:paraId="6D856698" w14:textId="77777777" w:rsidR="00ED65BD" w:rsidRDefault="00ED65BD" w:rsidP="00ED65BD">
      <w:r>
        <w:t>Unternehmensweite KI</w:t>
      </w:r>
      <w:r>
        <w:rPr>
          <w:rFonts w:ascii="Cambria Math" w:hAnsi="Cambria Math" w:cs="Cambria Math"/>
        </w:rPr>
        <w:t>‑</w:t>
      </w:r>
      <w:r>
        <w:t>Policy und Lifecycle</w:t>
      </w:r>
      <w:r>
        <w:rPr>
          <w:rFonts w:ascii="Cambria Math" w:hAnsi="Cambria Math" w:cs="Cambria Math"/>
        </w:rPr>
        <w:t>‑</w:t>
      </w:r>
      <w:r>
        <w:t>Kontrollen einführen: Auswahl, Tests, Freigaben, Dokumentation und Überwachung standardisieren; Rollen und Verantwortlichkeiten klar zuweisen.</w:t>
      </w:r>
    </w:p>
    <w:p w14:paraId="31BDCDC8" w14:textId="77777777" w:rsidR="00ED65BD" w:rsidRDefault="00ED65BD" w:rsidP="00ED65BD">
      <w:r>
        <w:t xml:space="preserve">Verträge standardisieren: </w:t>
      </w:r>
      <w:proofErr w:type="spellStart"/>
      <w:r>
        <w:t>Informations</w:t>
      </w:r>
      <w:proofErr w:type="spellEnd"/>
      <w:r>
        <w:rPr>
          <w:rFonts w:ascii="Cambria Math" w:hAnsi="Cambria Math" w:cs="Cambria Math"/>
        </w:rPr>
        <w:t>‑</w:t>
      </w:r>
      <w:r>
        <w:t xml:space="preserve"> und Mitwirkungspflichten, Audit und Sicherheit, Change</w:t>
      </w:r>
      <w:r>
        <w:rPr>
          <w:rFonts w:ascii="Cambria Math" w:hAnsi="Cambria Math" w:cs="Cambria Math"/>
        </w:rPr>
        <w:t>‑</w:t>
      </w:r>
      <w:proofErr w:type="spellStart"/>
      <w:r>
        <w:t>Notices</w:t>
      </w:r>
      <w:proofErr w:type="spellEnd"/>
      <w:r>
        <w:t>, Abnahme</w:t>
      </w:r>
      <w:r>
        <w:rPr>
          <w:rFonts w:ascii="Cambria Math" w:hAnsi="Cambria Math" w:cs="Cambria Math"/>
        </w:rPr>
        <w:t>‑</w:t>
      </w:r>
      <w:r>
        <w:t xml:space="preserve">/Dokumentation, </w:t>
      </w:r>
      <w:proofErr w:type="spellStart"/>
      <w:r>
        <w:t>Nutzungs</w:t>
      </w:r>
      <w:proofErr w:type="spellEnd"/>
      <w:r>
        <w:rPr>
          <w:rFonts w:ascii="Cambria Math" w:hAnsi="Cambria Math" w:cs="Cambria Math"/>
        </w:rPr>
        <w:t>‑</w:t>
      </w:r>
      <w:r>
        <w:t xml:space="preserve"> und Output</w:t>
      </w:r>
      <w:r>
        <w:rPr>
          <w:rFonts w:ascii="Cambria Math" w:hAnsi="Cambria Math" w:cs="Cambria Math"/>
        </w:rPr>
        <w:t>‑</w:t>
      </w:r>
      <w:r>
        <w:t>Rechte sowie angepasste Haftung fest verankern.</w:t>
      </w:r>
    </w:p>
    <w:p w14:paraId="598C2F2C" w14:textId="77777777" w:rsidR="00ED65BD" w:rsidRDefault="00ED65BD" w:rsidP="00ED65BD">
      <w:r>
        <w:t>Rechte</w:t>
      </w:r>
      <w:r>
        <w:rPr>
          <w:rFonts w:ascii="Cambria Math" w:hAnsi="Cambria Math" w:cs="Cambria Math"/>
        </w:rPr>
        <w:t>‑</w:t>
      </w:r>
      <w:r>
        <w:t>Clearing etablieren: Rechtekette für Modelle, Trainings</w:t>
      </w:r>
      <w:r>
        <w:rPr>
          <w:rFonts w:ascii="Cambria Math" w:hAnsi="Cambria Math" w:cs="Cambria Math"/>
        </w:rPr>
        <w:t>‑</w:t>
      </w:r>
      <w:r>
        <w:t>/Eingabedaten und Outputs klären; Input</w:t>
      </w:r>
      <w:r>
        <w:rPr>
          <w:rFonts w:ascii="Cambria Math" w:hAnsi="Cambria Math" w:cs="Cambria Math"/>
        </w:rPr>
        <w:t>‑</w:t>
      </w:r>
      <w:r>
        <w:t xml:space="preserve"> und Output</w:t>
      </w:r>
      <w:r>
        <w:rPr>
          <w:rFonts w:ascii="Cambria Math" w:hAnsi="Cambria Math" w:cs="Cambria Math"/>
        </w:rPr>
        <w:t>‑</w:t>
      </w:r>
      <w:r>
        <w:t>Checks als Prozess</w:t>
      </w:r>
      <w:r>
        <w:rPr>
          <w:rFonts w:ascii="Cambria Math" w:hAnsi="Cambria Math" w:cs="Cambria Math"/>
        </w:rPr>
        <w:t>‑</w:t>
      </w:r>
      <w:r>
        <w:t>Gates verankern.</w:t>
      </w:r>
    </w:p>
    <w:p w14:paraId="71FA89B1" w14:textId="77777777" w:rsidR="00ED65BD" w:rsidRDefault="00ED65BD" w:rsidP="00ED65BD">
      <w:r>
        <w:t>AI</w:t>
      </w:r>
      <w:r>
        <w:rPr>
          <w:rFonts w:ascii="Cambria Math" w:hAnsi="Cambria Math" w:cs="Cambria Math"/>
        </w:rPr>
        <w:t>‑</w:t>
      </w:r>
      <w:proofErr w:type="spellStart"/>
      <w:r>
        <w:t>Literacy</w:t>
      </w:r>
      <w:proofErr w:type="spellEnd"/>
      <w:r>
        <w:rPr>
          <w:rFonts w:ascii="Cambria Math" w:hAnsi="Cambria Math" w:cs="Cambria Math"/>
        </w:rPr>
        <w:t>‑</w:t>
      </w:r>
      <w:r>
        <w:t>Programm starten: Pflichttrainings und dokumentierte Auffrischungen einführen; Zugriffsrechte an den Schulungsstand koppeln.</w:t>
      </w:r>
    </w:p>
    <w:p w14:paraId="33813BEB" w14:textId="77777777" w:rsidR="00ED65BD" w:rsidRDefault="00ED65BD" w:rsidP="00ED65BD">
      <w:r>
        <w:t>Change</w:t>
      </w:r>
      <w:r>
        <w:rPr>
          <w:rFonts w:ascii="Cambria Math" w:hAnsi="Cambria Math" w:cs="Cambria Math"/>
        </w:rPr>
        <w:t>‑</w:t>
      </w:r>
      <w:r>
        <w:t>Control aufsetzen: Re</w:t>
      </w:r>
      <w:r>
        <w:rPr>
          <w:rFonts w:ascii="Cambria Math" w:hAnsi="Cambria Math" w:cs="Cambria Math"/>
        </w:rPr>
        <w:t>‑</w:t>
      </w:r>
      <w:proofErr w:type="spellStart"/>
      <w:r>
        <w:t>Klassifizierungs</w:t>
      </w:r>
      <w:proofErr w:type="spellEnd"/>
      <w:r>
        <w:rPr>
          <w:rFonts w:ascii="Cambria Math" w:hAnsi="Cambria Math" w:cs="Cambria Math"/>
        </w:rPr>
        <w:t>‑</w:t>
      </w:r>
      <w:r>
        <w:t>Trigger (Fine</w:t>
      </w:r>
      <w:r>
        <w:rPr>
          <w:rFonts w:ascii="Cambria Math" w:hAnsi="Cambria Math" w:cs="Cambria Math"/>
        </w:rPr>
        <w:t>‑</w:t>
      </w:r>
      <w:r>
        <w:t xml:space="preserve">Tuning, Zweckänderung, Markenwechsel, Agenten) definieren, </w:t>
      </w:r>
      <w:proofErr w:type="gramStart"/>
      <w:r>
        <w:t>Human</w:t>
      </w:r>
      <w:proofErr w:type="gramEnd"/>
      <w:r>
        <w:rPr>
          <w:rFonts w:ascii="Cambria Math" w:hAnsi="Cambria Math" w:cs="Cambria Math"/>
        </w:rPr>
        <w:t>‑</w:t>
      </w:r>
      <w:r>
        <w:t>in</w:t>
      </w:r>
      <w:r>
        <w:rPr>
          <w:rFonts w:ascii="Cambria Math" w:hAnsi="Cambria Math" w:cs="Cambria Math"/>
        </w:rPr>
        <w:t>‑</w:t>
      </w:r>
      <w:proofErr w:type="spellStart"/>
      <w:r>
        <w:t>the</w:t>
      </w:r>
      <w:proofErr w:type="spellEnd"/>
      <w:r>
        <w:rPr>
          <w:rFonts w:ascii="Cambria Math" w:hAnsi="Cambria Math" w:cs="Cambria Math"/>
        </w:rPr>
        <w:t>‑</w:t>
      </w:r>
      <w:r>
        <w:t xml:space="preserve">Loop und </w:t>
      </w:r>
      <w:proofErr w:type="gramStart"/>
      <w:r>
        <w:t>Kill</w:t>
      </w:r>
      <w:proofErr w:type="gramEnd"/>
      <w:r>
        <w:rPr>
          <w:rFonts w:ascii="Cambria Math" w:hAnsi="Cambria Math" w:cs="Cambria Math"/>
        </w:rPr>
        <w:t>‑</w:t>
      </w:r>
      <w:r>
        <w:t>Switch vorschreiben und regelmäßige Reviews einplanen.</w:t>
      </w:r>
    </w:p>
    <w:p w14:paraId="7FE48082" w14:textId="77777777" w:rsidR="00ED65BD" w:rsidRDefault="00ED65BD" w:rsidP="00ED65BD">
      <w:r>
        <w:t xml:space="preserve">Rechtslandkarte erweitern: Produktrecht, CRA, DSA, Data Act und </w:t>
      </w:r>
      <w:proofErr w:type="spellStart"/>
      <w:r>
        <w:t>Sektorrecht</w:t>
      </w:r>
      <w:proofErr w:type="spellEnd"/>
      <w:r>
        <w:t xml:space="preserve"> integrieren; Prozesse und Nachweise bündeln; Verantwortliche und Meilensteine benennen.</w:t>
      </w:r>
    </w:p>
    <w:p w14:paraId="71BF2F32" w14:textId="7C22E8C5" w:rsidR="00ED65BD" w:rsidRDefault="00ED65BD" w:rsidP="00ED65BD">
      <w:r>
        <w:t>Monitoring und Re</w:t>
      </w:r>
      <w:r>
        <w:rPr>
          <w:rFonts w:ascii="Cambria Math" w:hAnsi="Cambria Math" w:cs="Cambria Math"/>
        </w:rPr>
        <w:t>‑</w:t>
      </w:r>
      <w:r>
        <w:t>Tests verstetigen: Technologieradar führen, Performance/Drift/Bias messen, Nachweise aktualisieren und Verbesserungen in Standards und Modelle zurückspielen.</w:t>
      </w:r>
    </w:p>
    <w:sectPr w:rsidR="00ED65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BD"/>
    <w:rsid w:val="00702604"/>
    <w:rsid w:val="00923CBF"/>
    <w:rsid w:val="00ED65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DBB3DC"/>
  <w15:chartTrackingRefBased/>
  <w15:docId w15:val="{06DF4FA7-89C8-F44C-92E3-2A2D7232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6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D6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D65B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D65B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D65B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D65B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D65B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D65B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D65B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65B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D65B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D65B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D65B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D65B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D65B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D65B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D65B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D65BD"/>
    <w:rPr>
      <w:rFonts w:eastAsiaTheme="majorEastAsia" w:cstheme="majorBidi"/>
      <w:color w:val="272727" w:themeColor="text1" w:themeTint="D8"/>
    </w:rPr>
  </w:style>
  <w:style w:type="paragraph" w:styleId="Titel">
    <w:name w:val="Title"/>
    <w:basedOn w:val="Standard"/>
    <w:next w:val="Standard"/>
    <w:link w:val="TitelZchn"/>
    <w:uiPriority w:val="10"/>
    <w:qFormat/>
    <w:rsid w:val="00ED6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65B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65B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D65B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D65B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D65BD"/>
    <w:rPr>
      <w:i/>
      <w:iCs/>
      <w:color w:val="404040" w:themeColor="text1" w:themeTint="BF"/>
    </w:rPr>
  </w:style>
  <w:style w:type="paragraph" w:styleId="Listenabsatz">
    <w:name w:val="List Paragraph"/>
    <w:basedOn w:val="Standard"/>
    <w:uiPriority w:val="34"/>
    <w:qFormat/>
    <w:rsid w:val="00ED65BD"/>
    <w:pPr>
      <w:ind w:left="720"/>
      <w:contextualSpacing/>
    </w:pPr>
  </w:style>
  <w:style w:type="character" w:styleId="IntensiveHervorhebung">
    <w:name w:val="Intense Emphasis"/>
    <w:basedOn w:val="Absatz-Standardschriftart"/>
    <w:uiPriority w:val="21"/>
    <w:qFormat/>
    <w:rsid w:val="00ED65BD"/>
    <w:rPr>
      <w:i/>
      <w:iCs/>
      <w:color w:val="0F4761" w:themeColor="accent1" w:themeShade="BF"/>
    </w:rPr>
  </w:style>
  <w:style w:type="paragraph" w:styleId="IntensivesZitat">
    <w:name w:val="Intense Quote"/>
    <w:basedOn w:val="Standard"/>
    <w:next w:val="Standard"/>
    <w:link w:val="IntensivesZitatZchn"/>
    <w:uiPriority w:val="30"/>
    <w:qFormat/>
    <w:rsid w:val="00ED6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D65BD"/>
    <w:rPr>
      <w:i/>
      <w:iCs/>
      <w:color w:val="0F4761" w:themeColor="accent1" w:themeShade="BF"/>
    </w:rPr>
  </w:style>
  <w:style w:type="character" w:styleId="IntensiverVerweis">
    <w:name w:val="Intense Reference"/>
    <w:basedOn w:val="Absatz-Standardschriftart"/>
    <w:uiPriority w:val="32"/>
    <w:qFormat/>
    <w:rsid w:val="00ED6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4959</Characters>
  <Application>Microsoft Office Word</Application>
  <DocSecurity>0</DocSecurity>
  <Lines>41</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Hohl</dc:creator>
  <cp:keywords/>
  <dc:description/>
  <cp:lastModifiedBy>Wolf Hohl</cp:lastModifiedBy>
  <cp:revision>2</cp:revision>
  <dcterms:created xsi:type="dcterms:W3CDTF">2025-10-01T08:44:00Z</dcterms:created>
  <dcterms:modified xsi:type="dcterms:W3CDTF">2025-10-01T13:38:00Z</dcterms:modified>
</cp:coreProperties>
</file>