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Cacsa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CACSA nace como una empresa enfocada principalmente en el ramo de la construcción al servicio de la industria mexicana y especializada en el abatimiento de mantos freáticos con los sistemas Wellpoint; ante la urgente necesidad de servicios de calidad en el sureste del país y las constantes variantes del cambio climático en razón de la explotación irresponsable de los recursos naturales por parte del hombre, es como se origina nuestra división de servicios ambientales. 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br w:type="textWrapping"/>
        <w:t xml:space="preserve">Somos una empresa 100% mexicana y comprometida a demostrar que la eficiencia no está peleada con la responsabilidad al momento de prestar un servicio tan delicado como es la succión, transporte y disposición final de materiales no peligrosos. 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br w:type="textWrapping"/>
        <w:t xml:space="preserve">Nuestra finalidad es ofrecer un servicio eficiente y eficaz, con tecnología de punta, personal comprometido y capacitado, contribuyendo así al desarrollo sustentable y al cuidado del medio ambiente.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Se requiere un sistema de inventario para esta empresa, en el cual servirá para monitorear y administrar las entradas y salidas, rutas, operaciones, etc. de cada uno de los servicios disponibles (WC Movil, oficinas moviles, casetas moviles, contenedores,sistema de drenaje portátiles)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El sistema cuenta con usuarios, los cuales están clasificados en Clientes, Administrativos y Operadores. Cada usuario sin importar la clasificación tendrá su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identificador único (ID), nombre de usuario, contraseña, correo electrónico.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Los clientes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(id cliente, nombre completo, empresa, teléfono de la empresa, teléfono personal,descripción)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solo pueden consultar sus servicios que han contratado, el estado del servicio, contratos y vigencia de contratos.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Los operadores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(id operador, nombre completo, fecha de contratación, teléfono personal)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tener acceso a consultar sus rutas, inventario y estado actual de los servicios.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Los administrativos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(id administrativo, nombre completo, fecha de contratación, teléfono personal)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tener acceso a añadir, borrar y actualizar el inventario, operadores, clientes, rutas, órdenes de pago, órdenes de venta y autorizan las órdenes de trabajo.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En el inventario están todos los objetos físicos incluyentes de un servicio como vehículos y equipo. Cada objeto contiene un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identificador único,nombre, el tipo de objeto que es, cantidad en almacen, estado(servicio, almacenado, mantenimiento), lugar donde está almacenado y una imagen del objeto ( opcional).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Los contratos cuentan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con un identificador, descripción del contrato,el identificador del cliente, fecha de inicio, fecha de finalización y estado del contrato ( Vigente, finalizado o cancelado)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Cada servicio cuenta con su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identificador, descripción del servicio y precio. Ahora cada servicio asignado cuenta con un operador, id contrato.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El registro de mantenimiento cuenta con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un identificador,  id servicio asignado, fecha y hora en que se realizó y si en dado caso otro operador le da mantenimiento al servicio igual se registra como “Operador sustituto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br w:type="textWrapping"/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br w:type="textWrapping"/>
        <w:br w:type="textWrapping"/>
        <w:t xml:space="preserve">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