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DRAFTING INSTRUCTIONS — MUTUAL NDA</w:t>
      </w:r>
    </w:p>
    <w:p>
      <w:pPr>
        <w:spacing w:before="0" w:after="160"/>
        <w:jc w:val="center"/>
      </w:pPr>
      <w:r>
        <w:rPr>
          <w:b/>
          <w:sz w:val="24"/>
        </w:rPr>
        <w:t>TO ACCOMPANY READER STAGE OF THE PIPELINE</w:t>
      </w:r>
    </w:p>
    <w:p>
      <w:pPr>
        <w:spacing w:before="0" w:after="200"/>
        <w:jc w:val="right"/>
      </w:pPr>
      <w:r>
        <w:rPr>
          <w:b/>
          <w:i w:val="0"/>
        </w:rPr>
        <w:t>Dated: 02 June 2026</w:t>
      </w:r>
    </w:p>
    <w:p>
      <w:pPr>
        <w:spacing w:before="80" w:after="80"/>
      </w:pPr>
      <w:r>
        <w:rPr>
          <w:b/>
          <w:i w:val="0"/>
        </w:rPr>
        <w:t>TRANSACTION CONTEXT</w:t>
      </w:r>
    </w:p>
    <w:p>
      <w:pPr>
        <w:spacing w:before="0" w:after="80"/>
      </w:pPr>
      <w:r>
        <w:rPr>
          <w:b w:val="0"/>
          <w:i w:val="0"/>
        </w:rPr>
        <w:t>Disclosing Party / Recipient: Two parties intending to enter into a 6-month bilateral commercial exploration — one a Bangalore-based SaaS startup ("[Startup-A]") and the other a Mumbai-based payment-processing vendor ("[Vendor-B]"). The parties wish to share confidential information (product roadmap, API specifications, financial projections, customer lists, code samples, business strategy) in connection with evaluating a potential commercial integration / partnership.</w:t>
      </w:r>
    </w:p>
    <w:p>
      <w:pPr>
        <w:spacing w:before="160" w:after="80"/>
      </w:pPr>
      <w:r>
        <w:rPr>
          <w:b/>
          <w:i w:val="0"/>
        </w:rPr>
        <w:t>PARTY DETAILS</w:t>
      </w:r>
    </w:p>
    <w:p>
      <w:pPr>
        <w:spacing w:before="0" w:after="80"/>
      </w:pPr>
      <w:r>
        <w:rPr>
          <w:b/>
          <w:i w:val="0"/>
        </w:rPr>
        <w:t>[Startup-A] Private Limited</w:t>
      </w:r>
    </w:p>
    <w:p>
      <w:pPr>
        <w:spacing w:before="0" w:after="80"/>
      </w:pPr>
      <w:r>
        <w:rPr>
          <w:b w:val="0"/>
          <w:i w:val="0"/>
        </w:rPr>
        <w:t>CIN: [Startup-CIN-Placeholder]</w:t>
      </w:r>
    </w:p>
    <w:p>
      <w:pPr>
        <w:spacing w:before="0" w:after="80"/>
      </w:pPr>
      <w:r>
        <w:rPr>
          <w:b w:val="0"/>
          <w:i w:val="0"/>
        </w:rPr>
        <w:t>Registered Office: [Startup-Registered-Office-Placeholder], Bengaluru, Karnataka</w:t>
      </w:r>
    </w:p>
    <w:p>
      <w:pPr>
        <w:spacing w:before="0" w:after="80"/>
      </w:pPr>
      <w:r>
        <w:rPr>
          <w:b w:val="0"/>
          <w:i w:val="0"/>
        </w:rPr>
        <w:t>Authorised Signatory: [Startup-Signatory-Placeholder], Designation: Founder / CEO</w:t>
      </w:r>
    </w:p>
    <w:p>
      <w:pPr>
        <w:spacing w:before="0" w:after="80"/>
      </w:pPr>
      <w:r>
        <w:rPr>
          <w:b w:val="0"/>
          <w:i w:val="0"/>
        </w:rPr>
        <w:t>Email for notices: [Startup-Email-Placeholder]</w:t>
      </w:r>
    </w:p>
    <w:p>
      <w:pPr>
        <w:spacing w:before="120" w:after="80"/>
      </w:pPr>
      <w:r>
        <w:rPr>
          <w:b/>
          <w:i w:val="0"/>
        </w:rPr>
        <w:t>[Vendor-B] Private Limited</w:t>
      </w:r>
    </w:p>
    <w:p>
      <w:pPr>
        <w:spacing w:before="0" w:after="80"/>
      </w:pPr>
      <w:r>
        <w:rPr>
          <w:b w:val="0"/>
          <w:i w:val="0"/>
        </w:rPr>
        <w:t>CIN: [Vendor-CIN-Placeholder]</w:t>
      </w:r>
    </w:p>
    <w:p>
      <w:pPr>
        <w:spacing w:before="0" w:after="80"/>
      </w:pPr>
      <w:r>
        <w:rPr>
          <w:b w:val="0"/>
          <w:i w:val="0"/>
        </w:rPr>
        <w:t>Registered Office: [Vendor-Registered-Office-Placeholder], Mumbai, Maharashtra</w:t>
      </w:r>
    </w:p>
    <w:p>
      <w:pPr>
        <w:spacing w:before="0" w:after="80"/>
      </w:pPr>
      <w:r>
        <w:rPr>
          <w:b w:val="0"/>
          <w:i w:val="0"/>
        </w:rPr>
        <w:t>Authorised Signatory: [Vendor-Signatory-Placeholder], Designation: Director — Strategic Partnerships</w:t>
      </w:r>
    </w:p>
    <w:p>
      <w:pPr>
        <w:spacing w:before="0" w:after="80"/>
      </w:pPr>
      <w:r>
        <w:rPr>
          <w:b w:val="0"/>
          <w:i w:val="0"/>
        </w:rPr>
        <w:t>Email for notices: [Vendor-Email-Placeholder]</w:t>
      </w:r>
    </w:p>
    <w:p>
      <w:pPr>
        <w:spacing w:before="200" w:after="80"/>
      </w:pPr>
      <w:r>
        <w:rPr>
          <w:b/>
          <w:i w:val="0"/>
        </w:rPr>
        <w:t>TERMS REQUESTED BY CLIENT</w:t>
      </w:r>
    </w:p>
    <w:p>
      <w:pPr>
        <w:spacing w:before="0" w:after="80"/>
      </w:pPr>
      <w:r>
        <w:rPr>
          <w:b w:val="0"/>
          <w:i w:val="0"/>
        </w:rPr>
        <w:t>(a) MUTUAL — both parties are disclosers and recipients. No one-way carveout.</w:t>
      </w:r>
    </w:p>
    <w:p>
      <w:pPr>
        <w:spacing w:before="0" w:after="80"/>
      </w:pPr>
      <w:r>
        <w:rPr>
          <w:b w:val="0"/>
          <w:i w:val="0"/>
        </w:rPr>
        <w:t>(b) Term: 2 years from the Effective Date for the operational period; obligation of confidentiality to survive for 5 years from the Effective Date.</w:t>
      </w:r>
    </w:p>
    <w:p>
      <w:pPr>
        <w:spacing w:before="0" w:after="80"/>
      </w:pPr>
      <w:r>
        <w:rPr>
          <w:b w:val="0"/>
          <w:i w:val="0"/>
        </w:rPr>
        <w:t>(c) Confidential Information: defined inclusively (technical, financial, business, customer, code, roadmap) with standard carve-outs for already-public / independently-developed / lawfully-received-from-third-party / required-by-law disclosure.</w:t>
      </w:r>
    </w:p>
    <w:p>
      <w:pPr>
        <w:spacing w:before="0" w:after="80"/>
      </w:pPr>
      <w:r>
        <w:rPr>
          <w:b w:val="0"/>
          <w:i w:val="0"/>
        </w:rPr>
        <w:t>(d) Permitted use: solely for the purpose of evaluating the prospective commercial partnership. No use for any other purpose, in particular no use to develop a competing product.</w:t>
      </w:r>
    </w:p>
    <w:p>
      <w:pPr>
        <w:spacing w:before="0" w:after="80"/>
      </w:pPr>
      <w:r>
        <w:rPr>
          <w:b w:val="0"/>
          <w:i w:val="0"/>
        </w:rPr>
        <w:t>(e) Standard of care: reasonable care, no lesser than that with which the recipient protects its own confidential information of similar sensitivity.</w:t>
      </w:r>
    </w:p>
    <w:p>
      <w:pPr>
        <w:spacing w:before="0" w:after="80"/>
      </w:pPr>
      <w:r>
        <w:rPr>
          <w:b w:val="0"/>
          <w:i w:val="0"/>
        </w:rPr>
        <w:t>(f) Non-solicitation of employees: 12 months from the Effective Date, mutual.</w:t>
      </w:r>
    </w:p>
    <w:p>
      <w:pPr>
        <w:spacing w:before="0" w:after="80"/>
      </w:pPr>
      <w:r>
        <w:rPr>
          <w:b w:val="0"/>
          <w:i w:val="0"/>
        </w:rPr>
        <w:t>(g) DPDP Act 2023 alignment: where personal data is shared incidentally, the parties shall act as joint determiners and apply Section 8 safeguards including pseudonymisation.</w:t>
      </w:r>
    </w:p>
    <w:p>
      <w:pPr>
        <w:spacing w:before="0" w:after="80"/>
      </w:pPr>
      <w:r>
        <w:rPr>
          <w:b w:val="0"/>
          <w:i w:val="0"/>
        </w:rPr>
        <w:t>(h) Injunctive relief: parties acknowledge that damages may be inadequate; injunctive relief available in addition to damages.</w:t>
      </w:r>
    </w:p>
    <w:p>
      <w:pPr>
        <w:spacing w:before="0" w:after="80"/>
      </w:pPr>
      <w:r>
        <w:rPr>
          <w:b w:val="0"/>
          <w:i w:val="0"/>
        </w:rPr>
        <w:t>(i) Return / destruction: on termination or written request, recipient to return or destroy all Confidential Information within 30 days; an authorised officer of the recipient shall provide a written certification of destruction.</w:t>
      </w:r>
    </w:p>
    <w:p>
      <w:pPr>
        <w:spacing w:before="0" w:after="80"/>
      </w:pPr>
      <w:r>
        <w:rPr>
          <w:b w:val="0"/>
          <w:i w:val="0"/>
        </w:rPr>
        <w:t>(j) Governing law: laws of India.</w:t>
      </w:r>
    </w:p>
    <w:p>
      <w:pPr>
        <w:spacing w:before="0" w:after="80"/>
      </w:pPr>
      <w:r>
        <w:rPr>
          <w:b w:val="0"/>
          <w:i w:val="0"/>
        </w:rPr>
        <w:t>(k) Dispute resolution: institutional arbitration under the Arbitration and Conciliation Act 1996 — three-arbitrator panel (one each + a chair) — seat at [Arbitral-Seat-Placeholder] — language English.</w:t>
      </w:r>
    </w:p>
    <w:p>
      <w:pPr>
        <w:spacing w:before="0" w:after="120"/>
      </w:pPr>
      <w:r>
        <w:rPr>
          <w:b w:val="0"/>
          <w:i w:val="0"/>
        </w:rPr>
        <w:t>(l) Stamp duty: Karnataka stamp duty applicable (party preparing the agreement to bear).</w:t>
      </w:r>
    </w:p>
    <w:p>
      <w:pPr>
        <w:spacing w:before="160" w:after="80"/>
      </w:pPr>
      <w:r>
        <w:rPr>
          <w:b/>
          <w:i w:val="0"/>
        </w:rPr>
        <w:t>CARVE-OUTS TO CONFIRM WITH CLIENT BEFORE FINALISATION</w:t>
      </w:r>
    </w:p>
    <w:p>
      <w:pPr>
        <w:spacing w:before="0" w:after="80"/>
      </w:pPr>
      <w:r>
        <w:rPr>
          <w:b w:val="0"/>
          <w:i w:val="0"/>
        </w:rPr>
        <w:t>(i) Whether the NDA should expressly disclaim the formation of any partnership, joint venture, or fiduciary relationship (recommended — yes).</w:t>
      </w:r>
    </w:p>
    <w:p>
      <w:pPr>
        <w:spacing w:before="0" w:after="80"/>
      </w:pPr>
      <w:r>
        <w:rPr>
          <w:b w:val="0"/>
          <w:i w:val="0"/>
        </w:rPr>
        <w:t>(ii) Whether residual-knowledge clause should be included (carries risk of weakening the obligation; client to decide).</w:t>
      </w:r>
    </w:p>
    <w:p>
      <w:pPr>
        <w:spacing w:before="0" w:after="80"/>
      </w:pPr>
      <w:r>
        <w:rPr>
          <w:b w:val="0"/>
          <w:i w:val="0"/>
        </w:rPr>
        <w:t>(iii) Whether feedback / improvement IP should vest with discloser (recommended — yes, free licence-back).</w:t>
      </w:r>
    </w:p>
    <w:p>
      <w:pPr>
        <w:spacing w:before="0" w:after="80"/>
      </w:pPr>
      <w:r>
        <w:rPr>
          <w:b w:val="0"/>
          <w:i w:val="0"/>
        </w:rPr>
        <w:t>(iv) Whether trade-secret carve-out is needed for indefinite protection of crown-jewel material (recommended — yes).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