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PRIOR-DISCUSSION NOTE — COMMERCIAL FIT BETWEEN [STARTUP-A] AND [VENDOR-B]</w:t>
      </w:r>
    </w:p>
    <w:p>
      <w:pPr>
        <w:spacing w:before="0" w:after="200"/>
        <w:jc w:val="right"/>
      </w:pPr>
      <w:r>
        <w:rPr>
          <w:b/>
          <w:i w:val="0"/>
        </w:rPr>
        <w:t>Dated: 25 May 2026</w:t>
      </w:r>
    </w:p>
    <w:p>
      <w:pPr>
        <w:spacing w:before="0" w:after="80"/>
      </w:pPr>
      <w:r>
        <w:rPr>
          <w:b w:val="0"/>
          <w:i w:val="0"/>
        </w:rPr>
        <w:t>This note records the high-level commercial fit identified during the introductory call held on 22 May 2026 between [Startup-Signatory-Placeholder] of [Startup-A] and [Vendor-Signatory-Placeholder] of [Vendor-B]. The note is non-binding and is shared solely as context for the NDA to be executed before substantive technical and commercial discussions commence.</w:t>
      </w:r>
    </w:p>
    <w:p>
      <w:pPr>
        <w:spacing w:before="0" w:after="80"/>
      </w:pPr>
      <w:r>
        <w:rPr>
          <w:b/>
          <w:i w:val="0"/>
        </w:rPr>
        <w:t>1. COMMERCIAL FIT</w:t>
      </w:r>
    </w:p>
    <w:p>
      <w:pPr>
        <w:spacing w:before="0" w:after="80"/>
      </w:pPr>
      <w:r>
        <w:rPr>
          <w:b w:val="0"/>
          <w:i w:val="0"/>
        </w:rPr>
        <w:t>(a) [Startup-A] operates a SaaS platform for [SaaS-Use-Case-Placeholder] serving [Customer-Segment-Placeholder] businesses in India. Approximately [Customer-Count-Placeholder] customers; ARR Rs. [ARR-Placeholder]/-.</w:t>
      </w:r>
    </w:p>
    <w:p>
      <w:pPr>
        <w:spacing w:before="0" w:after="80"/>
      </w:pPr>
      <w:r>
        <w:rPr>
          <w:b w:val="0"/>
          <w:i w:val="0"/>
        </w:rPr>
        <w:t>(b) [Vendor-B] operates a payment-processing infrastructure handling Rs. [Vendor-GTV-Placeholder]/- annual gross transaction value with [Vendor-Settlement-Placeholder] settlement licences from RBI.</w:t>
      </w:r>
    </w:p>
    <w:p>
      <w:pPr>
        <w:spacing w:before="0" w:after="80"/>
      </w:pPr>
      <w:r>
        <w:rPr>
          <w:b w:val="0"/>
          <w:i w:val="0"/>
        </w:rPr>
        <w:t>(c) Identified integration opportunity — embedding [Vendor-B]'s payment rails into [Startup-A]'s SaaS workflow to enable [Use-Case-Description-Placeholder] for [Startup-A]'s customer base.</w:t>
      </w:r>
    </w:p>
    <w:p>
      <w:pPr>
        <w:spacing w:before="120" w:after="80"/>
      </w:pPr>
      <w:r>
        <w:rPr>
          <w:b/>
          <w:i w:val="0"/>
        </w:rPr>
        <w:t>2. INFORMATION TO BE EXCHANGED</w:t>
      </w:r>
    </w:p>
    <w:p>
      <w:pPr>
        <w:spacing w:before="0" w:after="80"/>
      </w:pPr>
      <w:r>
        <w:rPr>
          <w:b w:val="0"/>
          <w:i w:val="0"/>
        </w:rPr>
        <w:t>(a) From [Startup-A]: product architecture, API specifications, customer-list summary, transaction-volume projections, revenue-share modelling assumptions, code samples for the integration layer.</w:t>
      </w:r>
    </w:p>
    <w:p>
      <w:pPr>
        <w:spacing w:before="0" w:after="80"/>
      </w:pPr>
      <w:r>
        <w:rPr>
          <w:b w:val="0"/>
          <w:i w:val="0"/>
        </w:rPr>
        <w:t>(b) From [Vendor-B]: settlement-engine SLAs, fee structure, KYC/AML compliance posture, sandbox API documentation, RBI-licensing scope, prior integration case studies.</w:t>
      </w:r>
    </w:p>
    <w:p>
      <w:pPr>
        <w:spacing w:before="120" w:after="80"/>
      </w:pPr>
      <w:r>
        <w:rPr>
          <w:b/>
          <w:i w:val="0"/>
        </w:rPr>
        <w:t>3. NEXT STEPS</w:t>
      </w:r>
    </w:p>
    <w:p>
      <w:pPr>
        <w:spacing w:before="0" w:after="80"/>
      </w:pPr>
      <w:r>
        <w:rPr>
          <w:b w:val="0"/>
          <w:i w:val="0"/>
        </w:rPr>
        <w:t>(a) Mutual NDA to be executed within 7 days. [Vendor-B] to circulate a draft for [Startup-A]'s counsel review.</w:t>
      </w:r>
    </w:p>
    <w:p>
      <w:pPr>
        <w:spacing w:before="0" w:after="80"/>
      </w:pPr>
      <w:r>
        <w:rPr>
          <w:b w:val="0"/>
          <w:i w:val="0"/>
        </w:rPr>
        <w:t>(b) Post-NDA execution: technical workshops over 4 weeks, ending with a term-sheet for the commercial integration.</w:t>
      </w:r>
    </w:p>
    <w:p>
      <w:pPr>
        <w:spacing w:before="0" w:after="80"/>
      </w:pPr>
      <w:r>
        <w:rPr>
          <w:b w:val="0"/>
          <w:i w:val="0"/>
        </w:rPr>
        <w:t>(c) If term-sheet is executed, definitive agreements (Master Services Agreement + DPA + Schedules) to be negotiated over the following 6 weeks.</w:t>
      </w:r>
    </w:p>
    <w:p>
      <w:pPr>
        <w:spacing w:before="120" w:after="80"/>
      </w:pPr>
      <w:r>
        <w:rPr>
          <w:b/>
          <w:i w:val="0"/>
        </w:rPr>
        <w:t>4. EXCLUSIVITY</w:t>
      </w:r>
    </w:p>
    <w:p>
      <w:pPr>
        <w:spacing w:before="0" w:after="80"/>
      </w:pPr>
      <w:r>
        <w:rPr>
          <w:b w:val="0"/>
          <w:i w:val="0"/>
        </w:rPr>
        <w:t>No exclusivity requested at the NDA stage. To be revisited at term-sheet stage.</w:t>
      </w:r>
    </w:p>
    <w:p>
      <w:pPr>
        <w:spacing w:before="120" w:after="80"/>
      </w:pPr>
      <w:r>
        <w:rPr>
          <w:b/>
          <w:i w:val="0"/>
        </w:rPr>
        <w:t>5. EXPECTED EFFECTIVE DATE OF NDA</w:t>
      </w:r>
    </w:p>
    <w:p>
      <w:pPr>
        <w:spacing w:before="0" w:after="80"/>
      </w:pPr>
      <w:r>
        <w:rPr>
          <w:b w:val="0"/>
          <w:i w:val="0"/>
        </w:rPr>
        <w:t>On or about 05 June 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