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EVIDENCE OF DEFENDANT'S INFRINGING USE — INVESTIGATION REPORT</w:t>
      </w:r>
    </w:p>
    <w:p>
      <w:pPr>
        <w:spacing w:before="0" w:after="80"/>
      </w:pPr>
      <w:r>
        <w:rPr>
          <w:b/>
          <w:i w:val="0"/>
        </w:rPr>
        <w:t>Prepared by: [IP-Investigator-Placeholder] · IP-Investigation Agency</w:t>
      </w:r>
    </w:p>
    <w:p>
      <w:pPr>
        <w:spacing w:before="0" w:after="80"/>
      </w:pPr>
      <w:r>
        <w:rPr>
          <w:b/>
          <w:i w:val="0"/>
        </w:rPr>
        <w:t>For: M/s [Plaintiff-Company-Placeholder] Pvt Ltd</w:t>
      </w:r>
    </w:p>
    <w:p>
      <w:pPr>
        <w:spacing w:before="0" w:after="200"/>
        <w:jc w:val="right"/>
      </w:pPr>
      <w:r>
        <w:rPr>
          <w:b/>
          <w:i w:val="0"/>
        </w:rPr>
        <w:t>Date: 12 April 2026</w:t>
      </w:r>
    </w:p>
    <w:p>
      <w:pPr>
        <w:spacing w:before="0" w:after="80"/>
      </w:pPr>
      <w:r>
        <w:rPr>
          <w:b/>
          <w:i w:val="0"/>
        </w:rPr>
        <w:t>1. INSTRUCTIONS</w:t>
      </w:r>
    </w:p>
    <w:p>
      <w:pPr>
        <w:spacing w:before="0" w:after="80"/>
      </w:pPr>
      <w:r>
        <w:rPr>
          <w:b w:val="0"/>
          <w:i w:val="0"/>
        </w:rPr>
        <w:t>We were instructed by the Plaintiff to investigate suspected use of the mark "[Defendant-Mark-Placeholder]" by M/s [Defendant-Company-Placeholder] in respect of goods / services in Class [Nice-Class-Placeholder], which we are informed are deceptively similar to the Plaintiff's registered mark "[Plaintiff-Mark-Placeholder]".</w:t>
      </w:r>
    </w:p>
    <w:p>
      <w:pPr>
        <w:spacing w:before="120" w:after="80"/>
      </w:pPr>
      <w:r>
        <w:rPr>
          <w:b/>
          <w:i w:val="0"/>
        </w:rPr>
        <w:t>2. OBSERVED USE BY THE DEFENDANT</w:t>
      </w:r>
    </w:p>
    <w:p>
      <w:pPr>
        <w:spacing w:before="0" w:after="80"/>
      </w:pPr>
      <w:r>
        <w:rPr>
          <w:b w:val="0"/>
          <w:i w:val="0"/>
        </w:rPr>
        <w:t>(a) Website — [Defendant-Website-Placeholder] (visited 05 April 2026) — prominently displays "[Defendant-Mark-Placeholder]" as a brand identifier on the homepage, the product pages, and the contact page. Screen captures preserved at Annexure I-1 to I-6.</w:t>
      </w:r>
    </w:p>
    <w:p>
      <w:pPr>
        <w:spacing w:before="0" w:after="80"/>
      </w:pPr>
      <w:r>
        <w:rPr>
          <w:b w:val="0"/>
          <w:i w:val="0"/>
        </w:rPr>
        <w:t>(b) Physical store — visited 07 April 2026 at [Defendant-Store-Address-Placeholder]. Storefront signage in capital letters reads "[Defendant-Mark-Placeholder]" — font, colour scheme, and stylisation closely resemble the Plaintiff's mark. Photographs at Annexure II-1 to II-4.</w:t>
      </w:r>
    </w:p>
    <w:p>
      <w:pPr>
        <w:spacing w:before="0" w:after="80"/>
      </w:pPr>
      <w:r>
        <w:rPr>
          <w:b w:val="0"/>
          <w:i w:val="0"/>
        </w:rPr>
        <w:t>(c) Product packaging — sample purchased 07 April 2026 at the store. The packaging carries "[Defendant-Mark-Placeholder]" in the same typeface and colour palette as the Plaintiff's registered mark. Photographs at Annexure III-1 to III-3.</w:t>
      </w:r>
    </w:p>
    <w:p>
      <w:pPr>
        <w:spacing w:before="0" w:after="80"/>
      </w:pPr>
      <w:r>
        <w:rPr>
          <w:b w:val="0"/>
          <w:i w:val="0"/>
        </w:rPr>
        <w:t>(d) Trade catalogue obtained at the store — 32 pages — "[Defendant-Mark-Placeholder]" appears on the cover, every page header, and the back cover. Hard copy retained.</w:t>
      </w:r>
    </w:p>
    <w:p>
      <w:pPr>
        <w:spacing w:before="0" w:after="80"/>
      </w:pPr>
      <w:r>
        <w:rPr>
          <w:b w:val="0"/>
          <w:i w:val="0"/>
        </w:rPr>
        <w:t>(e) Social media accounts — verified accounts on Instagram (@[Defendant-IG-Handle-Placeholder]) and Facebook (M/s [Defendant-Company-Placeholder]) — both display "[Defendant-Mark-Placeholder]" as their handle / brand. Follower counts ~[IG-Followers-Placeholder] and [FB-Followers-Placeholder] respectively.</w:t>
      </w:r>
    </w:p>
    <w:p>
      <w:pPr>
        <w:spacing w:before="120" w:after="80"/>
      </w:pPr>
      <w:r>
        <w:rPr>
          <w:b/>
          <w:i w:val="0"/>
        </w:rPr>
        <w:t>3. SIMILARITY ANALYSIS</w:t>
      </w:r>
    </w:p>
    <w:p>
      <w:pPr>
        <w:spacing w:before="0" w:after="80"/>
      </w:pPr>
      <w:r>
        <w:rPr>
          <w:b w:val="0"/>
          <w:i w:val="0"/>
        </w:rPr>
        <w:t>(a) Visual similarity: The marks differ in only [Visual-Diff-Placeholder] characters. The typeface, capitalisation, colour palette, and stylistic flourishes are substantially identical.</w:t>
      </w:r>
    </w:p>
    <w:p>
      <w:pPr>
        <w:spacing w:before="0" w:after="80"/>
      </w:pPr>
      <w:r>
        <w:rPr>
          <w:b w:val="0"/>
          <w:i w:val="0"/>
        </w:rPr>
        <w:t>(b) Phonetic similarity: When pronounced, both marks share [Phonetic-Common-Placeholder] syllables; the consonant and vowel structure is closely matched.</w:t>
      </w:r>
    </w:p>
    <w:p>
      <w:pPr>
        <w:spacing w:before="0" w:after="80"/>
      </w:pPr>
      <w:r>
        <w:rPr>
          <w:b w:val="0"/>
          <w:i w:val="0"/>
        </w:rPr>
        <w:t>(c) Conceptual similarity: Both marks evoke the same conceptual idea of [Conceptual-Idea-Placeholder].</w:t>
      </w:r>
    </w:p>
    <w:p>
      <w:pPr>
        <w:spacing w:before="0" w:after="80"/>
      </w:pPr>
      <w:r>
        <w:rPr>
          <w:b w:val="0"/>
          <w:i w:val="0"/>
        </w:rPr>
        <w:t>(d) Goods / services: Both used in respect of [Goods-Services-Description-Placeholder] in Class [Nice-Class-Placeholder] — identical class and overlapping channels of trade.</w:t>
      </w:r>
    </w:p>
    <w:p>
      <w:pPr>
        <w:spacing w:before="0" w:after="80"/>
      </w:pPr>
      <w:r>
        <w:rPr>
          <w:b w:val="0"/>
          <w:i w:val="0"/>
        </w:rPr>
        <w:t>(e) Target consumers: Same — [Target-Consumer-Profile-Placeholder].</w:t>
      </w:r>
    </w:p>
    <w:p>
      <w:pPr>
        <w:spacing w:before="120" w:after="80"/>
      </w:pPr>
      <w:r>
        <w:rPr>
          <w:b/>
          <w:i w:val="0"/>
        </w:rPr>
        <w:t>4. MARKET CONFUSION EVIDENCE</w:t>
      </w:r>
    </w:p>
    <w:p>
      <w:pPr>
        <w:spacing w:before="0" w:after="80"/>
      </w:pPr>
      <w:r>
        <w:rPr>
          <w:b w:val="0"/>
          <w:i w:val="0"/>
        </w:rPr>
        <w:t>(a) Three independent customers approached during the site visit on 07 April 2026 mistakenly identified the Defendant's store as an outlet of the Plaintiff. Verbatim recorded statements at Annexure IV.</w:t>
      </w:r>
    </w:p>
    <w:p>
      <w:pPr>
        <w:spacing w:before="0" w:after="80"/>
      </w:pPr>
      <w:r>
        <w:rPr>
          <w:b w:val="0"/>
          <w:i w:val="0"/>
        </w:rPr>
        <w:t>(b) The Plaintiff's customer-service department has received [Customer-Complaints-Placeholder] complaints in the period [Complaint-Period-Placeholder] from consumers reporting defective products bearing the "[Defendant-Mark-Placeholder]" mark, in the mistaken belief that they are dealing with the Plaintiff. Email records preserved.</w:t>
      </w:r>
    </w:p>
    <w:p>
      <w:pPr>
        <w:spacing w:before="0" w:after="80"/>
      </w:pPr>
      <w:r>
        <w:rPr>
          <w:b w:val="0"/>
          <w:i w:val="0"/>
        </w:rPr>
        <w:t>(c) Two trade-publication articles dated [Article-Date-1-Placeholder] and [Article-Date-2-Placeholder] have incorrectly attributed the Defendant's business to the Plaintiff group.</w:t>
      </w:r>
    </w:p>
    <w:p>
      <w:pPr>
        <w:spacing w:before="120" w:after="80"/>
      </w:pPr>
      <w:r>
        <w:rPr>
          <w:b/>
          <w:i w:val="0"/>
        </w:rPr>
        <w:t>5. CONCLUSION</w:t>
      </w:r>
    </w:p>
    <w:p>
      <w:pPr>
        <w:spacing w:before="0" w:after="80"/>
      </w:pPr>
      <w:r>
        <w:rPr>
          <w:b w:val="0"/>
          <w:i w:val="0"/>
        </w:rPr>
        <w:t>The Defendant's use of "[Defendant-Mark-Placeholder]" is, in our considered opinion, deceptively similar to the Plaintiff's registered mark "[Plaintiff-Mark-Placeholder]". The use is likely to cause confusion and association in the minds of consumers, who may believe that the Defendant's goods / services originate from or are licensed by the Plaintiff. The infringement appears deliberate and ongoing.</w:t>
      </w:r>
    </w:p>
    <w:p>
      <w:pPr>
        <w:spacing w:before="120" w:after="80"/>
      </w:pPr>
      <w:r>
        <w:rPr>
          <w:b w:val="0"/>
          <w:i/>
        </w:rPr>
        <w:t>We confirm that no contact has been made with the Defendant during this investigation. All evidence has been collected through public-facing channels.</w:t>
      </w:r>
    </w:p>
    <w:p>
      <w:pPr>
        <w:spacing w:before="200" w:after="80"/>
      </w:pPr>
      <w:r>
        <w:rPr>
          <w:b w:val="0"/>
          <w:i w:val="0"/>
        </w:rPr>
        <w:t>(Signed)</w:t>
      </w:r>
    </w:p>
    <w:p>
      <w:pPr>
        <w:spacing w:before="0" w:after="80"/>
      </w:pPr>
      <w:r>
        <w:rPr>
          <w:b/>
          <w:i w:val="0"/>
        </w:rPr>
        <w:t>[IP-Investigator-Placeholder]</w:t>
      </w:r>
    </w:p>
    <w:p>
      <w:pPr>
        <w:spacing w:before="0" w:after="80"/>
      </w:pPr>
      <w:r>
        <w:rPr>
          <w:b w:val="0"/>
          <w:i/>
        </w:rPr>
        <w:t>IP-Investigation Agency · [Agency-License-Placeholder]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