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DRAFTING INSTRUCTIONS — PARTITION DEED</w:t>
      </w:r>
    </w:p>
    <w:p>
      <w:pPr>
        <w:spacing w:before="0" w:after="160"/>
        <w:jc w:val="center"/>
      </w:pPr>
      <w:r>
        <w:rPr>
          <w:b/>
          <w:sz w:val="24"/>
        </w:rPr>
        <w:t>TO ACCOMPANY READER STAGE OF THE PIPELINE</w:t>
      </w:r>
    </w:p>
    <w:p>
      <w:pPr>
        <w:spacing w:before="0" w:after="200"/>
        <w:jc w:val="right"/>
      </w:pPr>
      <w:r>
        <w:rPr>
          <w:b/>
          <w:i w:val="0"/>
        </w:rPr>
        <w:t>Dated: 02 June 2026</w:t>
      </w:r>
    </w:p>
    <w:p>
      <w:pPr>
        <w:spacing w:before="80" w:after="80"/>
      </w:pPr>
      <w:r>
        <w:rPr>
          <w:b/>
          <w:i w:val="0"/>
        </w:rPr>
        <w:t>INSTRUCTION SUMMARY</w:t>
      </w:r>
    </w:p>
    <w:p>
      <w:pPr>
        <w:spacing w:before="0" w:after="80"/>
      </w:pPr>
      <w:r>
        <w:rPr>
          <w:b w:val="0"/>
          <w:i w:val="0"/>
        </w:rPr>
        <w:t>Draft a partition deed dividing the ancestral and self-acquired properties left by late [Father-Placeholder] ("the Common Ancestor") amongst his three surviving children — two sons [Co-owner-A] and [Co-owner-B] and one daughter [Co-owner-C]. The Common Ancestor passed away intestate on [Date-of-Death-Placeholder]; succession therefore opened in accordance with the Hindu Succession Act, 1956 (as amended in 2005). All three siblings are amicable and the partition is being executed by mutual consent. The deed is to be registered in [Sub-Registrar-Office-Placeholder] with stamp duty as applicable in the State of [State-Placeholder].</w:t>
      </w:r>
    </w:p>
    <w:p>
      <w:pPr>
        <w:spacing w:before="160" w:after="80"/>
      </w:pPr>
      <w:r>
        <w:rPr>
          <w:b/>
          <w:i w:val="0"/>
        </w:rPr>
        <w:t>PARTIES</w:t>
      </w:r>
    </w:p>
    <w:p>
      <w:pPr>
        <w:spacing w:before="0" w:after="80"/>
      </w:pPr>
      <w:r>
        <w:rPr>
          <w:b/>
          <w:i w:val="0"/>
        </w:rPr>
        <w:t>Co-owner A (Elder Son):</w:t>
      </w:r>
    </w:p>
    <w:p>
      <w:pPr>
        <w:spacing w:before="0" w:after="80"/>
      </w:pPr>
      <w:r>
        <w:rPr>
          <w:b w:val="0"/>
          <w:i w:val="0"/>
        </w:rPr>
        <w:t>Name: [Co-owner-A] · Aged: [Age-A-Placeholder] · S/o late [Father-Placeholder] · Resident of [Address-A-Placeholder]</w:t>
      </w:r>
    </w:p>
    <w:p>
      <w:pPr>
        <w:spacing w:before="0" w:after="80"/>
      </w:pPr>
      <w:r>
        <w:rPr>
          <w:b w:val="0"/>
          <w:i w:val="0"/>
        </w:rPr>
        <w:t>PAN: [PAN-A-Placeholder]</w:t>
      </w:r>
    </w:p>
    <w:p>
      <w:pPr>
        <w:spacing w:before="0" w:after="80"/>
      </w:pPr>
      <w:r>
        <w:rPr>
          <w:b/>
          <w:i w:val="0"/>
        </w:rPr>
        <w:t>Co-owner B (Younger Son):</w:t>
      </w:r>
    </w:p>
    <w:p>
      <w:pPr>
        <w:spacing w:before="0" w:after="80"/>
      </w:pPr>
      <w:r>
        <w:rPr>
          <w:b w:val="0"/>
          <w:i w:val="0"/>
        </w:rPr>
        <w:t>Name: [Co-owner-B] · Aged: [Age-B-Placeholder] · S/o late [Father-Placeholder] · Resident of [Address-B-Placeholder]</w:t>
      </w:r>
    </w:p>
    <w:p>
      <w:pPr>
        <w:spacing w:before="0" w:after="80"/>
      </w:pPr>
      <w:r>
        <w:rPr>
          <w:b w:val="0"/>
          <w:i w:val="0"/>
        </w:rPr>
        <w:t>PAN: [PAN-B-Placeholder]</w:t>
      </w:r>
    </w:p>
    <w:p>
      <w:pPr>
        <w:spacing w:before="0" w:after="80"/>
      </w:pPr>
      <w:r>
        <w:rPr>
          <w:b/>
          <w:i w:val="0"/>
        </w:rPr>
        <w:t>Co-owner C (Daughter):</w:t>
      </w:r>
    </w:p>
    <w:p>
      <w:pPr>
        <w:spacing w:before="0" w:after="80"/>
      </w:pPr>
      <w:r>
        <w:rPr>
          <w:b w:val="0"/>
          <w:i w:val="0"/>
        </w:rPr>
        <w:t>Name: [Co-owner-C] · Aged: [Age-C-Placeholder] · D/o late [Father-Placeholder] · Resident of [Address-C-Placeholder]</w:t>
      </w:r>
    </w:p>
    <w:p>
      <w:pPr>
        <w:spacing w:before="0" w:after="80"/>
      </w:pPr>
      <w:r>
        <w:rPr>
          <w:b w:val="0"/>
          <w:i w:val="0"/>
        </w:rPr>
        <w:t>PAN: [PAN-C-Placeholder]</w:t>
      </w:r>
    </w:p>
    <w:p>
      <w:pPr>
        <w:spacing w:before="80" w:after="80"/>
      </w:pPr>
      <w:r>
        <w:rPr>
          <w:b w:val="0"/>
          <w:i/>
        </w:rPr>
        <w:t>Note: Section 6 of the Hindu Succession Act 1956 (as amended in 2005) — daughter is a coparcener by birth in the same manner as a son. Hindu Succession (Amendment) Act 2005 conferred this right on living daughters of living coparceners as on 09 September 2005, per Vineeta Sharma v. Rakesh Sharma (2020) 9 SCC 1.</w:t>
      </w:r>
    </w:p>
    <w:p>
      <w:pPr>
        <w:spacing w:before="160" w:after="80"/>
      </w:pPr>
      <w:r>
        <w:rPr>
          <w:b/>
          <w:i w:val="0"/>
        </w:rPr>
        <w:t>RECITALS TO INCLUDE</w:t>
      </w:r>
    </w:p>
    <w:p>
      <w:pPr>
        <w:spacing w:before="0" w:after="80"/>
      </w:pPr>
      <w:r>
        <w:rPr>
          <w:b w:val="0"/>
          <w:i w:val="0"/>
        </w:rPr>
        <w:t>(a) Devolution chain — Common Ancestor passed away intestate on [Date-of-Death-Placeholder] leaving behind the parties as his only Class I heirs (Schedule I, HSA 1956).</w:t>
      </w:r>
    </w:p>
    <w:p>
      <w:pPr>
        <w:spacing w:before="0" w:after="80"/>
      </w:pPr>
      <w:r>
        <w:rPr>
          <w:b w:val="0"/>
          <w:i w:val="0"/>
        </w:rPr>
        <w:t>(b) Statutory shares — each of the three children is entitled to a one-third (1/3rd) undivided share in the ancestral / joint-family properties of the Common Ancestor; equal shares amongst Class I heirs without distinction of gender post-2005 amendment.</w:t>
      </w:r>
    </w:p>
    <w:p>
      <w:pPr>
        <w:spacing w:before="0" w:after="80"/>
      </w:pPr>
      <w:r>
        <w:rPr>
          <w:b w:val="0"/>
          <w:i w:val="0"/>
        </w:rPr>
        <w:t>(c) Properties — Schedule A (ancestral / joint family — to be partitioned in metes-and-bounds), Schedule B (self-acquired — to be divided as per the Hindu Intestate Succession framework), Schedule C (movable assets — bank balances, jewellery, vehicles, listed for equal division).</w:t>
      </w:r>
    </w:p>
    <w:p>
      <w:pPr>
        <w:spacing w:before="0" w:after="80"/>
      </w:pPr>
      <w:r>
        <w:rPr>
          <w:b w:val="0"/>
          <w:i w:val="0"/>
        </w:rPr>
        <w:t>(d) No outstanding liabilities of the estate beyond [Estate-Liability-Placeholder] (settled out of Schedule B funds before partition).</w:t>
      </w:r>
    </w:p>
    <w:p>
      <w:pPr>
        <w:spacing w:before="0" w:after="80"/>
      </w:pPr>
      <w:r>
        <w:rPr>
          <w:b w:val="0"/>
          <w:i w:val="0"/>
        </w:rPr>
        <w:t>(e) No outside claim — no co-owner besides the three parties; no testamentary disposition by the Common Ancestor; no other heirs.</w:t>
      </w:r>
    </w:p>
    <w:p>
      <w:pPr>
        <w:spacing w:before="0" w:after="80"/>
      </w:pPr>
      <w:r>
        <w:rPr>
          <w:b w:val="0"/>
          <w:i w:val="0"/>
        </w:rPr>
        <w:t>(f) Mutual consent — partition is voluntary, after deliberation, with each party having taken independent legal advice.</w:t>
      </w:r>
    </w:p>
    <w:p>
      <w:pPr>
        <w:spacing w:before="160" w:after="80"/>
      </w:pPr>
      <w:r>
        <w:rPr>
          <w:b/>
          <w:i w:val="0"/>
        </w:rPr>
        <w:t>ALLOTMENT REQUESTED BY THE PARTIES</w:t>
      </w:r>
    </w:p>
    <w:p>
      <w:pPr>
        <w:spacing w:before="0" w:after="80"/>
      </w:pPr>
      <w:r>
        <w:rPr>
          <w:b w:val="0"/>
          <w:i w:val="0"/>
        </w:rPr>
        <w:t>(i) To [Co-owner-A]: Item 1 of Schedule A (residential bungalow at [Address-Bungalow-Placeholder]) — adjusted for value differential by payment of Rs. [Adjustment-A-Placeholder]/- to [Co-owner-C].</w:t>
      </w:r>
    </w:p>
    <w:p>
      <w:pPr>
        <w:spacing w:before="0" w:after="80"/>
      </w:pPr>
      <w:r>
        <w:rPr>
          <w:b w:val="0"/>
          <w:i w:val="0"/>
        </w:rPr>
        <w:t>(ii) To [Co-owner-B]: Item 2 of Schedule A (agricultural land at [Address-Agricultural-Placeholder]) — full ownership, no adjustment.</w:t>
      </w:r>
    </w:p>
    <w:p>
      <w:pPr>
        <w:spacing w:before="0" w:after="80"/>
      </w:pPr>
      <w:r>
        <w:rPr>
          <w:b w:val="0"/>
          <w:i w:val="0"/>
        </w:rPr>
        <w:t>(iii) To [Co-owner-C]: Item 3 of Schedule A (commercial shop unit at [Address-Shop-Placeholder]) plus Rs. [Adjustment-A-Placeholder]/- from [Co-owner-A] in equalisation.</w:t>
      </w:r>
    </w:p>
    <w:p>
      <w:pPr>
        <w:spacing w:before="0" w:after="80"/>
      </w:pPr>
      <w:r>
        <w:rPr>
          <w:b w:val="0"/>
          <w:i w:val="0"/>
        </w:rPr>
        <w:t>(iv) Schedule B (cash and investments) — to be divided equally in cash (1/3 each).</w:t>
      </w:r>
    </w:p>
    <w:p>
      <w:pPr>
        <w:spacing w:before="0" w:after="80"/>
      </w:pPr>
      <w:r>
        <w:rPr>
          <w:b w:val="0"/>
          <w:i w:val="0"/>
        </w:rPr>
        <w:t>(v) Schedule C (jewellery and personal effects of the late mother — pre-deceased) — to be divided in accordance with the agreed list at Annexure I to this deed.</w:t>
      </w:r>
    </w:p>
    <w:p>
      <w:pPr>
        <w:spacing w:before="160" w:after="80"/>
      </w:pPr>
      <w:r>
        <w:rPr>
          <w:b/>
          <w:i w:val="0"/>
        </w:rPr>
        <w:t>CLAUSES REQUESTED</w:t>
      </w:r>
    </w:p>
    <w:p>
      <w:pPr>
        <w:spacing w:before="0" w:after="80"/>
      </w:pPr>
      <w:r>
        <w:rPr>
          <w:b w:val="0"/>
          <w:i w:val="0"/>
        </w:rPr>
        <w:t>(a) Cross-release — each co-owner releases all claim, right, title and interest in the properties allotted to the other co-owners.</w:t>
      </w:r>
    </w:p>
    <w:p>
      <w:pPr>
        <w:spacing w:before="0" w:after="80"/>
      </w:pPr>
      <w:r>
        <w:rPr>
          <w:b w:val="0"/>
          <w:i w:val="0"/>
        </w:rPr>
        <w:t>(b) Indemnity — each co-owner indemnifies the others against any future claim arising out of his / her own dealings prior to partition.</w:t>
      </w:r>
    </w:p>
    <w:p>
      <w:pPr>
        <w:spacing w:before="0" w:after="80"/>
      </w:pPr>
      <w:r>
        <w:rPr>
          <w:b w:val="0"/>
          <w:i w:val="0"/>
        </w:rPr>
        <w:t>(c) Stamp duty and registration costs — borne equally by the three co-owners.</w:t>
      </w:r>
    </w:p>
    <w:p>
      <w:pPr>
        <w:spacing w:before="0" w:after="80"/>
      </w:pPr>
      <w:r>
        <w:rPr>
          <w:b w:val="0"/>
          <w:i w:val="0"/>
        </w:rPr>
        <w:t>(d) Future-cooperation clause — parties to sign all consequential documents needed to perfect the title of the others.</w:t>
      </w:r>
    </w:p>
    <w:p>
      <w:pPr>
        <w:spacing w:before="0" w:after="80"/>
      </w:pPr>
      <w:r>
        <w:rPr>
          <w:b w:val="0"/>
          <w:i w:val="0"/>
        </w:rPr>
        <w:t>(e) Governing law: laws of India; jurisdiction at the Court of competent territorial jurisdiction at [Jurisdiction-City-Placeholder].</w:t>
      </w:r>
    </w:p>
    <w:p>
      <w:pPr>
        <w:spacing w:before="0" w:after="80"/>
      </w:pPr>
      <w:r>
        <w:rPr>
          <w:b w:val="0"/>
          <w:i w:val="0"/>
        </w:rPr>
        <w:t>(f) DPDP-alignment: any personal data shared during execution is restricted to the deed-related disclosure; standard Section 8 safeguards applied.</w:t>
      </w:r>
    </w:p>
    <w:p>
      <w:pPr>
        <w:spacing w:before="160" w:after="80"/>
      </w:pPr>
      <w:r>
        <w:rPr>
          <w:b/>
          <w:i w:val="0"/>
        </w:rPr>
        <w:t>CARVE-OUTS TO CONFIRM WITH CLIENT BEFORE FINALISATION</w:t>
      </w:r>
    </w:p>
    <w:p>
      <w:pPr>
        <w:spacing w:before="0" w:after="80"/>
      </w:pPr>
      <w:r>
        <w:rPr>
          <w:b w:val="0"/>
          <w:i w:val="0"/>
        </w:rPr>
        <w:t>(i) Mention of any earlier oral partition / family arrangement (if any) — to be confirmed.</w:t>
      </w:r>
    </w:p>
    <w:p>
      <w:pPr>
        <w:spacing w:before="0" w:after="80"/>
      </w:pPr>
      <w:r>
        <w:rPr>
          <w:b w:val="0"/>
          <w:i w:val="0"/>
        </w:rPr>
        <w:t>(ii) Treatment of Schedule C (jewellery / movables) — whether all are accounted for or some have already been divided informally.</w:t>
      </w:r>
    </w:p>
    <w:p>
      <w:pPr>
        <w:spacing w:before="0" w:after="80"/>
      </w:pPr>
      <w:r>
        <w:rPr>
          <w:b w:val="0"/>
          <w:i w:val="0"/>
        </w:rPr>
        <w:t>(iii) Whether the partition is to be registered immediately or executed first and registered within 4 months.</w:t>
      </w:r>
    </w:p>
    <w:p>
      <w:pPr>
        <w:spacing w:before="0" w:after="80"/>
      </w:pPr>
      <w:r>
        <w:rPr>
          <w:b w:val="0"/>
          <w:i w:val="0"/>
        </w:rPr>
        <w:t>(iv) Tax incidence — partition between coparceners is not a transfer under Section 47(i) IT Act 1961; no capital gains. Should be flagged in the deed.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