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SCHEDULE OF PROPERTIES TO BE PARTITIONED</w:t>
      </w:r>
    </w:p>
    <w:p>
      <w:pPr>
        <w:spacing w:before="0" w:after="160"/>
      </w:pPr>
      <w:r>
        <w:rPr>
          <w:b/>
          <w:i w:val="0"/>
        </w:rPr>
        <w:t>Estate of late [Father-Placeholder] — Common Ancestor</w:t>
      </w:r>
    </w:p>
    <w:p>
      <w:pPr>
        <w:spacing w:before="0" w:after="120"/>
        <w:jc w:val="center"/>
      </w:pPr>
      <w:r>
        <w:rPr>
          <w:b/>
          <w:i w:val="0"/>
        </w:rPr>
        <w:t>SCHEDULE A — IMMOVABLE PROPERTIES (ANCESTRAL / JOINT FAMILY)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Item</w:t>
            </w:r>
          </w:p>
        </w:tc>
        <w:tc>
          <w:tcPr>
            <w:tcW w:type="dxa" w:w="2268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Approx Value (Rs.)</w:t>
            </w:r>
          </w:p>
        </w:tc>
        <w:tc>
          <w:tcPr>
            <w:tcW w:type="dxa" w:w="2268"/>
          </w:tcPr>
          <w:p>
            <w:r>
              <w:t>Proposed Allotment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Residential bungalow at [Address-Bungalow-Placeholder] — [Bungalow-Area-Placeholder] sq. ft. built-up on [Plot-Area-Placeholder] sq. ft. plot</w:t>
            </w:r>
          </w:p>
        </w:tc>
        <w:tc>
          <w:tcPr>
            <w:tcW w:type="dxa" w:w="2268"/>
          </w:tcPr>
          <w:p>
            <w:r>
              <w:t>[Value-Bungalow-Placeholder]</w:t>
            </w:r>
          </w:p>
        </w:tc>
        <w:tc>
          <w:tcPr>
            <w:tcW w:type="dxa" w:w="2268"/>
          </w:tcPr>
          <w:p>
            <w:r>
              <w:t>[Co-owner-A] (with adjustment)</w:t>
            </w:r>
          </w:p>
        </w:tc>
      </w:tr>
      <w:tr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Agricultural land at [Address-Agricultural-Placeholder] — [Agricultural-Area-Placeholder] acres of Class [Agricultural-Class-Placeholder] land, Survey No. [Survey-No-Placeholder]</w:t>
            </w:r>
          </w:p>
        </w:tc>
        <w:tc>
          <w:tcPr>
            <w:tcW w:type="dxa" w:w="2268"/>
          </w:tcPr>
          <w:p>
            <w:r>
              <w:t>[Value-Agricultural-Placeholder]</w:t>
            </w:r>
          </w:p>
        </w:tc>
        <w:tc>
          <w:tcPr>
            <w:tcW w:type="dxa" w:w="2268"/>
          </w:tcPr>
          <w:p>
            <w:r>
              <w:t>[Co-owner-B]</w:t>
            </w:r>
          </w:p>
        </w:tc>
      </w:tr>
      <w:tr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Commercial shop unit at [Address-Shop-Placeholder] — [Shop-Area-Placeholder] sq. ft. on [Floor-Placeholder]</w:t>
            </w:r>
          </w:p>
        </w:tc>
        <w:tc>
          <w:tcPr>
            <w:tcW w:type="dxa" w:w="2268"/>
          </w:tcPr>
          <w:p>
            <w:r>
              <w:t>[Value-Shop-Placeholder]</w:t>
            </w:r>
          </w:p>
        </w:tc>
        <w:tc>
          <w:tcPr>
            <w:tcW w:type="dxa" w:w="2268"/>
          </w:tcPr>
          <w:p>
            <w:r>
              <w:t>[Co-owner-C] (with adjustment)</w:t>
            </w:r>
          </w:p>
        </w:tc>
      </w:tr>
    </w:tbl>
    <w:p>
      <w:pPr>
        <w:spacing w:before="120" w:after="80"/>
      </w:pPr>
      <w:r>
        <w:rPr>
          <w:b/>
          <w:i w:val="0"/>
        </w:rPr>
        <w:t>Total Schedule A value: Rs. [Total-Schedule-A-Placeholder]/-</w:t>
      </w:r>
    </w:p>
    <w:p>
      <w:pPr>
        <w:spacing w:before="0" w:after="80"/>
      </w:pPr>
      <w:r>
        <w:rPr>
          <w:b/>
          <w:i w:val="0"/>
        </w:rPr>
        <w:t>Per-co-owner notional share (1/3 of total): Rs. [Per-Share-Placeholder]/-</w:t>
      </w:r>
    </w:p>
    <w:p>
      <w:pPr>
        <w:spacing w:before="0" w:after="160"/>
      </w:pPr>
      <w:r>
        <w:rPr>
          <w:b/>
          <w:i w:val="0"/>
        </w:rPr>
        <w:t>Adjustment from [Co-owner-A] to [Co-owner-C]: Rs. [Adjustment-A-Placeholder]/- (equalisation)</w:t>
      </w:r>
    </w:p>
    <w:p>
      <w:pPr>
        <w:spacing w:before="200" w:after="120"/>
        <w:jc w:val="center"/>
      </w:pPr>
      <w:r>
        <w:rPr>
          <w:b/>
          <w:i w:val="0"/>
        </w:rPr>
        <w:t>SCHEDULE B — MOVABLE ASSETS / CASH / INVESTMENTS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Asset</w:t>
            </w:r>
          </w:p>
        </w:tc>
        <w:tc>
          <w:tcPr>
            <w:tcW w:type="dxa" w:w="3024"/>
          </w:tcPr>
          <w:p>
            <w:r>
              <w:t>Description</w:t>
            </w:r>
          </w:p>
        </w:tc>
        <w:tc>
          <w:tcPr>
            <w:tcW w:type="dxa" w:w="3024"/>
          </w:tcPr>
          <w:p>
            <w:r>
              <w:t>Approx Value (Rs.)</w:t>
            </w:r>
          </w:p>
        </w:tc>
      </w:tr>
      <w:tr>
        <w:tc>
          <w:tcPr>
            <w:tcW w:type="dxa" w:w="3024"/>
          </w:tcPr>
          <w:p>
            <w:r>
              <w:t>Bank account 1</w:t>
            </w:r>
          </w:p>
        </w:tc>
        <w:tc>
          <w:tcPr>
            <w:tcW w:type="dxa" w:w="3024"/>
          </w:tcPr>
          <w:p>
            <w:r>
              <w:t>[Bank-A-Placeholder] · Account No. [Account-A-Placeholder]</w:t>
            </w:r>
          </w:p>
        </w:tc>
        <w:tc>
          <w:tcPr>
            <w:tcW w:type="dxa" w:w="3024"/>
          </w:tcPr>
          <w:p>
            <w:r>
              <w:t>[Cash-A-Placeholder]</w:t>
            </w:r>
          </w:p>
        </w:tc>
      </w:tr>
      <w:tr>
        <w:tc>
          <w:tcPr>
            <w:tcW w:type="dxa" w:w="3024"/>
          </w:tcPr>
          <w:p>
            <w:r>
              <w:t>Bank account 2</w:t>
            </w:r>
          </w:p>
        </w:tc>
        <w:tc>
          <w:tcPr>
            <w:tcW w:type="dxa" w:w="3024"/>
          </w:tcPr>
          <w:p>
            <w:r>
              <w:t>[Bank-B-Placeholder] · Account No. [Account-B-Placeholder]</w:t>
            </w:r>
          </w:p>
        </w:tc>
        <w:tc>
          <w:tcPr>
            <w:tcW w:type="dxa" w:w="3024"/>
          </w:tcPr>
          <w:p>
            <w:r>
              <w:t>[Cash-B-Placeholder]</w:t>
            </w:r>
          </w:p>
        </w:tc>
      </w:tr>
      <w:tr>
        <w:tc>
          <w:tcPr>
            <w:tcW w:type="dxa" w:w="3024"/>
          </w:tcPr>
          <w:p>
            <w:r>
              <w:t>Fixed deposits</w:t>
            </w:r>
          </w:p>
        </w:tc>
        <w:tc>
          <w:tcPr>
            <w:tcW w:type="dxa" w:w="3024"/>
          </w:tcPr>
          <w:p>
            <w:r>
              <w:t>[FD-Bank-Placeholder] · Aggregate</w:t>
            </w:r>
          </w:p>
        </w:tc>
        <w:tc>
          <w:tcPr>
            <w:tcW w:type="dxa" w:w="3024"/>
          </w:tcPr>
          <w:p>
            <w:r>
              <w:t>[FD-Value-Placeholder]</w:t>
            </w:r>
          </w:p>
        </w:tc>
      </w:tr>
      <w:tr>
        <w:tc>
          <w:tcPr>
            <w:tcW w:type="dxa" w:w="3024"/>
          </w:tcPr>
          <w:p>
            <w:r>
              <w:t>Listed securities</w:t>
            </w:r>
          </w:p>
        </w:tc>
        <w:tc>
          <w:tcPr>
            <w:tcW w:type="dxa" w:w="3024"/>
          </w:tcPr>
          <w:p>
            <w:r>
              <w:t>Demat A/c [Demat-A-Placeholder] · Aggregate market value</w:t>
            </w:r>
          </w:p>
        </w:tc>
        <w:tc>
          <w:tcPr>
            <w:tcW w:type="dxa" w:w="3024"/>
          </w:tcPr>
          <w:p>
            <w:r>
              <w:t>[Securities-Value-Placeholder]</w:t>
            </w:r>
          </w:p>
        </w:tc>
      </w:tr>
      <w:tr>
        <w:tc>
          <w:tcPr>
            <w:tcW w:type="dxa" w:w="3024"/>
          </w:tcPr>
          <w:p>
            <w:r>
              <w:t>Less estate liabilities</w:t>
            </w:r>
          </w:p>
        </w:tc>
        <w:tc>
          <w:tcPr>
            <w:tcW w:type="dxa" w:w="3024"/>
          </w:tcPr>
          <w:p>
            <w:r>
              <w:t>(See para (d) of instructions)</w:t>
            </w:r>
          </w:p>
        </w:tc>
        <w:tc>
          <w:tcPr>
            <w:tcW w:type="dxa" w:w="3024"/>
          </w:tcPr>
          <w:p>
            <w:r>
              <w:t>([Estate-Liability-Placeholder])</w:t>
            </w:r>
          </w:p>
        </w:tc>
      </w:tr>
    </w:tbl>
    <w:p>
      <w:pPr>
        <w:spacing w:before="120" w:after="80"/>
      </w:pPr>
      <w:r>
        <w:rPr>
          <w:b/>
          <w:i w:val="0"/>
        </w:rPr>
        <w:t>Net Schedule B value: Rs. [Net-Schedule-B-Placeholder]/-</w:t>
      </w:r>
    </w:p>
    <w:p>
      <w:pPr>
        <w:spacing w:before="0" w:after="80"/>
      </w:pPr>
      <w:r>
        <w:rPr>
          <w:b/>
          <w:i w:val="0"/>
        </w:rPr>
        <w:t>Allotment: equal cash division (1/3 to each co-owner) — Rs. [Per-Schedule-B-Share-Placeholder]/- each.</w:t>
      </w:r>
    </w:p>
    <w:p>
      <w:pPr>
        <w:spacing w:before="200" w:after="80"/>
        <w:jc w:val="center"/>
      </w:pPr>
      <w:r>
        <w:rPr>
          <w:b/>
          <w:i w:val="0"/>
        </w:rPr>
        <w:t>SCHEDULE C — JEWELLERY AND PERSONAL EFFECTS</w:t>
      </w:r>
    </w:p>
    <w:p>
      <w:pPr>
        <w:spacing w:before="0" w:after="80"/>
      </w:pPr>
      <w:r>
        <w:rPr>
          <w:b w:val="0"/>
          <w:i/>
        </w:rPr>
        <w:t>Detailed list at Annexure I to this deed. Allotment in accordance with agreed division between the parties.</w:t>
      </w:r>
    </w:p>
    <w:p>
      <w:pPr>
        <w:spacing w:before="0" w:after="80"/>
      </w:pPr>
      <w:r>
        <w:rPr>
          <w:b w:val="0"/>
          <w:i/>
        </w:rPr>
        <w:t>Total estimated value of Schedule C: Rs. [Schedule-C-Value-Placeholder]/-.</w:t>
      </w:r>
    </w:p>
    <w:p>
      <w:pPr>
        <w:spacing w:before="200" w:after="80"/>
      </w:pPr>
      <w:r>
        <w:rPr>
          <w:b/>
          <w:i w:val="0"/>
        </w:rPr>
        <w:t>EXECUTION CONFIRMED:</w:t>
      </w:r>
    </w:p>
    <w:p>
      <w:pPr>
        <w:spacing w:before="0" w:after="80"/>
      </w:pPr>
      <w:r>
        <w:rPr>
          <w:b w:val="0"/>
          <w:i w:val="0"/>
        </w:rPr>
        <w:t>Each party affirms that the values stated above are bona fide estimates and that the partition is fair and acceptable.</w:t>
      </w:r>
    </w:p>
    <w:p>
      <w:pPr>
        <w:spacing w:before="200" w:after="80"/>
      </w:pPr>
      <w:r>
        <w:rPr>
          <w:b/>
          <w:i w:val="0"/>
        </w:rPr>
        <w:t>[Co-owner-A]              [Co-owner-B]              [Co-owner-C]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