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INCOME-TAX DEPARTMENT</w:t>
      </w:r>
    </w:p>
    <w:p>
      <w:pPr>
        <w:spacing w:before="0" w:after="160"/>
        <w:jc w:val="center"/>
      </w:pPr>
      <w:r>
        <w:rPr>
          <w:b/>
          <w:sz w:val="24"/>
        </w:rPr>
        <w:t>NATIONAL FACELESS ASSESSMENT CENTRE (NaFAC), DELHI</w:t>
      </w:r>
    </w:p>
    <w:p>
      <w:pPr>
        <w:spacing w:before="0" w:after="80"/>
        <w:jc w:val="right"/>
      </w:pPr>
      <w:r>
        <w:rPr>
          <w:b/>
          <w:i w:val="0"/>
        </w:rPr>
        <w:t>DIN: ITBA/AST/M/143(3)/2026-27/[DIN-PLACEHOLDER-19-DIGIT]</w:t>
      </w:r>
    </w:p>
    <w:p>
      <w:pPr>
        <w:spacing w:before="0" w:after="200"/>
        <w:jc w:val="right"/>
      </w:pPr>
      <w:r>
        <w:rPr>
          <w:b/>
          <w:i w:val="0"/>
        </w:rPr>
        <w:t>Dated: 22 February 2026</w:t>
      </w:r>
    </w:p>
    <w:p>
      <w:pPr>
        <w:spacing w:before="0" w:after="160"/>
        <w:jc w:val="center"/>
      </w:pPr>
      <w:r>
        <w:rPr>
          <w:b/>
          <w:i w:val="0"/>
          <w:sz w:val="26"/>
        </w:rPr>
        <w:t>ASSESSMENT ORDER UNDER SECTION 143(3) OF THE INCOME-TAX ACT, 1961</w:t>
      </w:r>
    </w:p>
    <w:p>
      <w:pPr>
        <w:spacing w:before="0" w:after="80"/>
      </w:pPr>
      <w:r>
        <w:rPr>
          <w:b/>
          <w:i w:val="0"/>
        </w:rPr>
        <w:t>Name of Assessee: [Assessee-A] (Private Limited Company)</w:t>
      </w:r>
    </w:p>
    <w:p>
      <w:pPr>
        <w:spacing w:before="0" w:after="80"/>
      </w:pPr>
      <w:r>
        <w:rPr>
          <w:b w:val="0"/>
          <w:i w:val="0"/>
        </w:rPr>
        <w:t>PAN: [PAN-PLACEHOLDER-10-CHAR]</w:t>
      </w:r>
    </w:p>
    <w:p>
      <w:pPr>
        <w:spacing w:before="0" w:after="80"/>
      </w:pPr>
      <w:r>
        <w:rPr>
          <w:b w:val="0"/>
          <w:i w:val="0"/>
        </w:rPr>
        <w:t>Assessment Year: 2024-25 / Previous Year: 2023-24</w:t>
      </w:r>
    </w:p>
    <w:p>
      <w:pPr>
        <w:spacing w:before="0" w:after="80"/>
      </w:pPr>
      <w:r>
        <w:rPr>
          <w:b w:val="0"/>
          <w:i w:val="0"/>
        </w:rPr>
        <w:t>Status: Company (Domestic)</w:t>
      </w:r>
    </w:p>
    <w:p>
      <w:pPr>
        <w:spacing w:before="0" w:after="80"/>
      </w:pPr>
      <w:r>
        <w:rPr>
          <w:b w:val="0"/>
          <w:i w:val="0"/>
        </w:rPr>
        <w:t>Mode of Assessment: Faceless — Section 144B IT Act</w:t>
      </w:r>
    </w:p>
    <w:p>
      <w:pPr>
        <w:spacing w:before="0" w:after="200"/>
      </w:pPr>
      <w:r>
        <w:rPr>
          <w:b w:val="0"/>
          <w:i w:val="0"/>
        </w:rPr>
        <w:t>Show-cause issued on: 18 December 2025; assessee's reply received on: 02 January 2026</w:t>
      </w:r>
    </w:p>
    <w:p>
      <w:pPr>
        <w:spacing w:before="0" w:after="80"/>
      </w:pPr>
      <w:r>
        <w:rPr>
          <w:b w:val="0"/>
          <w:i w:val="0"/>
        </w:rPr>
        <w:t>1. The assessee filed return of income for AY 2024-25 on [Filing-Date-Placeholder] declaring total income of Rs. [Returned-Income-Placeholder]/-. The case was selected for complete scrutiny under CASS on the issue of "disallowance under Section 14A read with Rule 8D in relation to exempt-income earning investments".</w:t>
      </w:r>
    </w:p>
    <w:p>
      <w:pPr>
        <w:spacing w:before="0" w:after="80"/>
      </w:pPr>
      <w:r>
        <w:rPr>
          <w:b w:val="0"/>
          <w:i w:val="0"/>
        </w:rPr>
        <w:t>2. During the year, the assessee earned dividend income of Rs. [Exempt-Income-Placeholder]/- claimed as exempt under Section 10(34) of the Act. The assessee made suo-moto disallowance of Rs. [Suo-Moto-Placeholder]/- under Section 14A.</w:t>
      </w:r>
    </w:p>
    <w:p>
      <w:pPr>
        <w:spacing w:before="0" w:after="80"/>
      </w:pPr>
      <w:r>
        <w:rPr>
          <w:b w:val="0"/>
          <w:i w:val="0"/>
        </w:rPr>
        <w:t>3. A show-cause notice under Section 142(1) was issued on 18 December 2025 calling upon the assessee to explain why disallowance under Section 14A read with Rule 8D(2)(ii) and Rule 8D(2)(iii) should not be enhanced, considering the magnitude of investments capable of yielding exempt income.</w:t>
      </w:r>
    </w:p>
    <w:p>
      <w:pPr>
        <w:spacing w:before="0" w:after="80"/>
      </w:pPr>
      <w:r>
        <w:rPr>
          <w:b w:val="0"/>
          <w:i w:val="0"/>
        </w:rPr>
        <w:t>4. The assessee filed reply dated 02 January 2026 contending that (a) no borrowed funds were utilised for making exempt-yielding investments, (b) interest expenditure was wholly attributable to business borrowings under Section 36(1)(iii), and (c) the suo-moto disallowance under Rule 8D(2)(iii) was reasonable and consistent with the binding precedent in Maxopp Investment Ltd. v. CIT (2018) 402 ITR 640 (SC).</w:t>
      </w:r>
    </w:p>
    <w:p>
      <w:pPr>
        <w:spacing w:before="0" w:after="80"/>
      </w:pPr>
      <w:r>
        <w:rPr>
          <w:b w:val="0"/>
          <w:i w:val="0"/>
        </w:rPr>
        <w:t>5. The reply has been considered. The assessee has not satisfactorily demonstrated nexus between the interest-free funds available with the assessee and the exempt-yielding investments. Following the methodology under Rule 8D(2), the disallowance is recomputed as follows:</w:t>
      </w:r>
    </w:p>
    <w:p>
      <w:pPr>
        <w:spacing w:before="0" w:after="80"/>
      </w:pPr>
      <w:r>
        <w:rPr>
          <w:b w:val="0"/>
          <w:i w:val="0"/>
        </w:rPr>
        <w:t>(a) Rule 8D(2)(ii) — interest disallowance: Rs. [Interest-Disallowance-Placeholder]/-</w:t>
      </w:r>
    </w:p>
    <w:p>
      <w:pPr>
        <w:spacing w:before="0" w:after="80"/>
      </w:pPr>
      <w:r>
        <w:rPr>
          <w:b w:val="0"/>
          <w:i w:val="0"/>
        </w:rPr>
        <w:t>(b) Rule 8D(2)(iii) — administrative expenditure: Rs. [Admin-Expense-Placeholder]/-</w:t>
      </w:r>
    </w:p>
    <w:p>
      <w:pPr>
        <w:spacing w:before="0" w:after="80"/>
      </w:pPr>
      <w:r>
        <w:rPr>
          <w:b w:val="0"/>
          <w:i w:val="0"/>
        </w:rPr>
        <w:t>(c) Total enhanced disallowance: Rs. [Total-14A-Placeholder]/-</w:t>
      </w:r>
    </w:p>
    <w:p>
      <w:pPr>
        <w:spacing w:before="0" w:after="80"/>
      </w:pPr>
      <w:r>
        <w:rPr>
          <w:b w:val="0"/>
          <w:i w:val="0"/>
        </w:rPr>
        <w:t>(d) Less: suo-moto disallowance by assessee: Rs. [Suo-Moto-Placeholder]/-</w:t>
      </w:r>
    </w:p>
    <w:p>
      <w:pPr>
        <w:spacing w:before="0" w:after="80"/>
      </w:pPr>
      <w:r>
        <w:rPr>
          <w:b w:val="0"/>
          <w:i w:val="0"/>
        </w:rPr>
        <w:t>(e) Net addition to total income: Rs. [Addition-Placeholder]/-</w:t>
      </w:r>
    </w:p>
    <w:p>
      <w:pPr>
        <w:spacing w:before="0" w:after="80"/>
      </w:pPr>
      <w:r>
        <w:rPr>
          <w:b w:val="0"/>
          <w:i w:val="0"/>
        </w:rPr>
        <w:t>6. Total income is accordingly recomputed at Rs. [Recomputed-Income-Placeholder]/- as against returned income of Rs. [Returned-Income-Placeholder]/-. Tax payable, surcharge, cess and interest under Sections 234A, 234B, 234C have been computed in the attached computation sheet. A separate demand notice under Section 156 is being issued.</w:t>
      </w:r>
    </w:p>
    <w:p>
      <w:pPr>
        <w:spacing w:before="80" w:after="80"/>
      </w:pPr>
      <w:r>
        <w:rPr>
          <w:b w:val="0"/>
          <w:i w:val="0"/>
        </w:rPr>
        <w:t>7. Penalty proceedings under Section 270A for under-reporting of income are initiated separately.</w:t>
      </w:r>
    </w:p>
    <w:p>
      <w:pPr>
        <w:spacing w:before="200" w:after="80"/>
      </w:pPr>
      <w:r>
        <w:rPr>
          <w:b w:val="0"/>
          <w:i/>
        </w:rPr>
        <w:t>Issued under the Faceless Assessment Scheme, signed digitally by the National Faceless Assessment Centre.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