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sz w:val="28"/>
        </w:rPr>
        <w:t>IN THE HIGH COURT OF JUDICATURE AT BOMBAY</w:t>
      </w:r>
    </w:p>
    <w:p>
      <w:pPr>
        <w:spacing w:before="0" w:after="160"/>
        <w:jc w:val="center"/>
      </w:pPr>
      <w:r>
        <w:rPr>
          <w:b/>
          <w:sz w:val="24"/>
        </w:rPr>
        <w:t>(APPELLATE-SIDE) BENCH AT [PLACEHOLDER-BENCH-CITY]</w:t>
      </w:r>
    </w:p>
    <w:p>
      <w:pPr>
        <w:spacing w:before="0" w:after="160"/>
        <w:jc w:val="center"/>
      </w:pPr>
      <w:r>
        <w:rPr>
          <w:b/>
          <w:i w:val="0"/>
        </w:rPr>
        <w:t>Second Appeal No. 1234 of 2024</w:t>
      </w:r>
    </w:p>
    <w:p>
      <w:pPr>
        <w:spacing w:before="0" w:after="80"/>
      </w:pPr>
      <w:r>
        <w:rPr>
          <w:b/>
          <w:i w:val="0"/>
        </w:rPr>
        <w:t>[Party-A] son of [Father-A] ... Appellant</w:t>
      </w:r>
    </w:p>
    <w:p>
      <w:pPr>
        <w:spacing w:before="0" w:after="80"/>
      </w:pPr>
      <w:r>
        <w:rPr>
          <w:b w:val="0"/>
          <w:i w:val="0"/>
        </w:rPr>
        <w:t>Versus</w:t>
      </w:r>
    </w:p>
    <w:p>
      <w:pPr>
        <w:spacing w:before="0" w:after="160"/>
      </w:pPr>
      <w:r>
        <w:rPr>
          <w:b/>
          <w:i w:val="0"/>
        </w:rPr>
        <w:t>[Party-B] son of [Father-B] ... Respondent</w:t>
      </w:r>
    </w:p>
    <w:p>
      <w:pPr>
        <w:spacing w:before="0" w:after="80"/>
        <w:jc w:val="right"/>
      </w:pPr>
      <w:r>
        <w:rPr>
          <w:b w:val="0"/>
          <w:i/>
        </w:rPr>
        <w:t>CORAM: Hon'ble Justice [Justice-Placeholder]</w:t>
      </w:r>
    </w:p>
    <w:p>
      <w:pPr>
        <w:spacing w:before="0" w:after="80"/>
        <w:jc w:val="right"/>
      </w:pPr>
      <w:r>
        <w:rPr>
          <w:b w:val="0"/>
          <w:i w:val="0"/>
        </w:rPr>
        <w:t>Date of Reserving Judgment: 25 March 2026</w:t>
      </w:r>
    </w:p>
    <w:p>
      <w:pPr>
        <w:spacing w:before="0" w:after="200"/>
        <w:jc w:val="right"/>
      </w:pPr>
      <w:r>
        <w:rPr>
          <w:b w:val="0"/>
          <w:i w:val="0"/>
        </w:rPr>
        <w:t>Date of Pronouncement: 10 April 2026</w:t>
      </w:r>
    </w:p>
    <w:p>
      <w:pPr>
        <w:spacing w:before="0" w:after="160"/>
        <w:jc w:val="center"/>
      </w:pPr>
      <w:r>
        <w:rPr>
          <w:b/>
          <w:i w:val="0"/>
        </w:rPr>
        <w:t>JUDGMENT</w:t>
      </w:r>
    </w:p>
    <w:p>
      <w:pPr>
        <w:spacing w:before="0" w:after="80"/>
      </w:pPr>
      <w:r>
        <w:rPr>
          <w:b w:val="0"/>
          <w:i w:val="0"/>
        </w:rPr>
        <w:t>1. This Second Appeal under Section 100 of the Code of Civil Procedure, 1908 has been preferred by the original plaintiff against the concurrent dismissal of his suit for partition by the Trial Court (Civil Judge Sr. Div., [Placeholder-Court]) and the First Appellate Court (District Judge, [Placeholder-District]).</w:t>
      </w:r>
    </w:p>
    <w:p>
      <w:pPr>
        <w:spacing w:before="0" w:after="80"/>
      </w:pPr>
      <w:r>
        <w:rPr>
          <w:b w:val="0"/>
          <w:i w:val="0"/>
        </w:rPr>
        <w:t>2. The substantial question of law admitted at the time of admission of this Second Appeal was: "Whether the Lower Appellate Court was justified in holding that the suit property at Survey No. [Survey-No-Placeholder], Village [Village-Placeholder], does NOT form part of the joint family estate of the parties, in the absence of any cogent evidence on record establishing severance of jointness?"</w:t>
      </w:r>
    </w:p>
    <w:p>
      <w:pPr>
        <w:spacing w:before="0" w:after="80"/>
      </w:pPr>
      <w:r>
        <w:rPr>
          <w:b w:val="0"/>
          <w:i w:val="0"/>
        </w:rPr>
        <w:t>3. The brief facts are that [Party-A] (Appellant) is the elder brother of [Party-B] (Respondent), both being sons of one [Father-A]. The suit property bearing Survey No. [Survey-No-Placeholder] was originally purchased in the year 1972 by [Grand-Father-Placeholder], the father of [Father-A]. [Father-A] passed away intestate in the year 2006. Possession of the suit property has been with [Party-B] since 2008.</w:t>
      </w:r>
    </w:p>
    <w:p>
      <w:pPr>
        <w:spacing w:before="0" w:after="80"/>
      </w:pPr>
      <w:r>
        <w:rPr>
          <w:b w:val="0"/>
          <w:i w:val="0"/>
        </w:rPr>
        <w:t>4. [Party-A] instituted Regular Civil Suit No. [RCS-N]/2018 seeking a declaration that the suit property is joint family property and a decree of partition allotting one-half share to him. The Trial Court framed seven issues; the controlling issue (Issue No. 3) was whether the suit property is joint family property.</w:t>
      </w:r>
    </w:p>
    <w:p>
      <w:pPr>
        <w:spacing w:before="0" w:after="80"/>
      </w:pPr>
      <w:r>
        <w:rPr>
          <w:b w:val="0"/>
          <w:i w:val="0"/>
        </w:rPr>
        <w:t>5. The Trial Court, by its judgment dated [Trial-Judgment-Date-Placeholder], held on Issue No. 3 that the suit property is the self-acquired property of the Respondent [Party-B] on the basis of (a) the sale deed dated [Sale-Deed-Year-Placeholder] standing in the sole name of [Party-B] and (b) the alleged oral severance recital by [Father-A] before village elders in 2005.</w:t>
      </w:r>
    </w:p>
    <w:p>
      <w:pPr>
        <w:spacing w:before="0" w:after="80"/>
      </w:pPr>
      <w:r>
        <w:rPr>
          <w:b w:val="0"/>
          <w:i w:val="0"/>
        </w:rPr>
        <w:t>6. The First Appellate Court, by its judgment dated [FA-Judgment-Date-Placeholder], affirmed the Trial Court's finding on Issue No. 3, without independently evaluating the evidentiary material on record.</w:t>
      </w:r>
    </w:p>
    <w:p>
      <w:pPr>
        <w:spacing w:before="0" w:after="80"/>
      </w:pPr>
      <w:r>
        <w:rPr>
          <w:b w:val="0"/>
          <w:i w:val="0"/>
        </w:rPr>
        <w:t>7. Having heard learned counsel for the parties and perused the record, this Court is of the considered view that no substantial question of law arises in this Second Appeal warranting interference. The concurrent finding of fact recorded by the two Courts below, in the absence of demonstrable perversity, does not call for re-appreciation by this Court in second-appellate jurisdiction. The reliance placed by the Appellant on Mulla on Hindu Law is of no assistance in the absence of a properly framed substantial question of law arising on the facts found.</w:t>
      </w:r>
    </w:p>
    <w:p>
      <w:pPr>
        <w:spacing w:before="0" w:after="80"/>
      </w:pPr>
      <w:r>
        <w:rPr>
          <w:b w:val="0"/>
          <w:i w:val="0"/>
        </w:rPr>
        <w:t>8. In the result, the Second Appeal is dismissed. No order as to costs.</w:t>
      </w:r>
    </w:p>
    <w:p>
      <w:pPr>
        <w:spacing w:before="80" w:after="80"/>
      </w:pPr>
      <w:r>
        <w:rPr>
          <w:b w:val="0"/>
          <w:i w:val="0"/>
        </w:rPr>
        <w:t>9. The substantial question of law is answered in the affirmative — in favour of the Respondent and against the Appellant.</w:t>
      </w:r>
    </w:p>
    <w:p>
      <w:pPr>
        <w:spacing w:before="200" w:after="80"/>
      </w:pPr>
      <w:r>
        <w:rPr>
          <w:b w:val="0"/>
          <w:i/>
        </w:rPr>
        <w:t>(Signed)</w:t>
      </w:r>
    </w:p>
    <w:p>
      <w:pPr>
        <w:spacing w:before="0" w:after="80"/>
      </w:pPr>
      <w:r>
        <w:rPr>
          <w:b w:val="0"/>
          <w:i/>
        </w:rPr>
        <w:t>Justice [Justice-Placeholder]</w:t>
      </w:r>
    </w:p>
    <w:p>
      <w:pPr>
        <w:spacing w:before="0" w:after="80"/>
      </w:pPr>
      <w:r>
        <w:rPr>
          <w:b w:val="0"/>
          <w:i/>
        </w:rPr>
        <w:t>True copy / Certified copy issued on [Certified-Copy-Date-Placeholder] (Article 117 Limitation Act 1963 — period excluded).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