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IN THE COURT OF THE CIVIL JUDGE SR. DIV.</w:t>
      </w:r>
    </w:p>
    <w:p>
      <w:pPr>
        <w:spacing w:before="0" w:after="160"/>
        <w:jc w:val="center"/>
      </w:pPr>
      <w:r>
        <w:rPr>
          <w:b/>
          <w:sz w:val="24"/>
        </w:rPr>
        <w:t>AT [PLACEHOLDER-COURT-LOCATION], MAHARASHTRA</w:t>
      </w:r>
    </w:p>
    <w:p>
      <w:pPr>
        <w:spacing w:before="0" w:after="160"/>
        <w:jc w:val="center"/>
      </w:pPr>
      <w:r>
        <w:rPr>
          <w:b/>
          <w:i w:val="0"/>
        </w:rPr>
        <w:t>Regular Civil Suit No. [RCS-N] of 2018</w:t>
      </w:r>
    </w:p>
    <w:p>
      <w:pPr>
        <w:spacing w:before="0" w:after="80"/>
      </w:pPr>
      <w:r>
        <w:rPr>
          <w:b/>
          <w:i w:val="0"/>
        </w:rPr>
        <w:t>[Party-A] ... Plaintiff</w:t>
      </w:r>
    </w:p>
    <w:p>
      <w:pPr>
        <w:spacing w:before="0" w:after="80"/>
      </w:pPr>
      <w:r>
        <w:rPr>
          <w:b w:val="0"/>
          <w:i w:val="0"/>
        </w:rPr>
        <w:t>Versus</w:t>
      </w:r>
    </w:p>
    <w:p>
      <w:pPr>
        <w:spacing w:before="0" w:after="160"/>
      </w:pPr>
      <w:r>
        <w:rPr>
          <w:b/>
          <w:i w:val="0"/>
        </w:rPr>
        <w:t>[Party-B] ... Defendant</w:t>
      </w:r>
    </w:p>
    <w:p>
      <w:pPr>
        <w:spacing w:before="0" w:after="160"/>
        <w:jc w:val="center"/>
      </w:pPr>
      <w:r>
        <w:rPr>
          <w:b/>
          <w:i w:val="0"/>
        </w:rPr>
        <w:t>EXTRACT FROM JUDGMENT — Issue No. 3 finding only</w:t>
      </w:r>
    </w:p>
    <w:p>
      <w:pPr>
        <w:spacing w:before="0" w:after="80"/>
      </w:pPr>
      <w:r>
        <w:rPr>
          <w:b/>
          <w:i w:val="0"/>
        </w:rPr>
        <w:t>Issue No. 3 — Whether the suit property at Survey No. [Survey-No-Placeholder] is joint family property of the parties?</w:t>
      </w:r>
    </w:p>
    <w:p>
      <w:pPr>
        <w:spacing w:before="0" w:after="80"/>
      </w:pPr>
      <w:r>
        <w:rPr>
          <w:b w:val="0"/>
          <w:i w:val="0"/>
        </w:rPr>
        <w:t>FINDING: In the NEGATIVE.</w:t>
      </w:r>
    </w:p>
    <w:p>
      <w:pPr>
        <w:spacing w:before="120" w:after="80"/>
      </w:pPr>
      <w:r>
        <w:rPr>
          <w:b/>
          <w:i w:val="0"/>
        </w:rPr>
        <w:t>REASONS:</w:t>
      </w:r>
    </w:p>
    <w:p>
      <w:pPr>
        <w:spacing w:before="0" w:after="80"/>
      </w:pPr>
      <w:r>
        <w:rPr>
          <w:b w:val="0"/>
          <w:i w:val="0"/>
        </w:rPr>
        <w:t>(a) The sale deed at Exhibit P-12 dated [Sale-Deed-Year-Placeholder] stands in the sole name of the Defendant [Party-B]. No countervailing document is produced.</w:t>
      </w:r>
    </w:p>
    <w:p>
      <w:pPr>
        <w:spacing w:before="0" w:after="80"/>
      </w:pPr>
      <w:r>
        <w:rPr>
          <w:b w:val="0"/>
          <w:i w:val="0"/>
        </w:rPr>
        <w:t>(b) DW-1 (Defendant) deposed that on the death of his father [Father-A] in 2006, the panchas of village [Village-Placeholder] facilitated an oral severance whereby the suit property was assigned to the Defendant exclusively. This oral severance was not specifically denied by the Plaintiff in cross-examination of DW-1 — failure to deny operates as constructive admission.</w:t>
      </w:r>
    </w:p>
    <w:p>
      <w:pPr>
        <w:spacing w:before="0" w:after="80"/>
      </w:pPr>
      <w:r>
        <w:rPr>
          <w:b w:val="0"/>
          <w:i w:val="0"/>
        </w:rPr>
        <w:t>(c) The conduct of the Plaintiff between 2008 and 2018 (a decade) — silence, absence of objection, no claim for partition — corroborates the Defendant's case of oral severance.</w:t>
      </w:r>
    </w:p>
    <w:p>
      <w:pPr>
        <w:spacing w:before="0" w:after="80"/>
      </w:pPr>
      <w:r>
        <w:rPr>
          <w:b w:val="0"/>
          <w:i w:val="0"/>
        </w:rPr>
        <w:t>(d) No evidence has been led by the Plaintiff to establish that the suit property was, at any point of time, treated as joint family property by deposit of income, joint cultivation, joint repairs, or any other recognised mode.</w:t>
      </w:r>
    </w:p>
    <w:p>
      <w:pPr>
        <w:spacing w:before="160" w:after="80"/>
      </w:pPr>
      <w:r>
        <w:rPr>
          <w:b/>
          <w:i w:val="0"/>
        </w:rPr>
        <w:t>[Plaintiff's COUNTER-OBJECTIONS RECORDED in para 47 of the judgment:]</w:t>
      </w:r>
    </w:p>
    <w:p>
      <w:pPr>
        <w:spacing w:before="0" w:after="80"/>
      </w:pPr>
      <w:r>
        <w:rPr>
          <w:b w:val="0"/>
          <w:i w:val="0"/>
        </w:rPr>
        <w:t>— PW-1 (Plaintiff) deposed that the property was originally purchased by the grandfather in 1972 from joint family funds. The sale deed of [Sale-Deed-Year-Placeholder] in the Defendant's name was executed by the family for taxation reasons; the property continued in joint possession until 2008.</w:t>
      </w:r>
    </w:p>
    <w:p>
      <w:pPr>
        <w:spacing w:before="0" w:after="80"/>
      </w:pPr>
      <w:r>
        <w:rPr>
          <w:b w:val="0"/>
          <w:i w:val="0"/>
        </w:rPr>
        <w:t>— PW-3 (an independent witness, retired patwari) deposed that the village land records continue to reflect dual cultivation entries and that no mutation has happened pursuant to any alleged severance.</w:t>
      </w:r>
    </w:p>
    <w:p>
      <w:pPr>
        <w:spacing w:before="0" w:after="80"/>
      </w:pPr>
      <w:r>
        <w:rPr>
          <w:b w:val="0"/>
          <w:i w:val="0"/>
        </w:rPr>
        <w:t>— The alleged oral severance is unsupported by any panchnama, document, or independent corroboration. None of the alleged panchas have been examined as witnesses.</w:t>
      </w:r>
    </w:p>
    <w:p>
      <w:pPr>
        <w:spacing w:before="0" w:after="80"/>
      </w:pPr>
      <w:r>
        <w:rPr>
          <w:b w:val="0"/>
          <w:i/>
        </w:rPr>
        <w:t>These objections were noted but not given controlling weight in light of (a)-(d) above.</w:t>
      </w:r>
    </w:p>
    <w:p>
      <w:pPr>
        <w:spacing w:before="0" w:after="80"/>
      </w:pPr>
      <w:r>
        <w:rPr>
          <w:b w:val="0"/>
          <w:i w:val="0"/>
        </w:rPr>
        <w:t>ACCORDINGLY, Issue No. 3 is answered in the negative. The suit property is held to be the self-acquired property of the Defendant. The suit for partition fails on Issue No. 3 and is dismissed.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