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Однократное</w:t>
      </w:r>
      <w:r>
        <w:t xml:space="preserve"> </w:t>
      </w:r>
      <w:r>
        <w:t xml:space="preserve">гаммирование</w:t>
      </w:r>
    </w:p>
    <w:p>
      <w:pPr>
        <w:pStyle w:val="Author"/>
      </w:pPr>
      <w:r>
        <w:t xml:space="preserve">Поленикова</w:t>
      </w:r>
      <w:r>
        <w:t xml:space="preserve"> </w:t>
      </w:r>
      <w:r>
        <w:t xml:space="preserve">Анна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гаммирования.</w:t>
      </w:r>
    </w:p>
    <w:bookmarkEnd w:id="20"/>
    <w:bookmarkStart w:id="23" w:name="теоретическая-справка"/>
    <w:p>
      <w:pPr>
        <w:pStyle w:val="Heading1"/>
      </w:pPr>
      <w:r>
        <w:t xml:space="preserve">Теоретическая справка</w:t>
      </w:r>
    </w:p>
    <w:p>
      <w:pPr>
        <w:pStyle w:val="FirstParagraph"/>
      </w:pPr>
      <w:r>
        <w:t xml:space="preserve">Предложенная Г. С. Вернамом так называемая «схема однократного использования (гаммирования)» является простой, но надёжной схемой шифрования данных.</w:t>
      </w:r>
      <w:r>
        <w:t xml:space="preserve"> </w:t>
      </w:r>
      <w:r>
        <w:t xml:space="preserve">Гаммирование представляет собой наложение (снятие) на открытые (зашифрованные) данные последовательности элементов других данных, полученной с помощью некоторого криптографического алгоритма, для получения зашифрованных (открытых) данных. Иными словами, наложение</w:t>
      </w:r>
      <w:r>
        <w:t xml:space="preserve"> </w:t>
      </w:r>
      <w:r>
        <w:t xml:space="preserve">гаммы — это сложение её элементов с элементами открытого (закрытого)</w:t>
      </w:r>
      <w:r>
        <w:t xml:space="preserve"> </w:t>
      </w:r>
      <w:r>
        <w:t xml:space="preserve">текста по некоторому фиксированному модулю, значение которого представляет собой известную часть алгоритма шифрования.</w:t>
      </w:r>
      <w:r>
        <w:t xml:space="preserve"> </w:t>
      </w:r>
      <w:r>
        <w:t xml:space="preserve">В соответствии с теорией криптоанализа, если в методе шифрования используется однократная вероятностная гамма (однократное гаммирование)</w:t>
      </w:r>
      <w:r>
        <w:t xml:space="preserve"> </w:t>
      </w:r>
      <w:r>
        <w:t xml:space="preserve">той же длины, что и подлежащий сокрытию текст, то текст нельзя раскрыть.</w:t>
      </w:r>
      <w:r>
        <w:t xml:space="preserve"> </w:t>
      </w:r>
      <w:r>
        <w:t xml:space="preserve">Даже при раскрытии части последовательности гаммы нельзя получить информацию о всём скрываемом тексте.</w:t>
      </w:r>
      <w:r>
        <w:t xml:space="preserve"> </w:t>
      </w:r>
      <w:r>
        <w:t xml:space="preserve">Наложение гаммы по сути представляет собой выполнение операции</w:t>
      </w:r>
      <w:r>
        <w:t xml:space="preserve"> </w:t>
      </w:r>
      <w:r>
        <w:t xml:space="preserve">сложения по модулю 2 (XOR) (обозначаемая знаком</w:t>
      </w:r>
      <w:r>
        <w:t xml:space="preserve"> </w:t>
      </w:r>
      <m:oMath>
        <m:r>
          <m:rPr>
            <m:sty m:val="p"/>
          </m:rPr>
          <m:t>⊕</m:t>
        </m:r>
      </m:oMath>
      <w:r>
        <w:t xml:space="preserve">) между элементами</w:t>
      </w:r>
      <w:r>
        <w:t xml:space="preserve"> </w:t>
      </w:r>
      <w:r>
        <w:t xml:space="preserve">гаммы и элементами подлежащего сокрытию текста. Напомним, как работает операция XOR над битами:</w:t>
      </w:r>
      <w:r>
        <w:t xml:space="preserve"> </w:t>
      </w:r>
      <m:oMath>
        <m:r>
          <m:t>0</m:t>
        </m:r>
        <m:r>
          <m:rPr>
            <m:sty m:val="p"/>
          </m:rPr>
          <m:t>⊕</m:t>
        </m:r>
        <m:r>
          <m:t>0</m:t>
        </m:r>
        <m:r>
          <m:rPr>
            <m:sty m:val="p"/>
          </m:rPr>
          <m:t>=</m:t>
        </m:r>
        <m:r>
          <m:t>0</m:t>
        </m:r>
      </m:oMath>
      <w:r>
        <w:t xml:space="preserve">,</w:t>
      </w:r>
      <w:r>
        <w:t xml:space="preserve"> </w:t>
      </w:r>
      <m:oMath>
        <m:r>
          <m:t>0</m:t>
        </m:r>
        <m:r>
          <m:rPr>
            <m:sty m:val="p"/>
          </m:rPr>
          <m:t>⊕</m:t>
        </m:r>
        <m:r>
          <m:t>1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⊕</m:t>
        </m:r>
        <m:r>
          <m:t>0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⊕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  <w:r>
        <w:t xml:space="preserve"> </w:t>
      </w:r>
      <w:r>
        <w:t xml:space="preserve">Такой метод шифрования является симметричным, так как двойное прибавление одной и той же величины по модулю 2 восстанавливает исходное</w:t>
      </w:r>
    </w:p>
    <w:p>
      <w:pPr>
        <w:pStyle w:val="CaptionedFigure"/>
      </w:pPr>
      <w:bookmarkStart w:id="22" w:name="fig:001"/>
      <w:r>
        <w:drawing>
          <wp:inline>
            <wp:extent cx="5334000" cy="1391752"/>
            <wp:effectExtent b="0" l="0" r="0" t="0"/>
            <wp:docPr descr="Схема однократного использования Вернама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1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Схема однократного использования Вернама</w:t>
      </w:r>
    </w:p>
    <w:p>
      <w:pPr>
        <w:pStyle w:val="BodyText"/>
      </w:pPr>
      <w:r>
        <w:t xml:space="preserve">значение, а шифрование и расшифрование выполняется одной и той же программой.</w:t>
      </w:r>
      <w:r>
        <w:t xml:space="preserve"> </w:t>
      </w:r>
      <w:r>
        <w:t xml:space="preserve">Если известны ключ и открытый текст, то задача нахождения шифротекста заключается в применении к каждому символу открытого текста следующего правила: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K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,</w:t>
      </w:r>
      <w:r>
        <w:t xml:space="preserve"> </w:t>
      </w:r>
      <w:r>
        <w:t xml:space="preserve">где</w:t>
      </w:r>
      <w:r>
        <w:t xml:space="preserve"> </w:t>
      </w:r>
      <m:oMath>
        <m:sSub>
          <m:e>
            <m:r>
              <m:t>C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— i-й символ получившегося зашифрованного послания,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— i-й</w:t>
      </w:r>
      <w:r>
        <w:t xml:space="preserve"> </w:t>
      </w:r>
      <w:r>
        <w:t xml:space="preserve">символ открытого текста,</w:t>
      </w:r>
      <w:r>
        <w:t xml:space="preserve"> </w:t>
      </w:r>
      <m:oMath>
        <m:sSub>
          <m:e>
            <m:r>
              <m:t>K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— i-й символ ключа,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m</m:t>
        </m:r>
      </m:oMath>
      <w:r>
        <w:t xml:space="preserve">. Размерности</w:t>
      </w:r>
      <w:r>
        <w:t xml:space="preserve"> </w:t>
      </w:r>
      <w:r>
        <w:t xml:space="preserve">открытого текста и ключа должны совпадать, и полученный шифротекст</w:t>
      </w:r>
      <w:r>
        <w:t xml:space="preserve"> </w:t>
      </w:r>
      <w:r>
        <w:t xml:space="preserve">будет такой же длины.</w:t>
      </w:r>
      <w:r>
        <w:t xml:space="preserve"> </w:t>
      </w:r>
      <w:r>
        <w:t xml:space="preserve">Если известны шифротекст и открытый текст, то задача нахождения</w:t>
      </w:r>
      <w:r>
        <w:t xml:space="preserve"> </w:t>
      </w:r>
      <w:r>
        <w:t xml:space="preserve">ключа решается также в соответствии с (7.1), а именно, обе части равенства необходимо сложить по модулю 2 с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K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sSub>
            <m:e>
              <m:r>
                <m:t>K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sSub>
            <m:e>
              <m:r>
                <m:t>C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Открытый текст имеет символьный вид, а ключ — шестнадцатеричное</w:t>
      </w:r>
      <w:r>
        <w:t xml:space="preserve"> </w:t>
      </w:r>
      <w:r>
        <w:t xml:space="preserve">представление. Ключ также можно представить в символьном виде, воспользовавшись таблицей ASCII-кодов.</w:t>
      </w:r>
      <w:r>
        <w:t xml:space="preserve"> </w:t>
      </w:r>
      <w:r>
        <w:t xml:space="preserve">К. Шеннон доказал абсолютную стойкость шифра в случае, когда однократно используемый ключ, длиной, равной длине исходного сообщения,</w:t>
      </w:r>
      <w:r>
        <w:t xml:space="preserve"> </w:t>
      </w:r>
      <w:r>
        <w:t xml:space="preserve">является фрагментом истинно случайной двоичной последовательности с</w:t>
      </w:r>
      <w:r>
        <w:t xml:space="preserve"> </w:t>
      </w:r>
      <w:r>
        <w:t xml:space="preserve">равномерным законом распределения. Криптоалгоритм не даёт никакой информации об открытом тексте: при известном зашифрованном сообщении</w:t>
      </w:r>
      <w:r>
        <w:t xml:space="preserve"> </w:t>
      </w:r>
      <w:r>
        <w:t xml:space="preserve">C все различные ключевые последовательности K возможны и равновероятны, а значит, возможны и любые сообщения P.</w:t>
      </w:r>
      <w:r>
        <w:t xml:space="preserve"> </w:t>
      </w:r>
      <w:r>
        <w:t xml:space="preserve">Необходимые и достаточные условия абсолютной стойкости шифра:</w:t>
      </w:r>
      <w:r>
        <w:t xml:space="preserve"> </w:t>
      </w:r>
      <w:r>
        <w:t xml:space="preserve">– полная случайность ключа;</w:t>
      </w:r>
      <w:r>
        <w:t xml:space="preserve"> </w:t>
      </w:r>
      <w:r>
        <w:t xml:space="preserve">– равенство длин ключа и открытого текста;</w:t>
      </w:r>
      <w:r>
        <w:t xml:space="preserve"> </w:t>
      </w:r>
      <w:r>
        <w:t xml:space="preserve">– однократное использование ключа.</w:t>
      </w:r>
    </w:p>
    <w:bookmarkEnd w:id="23"/>
    <w:bookmarkStart w:id="3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Написала следующую программу на C++, шифрующую введенное сообщение при помощи случайно сгенерированного ключа.</w:t>
      </w:r>
    </w:p>
    <w:p>
      <w:pPr>
        <w:pStyle w:val="CaptionedFigure"/>
      </w:pPr>
      <w:bookmarkStart w:id="25" w:name="fig:002"/>
      <w:r>
        <w:drawing>
          <wp:inline>
            <wp:extent cx="5334000" cy="5103302"/>
            <wp:effectExtent b="0" l="0" r="0" t="0"/>
            <wp:docPr descr="Функции программы-шифратора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03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Функции программы-шифратора</w:t>
      </w:r>
    </w:p>
    <w:p>
      <w:pPr>
        <w:pStyle w:val="CaptionedFigure"/>
      </w:pPr>
      <w:bookmarkStart w:id="27" w:name="fig:003"/>
      <w:r>
        <w:drawing>
          <wp:inline>
            <wp:extent cx="5334000" cy="4184560"/>
            <wp:effectExtent b="0" l="0" r="0" t="0"/>
            <wp:docPr descr="main функция программы-шифратора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4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main функция программы-шифратора</w:t>
      </w:r>
    </w:p>
    <w:p>
      <w:pPr>
        <w:numPr>
          <w:ilvl w:val="0"/>
          <w:numId w:val="1002"/>
        </w:numPr>
        <w:pStyle w:val="Compact"/>
      </w:pPr>
      <w:r>
        <w:t xml:space="preserve">Результат работы программы можно увидеть ниже:</w:t>
      </w:r>
    </w:p>
    <w:p>
      <w:pPr>
        <w:pStyle w:val="CaptionedFigure"/>
      </w:pPr>
      <w:bookmarkStart w:id="29" w:name="fig:004"/>
      <w:r>
        <w:drawing>
          <wp:inline>
            <wp:extent cx="5334000" cy="834946"/>
            <wp:effectExtent b="0" l="0" r="0" t="0"/>
            <wp:docPr descr="Результат работы программы-шифратора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4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Результат работы программы-шифратора</w:t>
      </w:r>
    </w:p>
    <w:bookmarkEnd w:id="30"/>
    <w:bookmarkStart w:id="31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было освоено на практике применение режима однократного гаммирования.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Поленикова Анна Алексеевна</dc:creator>
  <dc:language>ru-RU</dc:language>
  <cp:keywords/>
  <dcterms:created xsi:type="dcterms:W3CDTF">2021-12-11T17:28:30Z</dcterms:created>
  <dcterms:modified xsi:type="dcterms:W3CDTF">2021-12-11T17:28:30Z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Элементы криптографии. Однократное гаммирование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