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e81ac"/>
          <w:sz w:val="30"/>
          <w:szCs w:val="30"/>
        </w:rPr>
        <w:t xml:space="preserve">TILT + UDL: A Pedagogical Layer for the D2L Course-Build Tool</w:t>
      </w:r>
    </w:p>
    <w:p>
      <w:pPr>
        <w:spacing w:after="320"/>
      </w:pPr>
      <w:r>
        <w:rPr>
          <w:i/>
          <w:iCs/>
          <w:color w:val="888888"/>
          <w:sz w:val="20"/>
          <w:szCs w:val="20"/>
        </w:rPr>
        <w:t xml:space="preserve">Notes for Mark — extending the course-transfer tool with a content/structure assessment layer</w:t>
      </w:r>
    </w:p>
    <w:p>
      <w:pPr>
        <w:pStyle w:val="Heading1"/>
        <w:spacing w:after="140" w:before="320"/>
      </w:pPr>
      <w:r>
        <w:t xml:space="preserve">The idea</w:t>
      </w:r>
    </w:p>
    <w:p>
      <w:pPr>
        <w:spacing w:after="160"/>
      </w:pPr>
      <w:r>
        <w:rPr>
          <w:sz w:val="22"/>
          <w:szCs w:val="22"/>
        </w:rPr>
        <w:t xml:space="preserve">Your tool handles the structural transfer of material into D2L — the mechanical, ambiguity-reducing part of course-building. This proposes adding a pedagogical layer on top of that: two automated "passes" over uploaded course content that flag gaps in student-facing clarity (TILT) and in accessible design (UDL), so instructors get design feedback, not just a formatted course shell.</w:t>
      </w:r>
    </w:p>
    <w:p>
      <w:pPr>
        <w:pStyle w:val="Heading1"/>
        <w:spacing w:after="140" w:before="320"/>
      </w:pPr>
      <w:r>
        <w:t xml:space="preserve">TILT — Transparency in Learning and Teaching</w:t>
      </w:r>
    </w:p>
    <w:p>
      <w:pPr>
        <w:spacing w:after="160"/>
      </w:pPr>
      <w:r>
        <w:rPr>
          <w:sz w:val="22"/>
          <w:szCs w:val="22"/>
        </w:rPr>
        <w:t xml:space="preserve">Developed by Mary-Ann Winkelmes beginning in 1999 at Harvard's Bok Center, formalized through TILT Higher Ed in partnership with AAC&amp;U. TILT asks instructors to make three things explicit to students, in student-facing language, before they start an assignment:</w:t>
      </w:r>
    </w:p>
    <w:p>
      <w:pPr>
        <w:pStyle w:val="ListParagraph"/>
        <w:numPr>
          <w:ilvl w:val="0"/>
          <w:numId w:val="2"/>
        </w:numPr>
        <w:spacing w:after="90"/>
      </w:pPr>
      <w:r>
        <w:rPr>
          <w:sz w:val="22"/>
          <w:szCs w:val="22"/>
        </w:rPr>
        <w:t xml:space="preserve">Purpose — what skill or knowledge the assignment builds, why it matters for the course, and how it transfers beyond the classroom.</w:t>
      </w:r>
    </w:p>
    <w:p>
      <w:pPr>
        <w:pStyle w:val="ListParagraph"/>
        <w:numPr>
          <w:ilvl w:val="0"/>
          <w:numId w:val="2"/>
        </w:numPr>
        <w:spacing w:after="90"/>
      </w:pPr>
      <w:r>
        <w:rPr>
          <w:sz w:val="22"/>
          <w:szCs w:val="22"/>
        </w:rPr>
        <w:t xml:space="preserve">Task — concrete steps for what to do and how to do it, removing guesswork about process and format.</w:t>
      </w:r>
    </w:p>
    <w:p>
      <w:pPr>
        <w:pStyle w:val="ListParagraph"/>
        <w:numPr>
          <w:ilvl w:val="0"/>
          <w:numId w:val="2"/>
        </w:numPr>
        <w:spacing w:after="90"/>
      </w:pPr>
      <w:r>
        <w:rPr>
          <w:sz w:val="22"/>
          <w:szCs w:val="22"/>
        </w:rPr>
        <w:t xml:space="preserve">Criteria — specific, named traits that distinguish strong from weak work, given to students before they submit, not just as a rubric revealed after grading.</w:t>
      </w:r>
    </w:p>
    <w:p>
      <w:pPr>
        <w:spacing w:after="160"/>
      </w:pPr>
      <w:r>
        <w:rPr>
          <w:sz w:val="22"/>
          <w:szCs w:val="22"/>
        </w:rPr>
        <w:t xml:space="preserve">The evidence base is unusually strong for a teaching intervention: a national TILT/AAC&amp;U study found that applying the framework to as few as two assignments in a course increased students' academic confidence, sense of belonging, and motivation — with the largest gains among first-generation and historically underserved students. A follow-up study connected those gains to actual retention.</w:t>
      </w:r>
    </w:p>
    <w:p>
      <w:pPr>
        <w:spacing w:after="160"/>
      </w:pPr>
      <w:r>
        <w:rPr>
          <w:i/>
          <w:iCs/>
          <w:sz w:val="22"/>
          <w:szCs w:val="22"/>
        </w:rPr>
        <w:t xml:space="preserve">Key distinction worth keeping in the tool's design: having an assessment is not the same as having an assessment justification. An assignment can have a due date and a grade weight and still fail TILT if students never see the purpose or criteria — the reasoning has to be visible to students, not just held privately in the instructor's design notes.</w:t>
      </w:r>
    </w:p>
    <w:p>
      <w:pPr>
        <w:pStyle w:val="Heading1"/>
        <w:spacing w:after="140" w:before="320"/>
      </w:pPr>
      <w:r>
        <w:t xml:space="preserve">UDL — Universal Design for Learning</w:t>
      </w:r>
    </w:p>
    <w:p>
      <w:pPr>
        <w:spacing w:after="160"/>
      </w:pPr>
      <w:r>
        <w:rPr>
          <w:sz w:val="22"/>
          <w:szCs w:val="22"/>
        </w:rPr>
        <w:t xml:space="preserve">Developed by CAST (Center for Applied Special Technology); current version is UDL Guidelines 3.0 (2024). Where TILT operates at the level of an individual assignment, UDL operates at the level of course architecture — designing multiple pathways into the material from the start rather than retrofitting accommodations later. Three principles:</w:t>
      </w:r>
    </w:p>
    <w:p>
      <w:pPr>
        <w:pStyle w:val="ListParagraph"/>
        <w:numPr>
          <w:ilvl w:val="0"/>
          <w:numId w:val="2"/>
        </w:numPr>
        <w:spacing w:after="90"/>
      </w:pPr>
      <w:r>
        <w:rPr>
          <w:sz w:val="22"/>
          <w:szCs w:val="22"/>
        </w:rPr>
        <w:t xml:space="preserve">Engagement (the why) — recruiting interest, sustaining effort, supporting self-regulation.</w:t>
      </w:r>
    </w:p>
    <w:p>
      <w:pPr>
        <w:pStyle w:val="ListParagraph"/>
        <w:numPr>
          <w:ilvl w:val="0"/>
          <w:numId w:val="2"/>
        </w:numPr>
        <w:spacing w:after="90"/>
      </w:pPr>
      <w:r>
        <w:rPr>
          <w:sz w:val="22"/>
          <w:szCs w:val="22"/>
        </w:rPr>
        <w:t xml:space="preserve">Representation (the what) — multiple ways of presenting content: perception, language/symbols, comprehension.</w:t>
      </w:r>
    </w:p>
    <w:p>
      <w:pPr>
        <w:pStyle w:val="ListParagraph"/>
        <w:numPr>
          <w:ilvl w:val="0"/>
          <w:numId w:val="2"/>
        </w:numPr>
        <w:spacing w:after="90"/>
      </w:pPr>
      <w:r>
        <w:rPr>
          <w:sz w:val="22"/>
          <w:szCs w:val="22"/>
        </w:rPr>
        <w:t xml:space="preserve">Action &amp; Expression (the how) — multiple ways for students to demonstrate learning: physical action, expression/communication, executive function.</w:t>
      </w:r>
    </w:p>
    <w:p>
      <w:pPr>
        <w:spacing w:after="160"/>
      </w:pPr>
      <w:r>
        <w:rPr>
          <w:sz w:val="22"/>
          <w:szCs w:val="22"/>
        </w:rPr>
        <w:t xml:space="preserve">The core UDL move relevant to assessment design: separating the learning objective from the format used to demonstrate it. If an assignment locks a critical-thinking objective to a single format (e.g., a traditional essay), UDL would flag that as a design gap — not because essays are bad, but because the objective and the format have been conflated.</w:t>
      </w:r>
    </w:p>
    <w:p>
      <w:pPr>
        <w:pStyle w:val="Heading1"/>
        <w:spacing w:after="140" w:before="320"/>
      </w:pPr>
      <w:r>
        <w:t xml:space="preserve">How the two frameworks divide the 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F0FA" w:val="clear"/>
            <w:tcMar>
              <w:top w:type="dxa" w:w="100"/>
              <w:left w:type="dxa" w:w="120"/>
              <w:bottom w:type="dxa" w:w="100"/>
              <w:right w:type="dxa" w:w="120"/>
            </w:tcMar>
          </w:tcPr>
          <w:p>
            <w:r>
              <w:rPr>
                <w:b/>
                <w:bCs/>
                <w:sz w:val="20"/>
                <w:szCs w:val="20"/>
              </w:rPr>
              <w:t xml:space="preserve"/>
            </w:r>
          </w:p>
        </w:tc>
        <w:tc>
          <w:tcPr>
            <w:tcW w:type="dxa" w:w="3700"/>
            <w:shd w:fill="E8F0FA" w:val="clear"/>
            <w:tcMar>
              <w:top w:type="dxa" w:w="100"/>
              <w:left w:type="dxa" w:w="120"/>
              <w:bottom w:type="dxa" w:w="100"/>
              <w:right w:type="dxa" w:w="120"/>
            </w:tcMar>
          </w:tcPr>
          <w:p>
            <w:r>
              <w:rPr>
                <w:b/>
                <w:bCs/>
                <w:sz w:val="20"/>
                <w:szCs w:val="20"/>
              </w:rPr>
              <w:t xml:space="preserve">TILT</w:t>
            </w:r>
          </w:p>
        </w:tc>
        <w:tc>
          <w:tcPr>
            <w:tcW w:type="dxa" w:w="3700"/>
            <w:shd w:fill="E8F0FA" w:val="clear"/>
            <w:tcMar>
              <w:top w:type="dxa" w:w="100"/>
              <w:left w:type="dxa" w:w="120"/>
              <w:bottom w:type="dxa" w:w="100"/>
              <w:right w:type="dxa" w:w="120"/>
            </w:tcMar>
          </w:tcPr>
          <w:p>
            <w:r>
              <w:rPr>
                <w:b/>
                <w:bCs/>
                <w:sz w:val="20"/>
                <w:szCs w:val="20"/>
              </w:rPr>
              <w:t xml:space="preserve">UDL</w:t>
            </w:r>
          </w:p>
        </w:tc>
      </w:tr>
      <w:tr>
        <w:tc>
          <w:tcPr>
            <w:tcW w:type="dxa" w:w="2000"/>
            <w:tcMar>
              <w:top w:type="dxa" w:w="100"/>
              <w:left w:type="dxa" w:w="120"/>
              <w:bottom w:type="dxa" w:w="100"/>
              <w:right w:type="dxa" w:w="120"/>
            </w:tcMar>
          </w:tcPr>
          <w:p>
            <w:r>
              <w:rPr>
                <w:sz w:val="20"/>
                <w:szCs w:val="20"/>
              </w:rPr>
              <w:t xml:space="preserve">Operates at the level of</w:t>
            </w:r>
          </w:p>
        </w:tc>
        <w:tc>
          <w:tcPr>
            <w:tcW w:type="dxa" w:w="3700"/>
            <w:tcMar>
              <w:top w:type="dxa" w:w="100"/>
              <w:left w:type="dxa" w:w="120"/>
              <w:bottom w:type="dxa" w:w="100"/>
              <w:right w:type="dxa" w:w="120"/>
            </w:tcMar>
          </w:tcPr>
          <w:p>
            <w:r>
              <w:rPr>
                <w:sz w:val="20"/>
                <w:szCs w:val="20"/>
              </w:rPr>
              <w:t xml:space="preserve">The individual assignment</w:t>
            </w:r>
          </w:p>
        </w:tc>
        <w:tc>
          <w:tcPr>
            <w:tcW w:type="dxa" w:w="3700"/>
            <w:tcMar>
              <w:top w:type="dxa" w:w="100"/>
              <w:left w:type="dxa" w:w="120"/>
              <w:bottom w:type="dxa" w:w="100"/>
              <w:right w:type="dxa" w:w="120"/>
            </w:tcMar>
          </w:tcPr>
          <w:p>
            <w:r>
              <w:rPr>
                <w:sz w:val="20"/>
                <w:szCs w:val="20"/>
              </w:rPr>
              <w:t xml:space="preserve">The whole course architecture</w:t>
            </w:r>
          </w:p>
        </w:tc>
      </w:tr>
      <w:tr>
        <w:tc>
          <w:tcPr>
            <w:tcW w:type="dxa" w:w="2000"/>
            <w:tcMar>
              <w:top w:type="dxa" w:w="100"/>
              <w:left w:type="dxa" w:w="120"/>
              <w:bottom w:type="dxa" w:w="100"/>
              <w:right w:type="dxa" w:w="120"/>
            </w:tcMar>
          </w:tcPr>
          <w:p>
            <w:r>
              <w:rPr>
                <w:sz w:val="20"/>
                <w:szCs w:val="20"/>
              </w:rPr>
              <w:t xml:space="preserve">Core question</w:t>
            </w:r>
          </w:p>
        </w:tc>
        <w:tc>
          <w:tcPr>
            <w:tcW w:type="dxa" w:w="3700"/>
            <w:tcMar>
              <w:top w:type="dxa" w:w="100"/>
              <w:left w:type="dxa" w:w="120"/>
              <w:bottom w:type="dxa" w:w="100"/>
              <w:right w:type="dxa" w:w="120"/>
            </w:tcMar>
          </w:tcPr>
          <w:p>
            <w:r>
              <w:rPr>
                <w:sz w:val="20"/>
                <w:szCs w:val="20"/>
              </w:rPr>
              <w:t xml:space="preserve">Why am I doing this, and what does success look like?</w:t>
            </w:r>
          </w:p>
        </w:tc>
        <w:tc>
          <w:tcPr>
            <w:tcW w:type="dxa" w:w="3700"/>
            <w:tcMar>
              <w:top w:type="dxa" w:w="100"/>
              <w:left w:type="dxa" w:w="120"/>
              <w:bottom w:type="dxa" w:w="100"/>
              <w:right w:type="dxa" w:w="120"/>
            </w:tcMar>
          </w:tcPr>
          <w:p>
            <w:r>
              <w:rPr>
                <w:sz w:val="20"/>
                <w:szCs w:val="20"/>
              </w:rPr>
              <w:t xml:space="preserve">Can every student actually access and engage with this?</w:t>
            </w:r>
          </w:p>
        </w:tc>
      </w:tr>
      <w:tr>
        <w:tc>
          <w:tcPr>
            <w:tcW w:type="dxa" w:w="2000"/>
            <w:tcMar>
              <w:top w:type="dxa" w:w="100"/>
              <w:left w:type="dxa" w:w="120"/>
              <w:bottom w:type="dxa" w:w="100"/>
              <w:right w:type="dxa" w:w="120"/>
            </w:tcMar>
          </w:tcPr>
          <w:p>
            <w:r>
              <w:rPr>
                <w:sz w:val="20"/>
                <w:szCs w:val="20"/>
              </w:rPr>
              <w:t xml:space="preserve">Assessment implication</w:t>
            </w:r>
          </w:p>
        </w:tc>
        <w:tc>
          <w:tcPr>
            <w:tcW w:type="dxa" w:w="3700"/>
            <w:tcMar>
              <w:top w:type="dxa" w:w="100"/>
              <w:left w:type="dxa" w:w="120"/>
              <w:bottom w:type="dxa" w:w="100"/>
              <w:right w:type="dxa" w:w="120"/>
            </w:tcMar>
          </w:tcPr>
          <w:p>
            <w:r>
              <w:rPr>
                <w:sz w:val="20"/>
                <w:szCs w:val="20"/>
              </w:rPr>
              <w:t xml:space="preserve">Criteria must be explicit and student-facing before submission</w:t>
            </w:r>
          </w:p>
        </w:tc>
        <w:tc>
          <w:tcPr>
            <w:tcW w:type="dxa" w:w="3700"/>
            <w:tcMar>
              <w:top w:type="dxa" w:w="100"/>
              <w:left w:type="dxa" w:w="120"/>
              <w:bottom w:type="dxa" w:w="100"/>
              <w:right w:type="dxa" w:w="120"/>
            </w:tcMar>
          </w:tcPr>
          <w:p>
            <w:r>
              <w:rPr>
                <w:sz w:val="20"/>
                <w:szCs w:val="20"/>
              </w:rPr>
              <w:t xml:space="preserve">Objective must be separable from the format used to demonstrate it</w:t>
            </w:r>
          </w:p>
        </w:tc>
      </w:tr>
    </w:tbl>
    <w:p>
      <w:pPr>
        <w:spacing w:after="240"/>
      </w:pPr>
    </w:p>
    <w:p>
      <w:pPr>
        <w:spacing w:after="160"/>
      </w:pPr>
      <w:r>
        <w:rPr>
          <w:sz w:val="22"/>
          <w:szCs w:val="22"/>
        </w:rPr>
        <w:t xml:space="preserve">Together they reframe assessment from something that happens to a student after the fact (assessment of learning) toward something a student can actively use while doing the work (assessment for learning) — because they already know what they're being asked to do, why, and what "good" looks like before they start.</w:t>
      </w:r>
    </w:p>
    <w:p>
      <w:pPr>
        <w:pStyle w:val="Heading1"/>
        <w:spacing w:after="140" w:before="320"/>
      </w:pPr>
      <w:r>
        <w:t xml:space="preserve">Proposed tool addition: a two-pass content check</w:t>
      </w:r>
    </w:p>
    <w:p>
      <w:pPr>
        <w:spacing w:after="160"/>
      </w:pPr>
      <w:r>
        <w:rPr>
          <w:sz w:val="22"/>
          <w:szCs w:val="22"/>
        </w:rPr>
        <w:t xml:space="preserve">Layered on top of the structural transfer your tool already does, each uploaded assignment could be run through:</w:t>
      </w:r>
    </w:p>
    <w:p>
      <w:pPr>
        <w:pStyle w:val="ListParagraph"/>
        <w:numPr>
          <w:ilvl w:val="0"/>
          <w:numId w:val="2"/>
        </w:numPr>
        <w:spacing w:after="90"/>
      </w:pPr>
      <w:r>
        <w:rPr>
          <w:sz w:val="22"/>
          <w:szCs w:val="22"/>
        </w:rPr>
        <w:t xml:space="preserve">TILT pass — does this assignment state purpose, task, and criteria explicitly, in student-facing language, visible before the student begins? Or does it only carry a due date and a grade weight?</w:t>
      </w:r>
    </w:p>
    <w:p>
      <w:pPr>
        <w:pStyle w:val="ListParagraph"/>
        <w:numPr>
          <w:ilvl w:val="0"/>
          <w:numId w:val="2"/>
        </w:numPr>
        <w:spacing w:after="90"/>
      </w:pPr>
      <w:r>
        <w:rPr>
          <w:sz w:val="22"/>
          <w:szCs w:val="22"/>
        </w:rPr>
        <w:t xml:space="preserve">UDL pass — is the learning objective separable from its format? Is there more than one way in for students to engage with or demonstrate the material?</w:t>
      </w:r>
    </w:p>
    <w:p>
      <w:pPr>
        <w:spacing w:after="160"/>
      </w:pPr>
      <w:r>
        <w:rPr>
          <w:sz w:val="22"/>
          <w:szCs w:val="22"/>
        </w:rPr>
        <w:t xml:space="preserve">This would give instructors design feedback on course structure and clarity, not a grade or a judgment of content quality — a companion pedagogical layer to the structural/technical work your tool already handles.</w:t>
      </w:r>
    </w:p>
    <w:p>
      <w:pPr>
        <w:pStyle w:val="Heading1"/>
        <w:spacing w:after="140" w:before="320"/>
      </w:pPr>
      <w:r>
        <w:t xml:space="preserve">A related, more sensitive extension: AI-assisted task-compliance checking</w:t>
      </w:r>
    </w:p>
    <w:p>
      <w:pPr>
        <w:spacing w:after="160"/>
      </w:pPr>
      <w:r>
        <w:rPr>
          <w:sz w:val="22"/>
          <w:szCs w:val="22"/>
        </w:rPr>
        <w:t xml:space="preserve">A further idea worth flagging, with real caveats: could a version of this also check whether student submissions met the stated task and criteria (not full quality grading), keeping all data inside D2L rather than routing it through an external service?</w:t>
      </w:r>
    </w:p>
    <w:p>
      <w:pPr>
        <w:spacing w:after="160"/>
      </w:pPr>
      <w:r>
        <w:rPr>
          <w:sz w:val="22"/>
          <w:szCs w:val="22"/>
        </w:rPr>
        <w:t xml:space="preserve">The research on this is active and mixed, and worth reading before building anything here:</w:t>
      </w:r>
    </w:p>
    <w:p>
      <w:pPr>
        <w:pStyle w:val="ListParagraph"/>
        <w:numPr>
          <w:ilvl w:val="0"/>
          <w:numId w:val="2"/>
        </w:numPr>
        <w:spacing w:after="90"/>
      </w:pPr>
      <w:r>
        <w:rPr>
          <w:sz w:val="22"/>
          <w:szCs w:val="22"/>
        </w:rPr>
        <w:t xml:space="preserve">Rubric quality is consistently found to be the single biggest factor in AI grading reliability — which is exactly why the TILT layer matters as a prerequisite: vague criteria produce unreliable AI checks the same way they produce unreliable human grading.</w:t>
      </w:r>
    </w:p>
    <w:p>
      <w:pPr>
        <w:pStyle w:val="ListParagraph"/>
        <w:numPr>
          <w:ilvl w:val="0"/>
          <w:numId w:val="2"/>
        </w:numPr>
        <w:spacing w:after="90"/>
      </w:pPr>
      <w:r>
        <w:rPr>
          <w:sz w:val="22"/>
          <w:szCs w:val="22"/>
        </w:rPr>
        <w:t xml:space="preserve">Checking task/criteria compliance is a substantially safer claim than full quality grading. Auto-grading tools handle structured, objective tasks well; open-ended evaluation is where the ethical and accuracy concerns concentrate.</w:t>
      </w:r>
    </w:p>
    <w:p>
      <w:pPr>
        <w:pStyle w:val="ListParagraph"/>
        <w:numPr>
          <w:ilvl w:val="0"/>
          <w:numId w:val="2"/>
        </w:numPr>
        <w:spacing w:after="90"/>
      </w:pPr>
      <w:r>
        <w:rPr>
          <w:sz w:val="22"/>
          <w:szCs w:val="22"/>
        </w:rPr>
        <w:t xml:space="preserve">A May 2026 study found AI grading systems were oversensitive to length and vocabulary regardless of argument quality, and matched human grades only about half the time — with the largest errors at the extremes (best and worst submissions). This argues for staying in the "did they meet the task" lane, not drifting into automated grading.</w:t>
      </w:r>
    </w:p>
    <w:p>
      <w:pPr>
        <w:pStyle w:val="ListParagraph"/>
        <w:numPr>
          <w:ilvl w:val="0"/>
          <w:numId w:val="2"/>
        </w:numPr>
        <w:spacing w:after="90"/>
      </w:pPr>
      <w:r>
        <w:rPr>
          <w:sz w:val="22"/>
          <w:szCs w:val="22"/>
        </w:rPr>
        <w:t xml:space="preserve">Transparency and human oversight are becoming a compliance expectation, not an optional nicety — the EU AI Act classifies educational assessment AI as high-risk as of August 2026, requiring explainability and mandatory human review. Any tool we build should surface what it flagged and why, with the instructor making the final call.</w:t>
      </w:r>
    </w:p>
    <w:p>
      <w:pPr>
        <w:pStyle w:val="ListParagraph"/>
        <w:numPr>
          <w:ilvl w:val="0"/>
          <w:numId w:val="2"/>
        </w:numPr>
        <w:spacing w:after="90"/>
      </w:pPr>
      <w:r>
        <w:rPr>
          <w:sz w:val="22"/>
          <w:szCs w:val="22"/>
        </w:rPr>
        <w:t xml:space="preserve">Faculty sentiment is genuinely split: large majorities worry about overreliance and diminished critical thinking, while similarly large majorities also report cautious-to-enthusiastic engagement with AI tools already. A transparent, criteria-based, human-in-the-loop tool is built for that cautious middle — not for the extremes on either side.</w:t>
      </w:r>
    </w:p>
    <w:p>
      <w:pPr>
        <w:pStyle w:val="Heading1"/>
        <w:spacing w:after="140" w:before="320"/>
      </w:pPr>
      <w:r>
        <w:t xml:space="preserve">References</w:t>
      </w:r>
    </w:p>
    <w:p>
      <w:pPr>
        <w:spacing w:after="140"/>
        <w:ind w:left="260" w:hanging="260"/>
      </w:pPr>
      <w:r>
        <w:rPr>
          <w:sz w:val="20"/>
          <w:szCs w:val="20"/>
        </w:rPr>
        <w:t xml:space="preserve">TILT Higher Ed. “About TILT.” </w:t>
      </w:r>
      <w:hyperlink w:history="1" r:id="rIdzey1ox3xzjfas17clxsqj">
        <w:r>
          <w:rPr>
            <w:rStyle w:val="Hyperlink"/>
            <w:sz w:val="20"/>
            <w:szCs w:val="20"/>
          </w:rPr>
          <w:t xml:space="preserve">https://www.tilthighered.com/about/about-tilt</w:t>
        </w:r>
      </w:hyperlink>
    </w:p>
    <w:p>
      <w:pPr>
        <w:spacing w:after="140"/>
        <w:ind w:left="260" w:hanging="260"/>
      </w:pPr>
      <w:r>
        <w:rPr>
          <w:sz w:val="20"/>
          <w:szCs w:val="20"/>
        </w:rPr>
        <w:t xml:space="preserve">TILT Higher Ed. “Examples and Resources.” </w:t>
      </w:r>
      <w:hyperlink w:history="1" r:id="rId0dmjglsrvoum8lcxgu2jb">
        <w:r>
          <w:rPr>
            <w:rStyle w:val="Hyperlink"/>
            <w:sz w:val="20"/>
            <w:szCs w:val="20"/>
          </w:rPr>
          <w:t xml:space="preserve">https://www.tilthighered.com/resources</w:t>
        </w:r>
      </w:hyperlink>
    </w:p>
    <w:p>
      <w:pPr>
        <w:spacing w:after="140"/>
        <w:ind w:left="260" w:hanging="260"/>
      </w:pPr>
      <w:r>
        <w:rPr>
          <w:sz w:val="20"/>
          <w:szCs w:val="20"/>
        </w:rPr>
        <w:t xml:space="preserve">Winkelmes, M.A., Bernacki, M., Butler, J., Zochowski, M., Golanics, J., Harriss Weavill, K. (2016). “A Teaching Intervention that Increases Underserved College Students’ Success.” AAC&amp;U Peer Review, 18(1/2). </w:t>
      </w:r>
      <w:hyperlink w:history="1" r:id="rIdqra6moifpvf4l-0h5cgd-">
        <w:r>
          <w:rPr>
            <w:rStyle w:val="Hyperlink"/>
            <w:sz w:val="20"/>
            <w:szCs w:val="20"/>
          </w:rPr>
          <w:t xml:space="preserve">https://www.aacu.org/peerreview/2016/winter-spring/Winkelmes</w:t>
        </w:r>
      </w:hyperlink>
    </w:p>
    <w:p>
      <w:pPr>
        <w:spacing w:after="140"/>
        <w:ind w:left="260" w:hanging="260"/>
      </w:pPr>
      <w:r>
        <w:rPr>
          <w:sz w:val="20"/>
          <w:szCs w:val="20"/>
        </w:rPr>
        <w:t xml:space="preserve">Winkelmes, M.A., Boye, A., &amp; Tapp, S. (Eds.) (2019). Transparent Design in Higher Education Teaching and Leadership. Stylus Publishing. </w:t>
      </w:r>
      <w:hyperlink w:history="1" r:id="rIdubrtpzwojxj9d7rqx6ung">
        <w:r>
          <w:rPr>
            <w:rStyle w:val="Hyperlink"/>
            <w:sz w:val="20"/>
            <w:szCs w:val="20"/>
          </w:rPr>
          <w:t xml:space="preserve">https://www.routledge.com/Transparent-Design-in-Higher-Education-Teaching-and-Leadership-A-Guide-to-Implementing-the-Transparency-Framework-Institution-Wide-to-Improv/Winkelmes-Boye-Tapp/p/book/9781620368237</w:t>
        </w:r>
      </w:hyperlink>
    </w:p>
    <w:p>
      <w:pPr>
        <w:spacing w:after="140"/>
        <w:ind w:left="260" w:hanging="260"/>
      </w:pPr>
      <w:r>
        <w:rPr>
          <w:sz w:val="20"/>
          <w:szCs w:val="20"/>
        </w:rPr>
        <w:t xml:space="preserve">Marshall University Design Center. “Using the TILT Framework.” </w:t>
      </w:r>
      <w:hyperlink w:history="1" r:id="rIdxgviejf-fyfbfdnjfzpec">
        <w:r>
          <w:rPr>
            <w:rStyle w:val="Hyperlink"/>
            <w:sz w:val="20"/>
            <w:szCs w:val="20"/>
          </w:rPr>
          <w:t xml:space="preserve">https://www.marshall.edu/design-center/using-the-tilt-framework/</w:t>
        </w:r>
      </w:hyperlink>
    </w:p>
    <w:p>
      <w:pPr>
        <w:spacing w:after="140"/>
        <w:ind w:left="260" w:hanging="260"/>
      </w:pPr>
      <w:r>
        <w:rPr>
          <w:sz w:val="20"/>
          <w:szCs w:val="20"/>
        </w:rPr>
        <w:t xml:space="preserve">CAST. “UDL Guidelines 3.0.” </w:t>
      </w:r>
      <w:hyperlink w:history="1" r:id="rIdjdyxir8jeomo7lx_qt7vy">
        <w:r>
          <w:rPr>
            <w:rStyle w:val="Hyperlink"/>
            <w:sz w:val="20"/>
            <w:szCs w:val="20"/>
          </w:rPr>
          <w:t xml:space="preserve">https://udlguidelines.cast.org/</w:t>
        </w:r>
      </w:hyperlink>
    </w:p>
    <w:p>
      <w:pPr>
        <w:spacing w:after="140"/>
        <w:ind w:left="260" w:hanging="260"/>
      </w:pPr>
      <w:r>
        <w:rPr>
          <w:sz w:val="20"/>
          <w:szCs w:val="20"/>
        </w:rPr>
        <w:t xml:space="preserve">CAST. “What We Do: Universal Design for Learning.” </w:t>
      </w:r>
      <w:hyperlink w:history="1" r:id="rIdal73wrr46wvwihlpl7zdo">
        <w:r>
          <w:rPr>
            <w:rStyle w:val="Hyperlink"/>
            <w:sz w:val="20"/>
            <w:szCs w:val="20"/>
          </w:rPr>
          <w:t xml:space="preserve">https://www.cast.org/what-we-do/universal-design-for-learning/</w:t>
        </w:r>
      </w:hyperlink>
    </w:p>
    <w:p>
      <w:pPr>
        <w:spacing w:after="140"/>
        <w:ind w:left="260" w:hanging="260"/>
      </w:pPr>
      <w:r>
        <w:rPr>
          <w:sz w:val="20"/>
          <w:szCs w:val="20"/>
        </w:rPr>
        <w:t xml:space="preserve">AVID Open Access. “CAST Releases Universal Design for Learning Guidelines 3.0.” </w:t>
      </w:r>
      <w:hyperlink w:history="1" r:id="rIditchyim1kjbeexwgkahv7">
        <w:r>
          <w:rPr>
            <w:rStyle w:val="Hyperlink"/>
            <w:sz w:val="20"/>
            <w:szCs w:val="20"/>
          </w:rPr>
          <w:t xml:space="preserve">https://avidopenaccess.org/resource/cast-releases-universal-design-for-learning-guidelines-3-0/</w:t>
        </w:r>
      </w:hyperlink>
    </w:p>
    <w:p>
      <w:pPr>
        <w:spacing w:after="140"/>
        <w:ind w:left="260" w:hanging="260"/>
      </w:pPr>
      <w:r>
        <w:rPr>
          <w:sz w:val="20"/>
          <w:szCs w:val="20"/>
        </w:rPr>
        <w:t xml:space="preserve">Eduface. “AI Grading Tools for Higher Education: 2026 Guide.” </w:t>
      </w:r>
      <w:hyperlink w:history="1" r:id="rIdsrsbjxrxljrvdica4_3c8">
        <w:r>
          <w:rPr>
            <w:rStyle w:val="Hyperlink"/>
            <w:sz w:val="20"/>
            <w:szCs w:val="20"/>
          </w:rPr>
          <w:t xml:space="preserve">https://eduface.me/resources/blog/ai-grading-tools-higher-education-guide</w:t>
        </w:r>
      </w:hyperlink>
    </w:p>
    <w:p>
      <w:pPr>
        <w:spacing w:after="140"/>
        <w:ind w:left="260" w:hanging="260"/>
      </w:pPr>
      <w:r>
        <w:rPr>
          <w:sz w:val="20"/>
          <w:szCs w:val="20"/>
        </w:rPr>
        <w:t xml:space="preserve">Ohio State ASC Office of Distance Education. “AI and Auto-Grading in Higher Education: Capabilities, Ethics, and the Evolving Role of Educators.” </w:t>
      </w:r>
      <w:hyperlink w:history="1" r:id="rIdpdrwj5feetsco3jwzkjso">
        <w:r>
          <w:rPr>
            <w:rStyle w:val="Hyperlink"/>
            <w:sz w:val="20"/>
            <w:szCs w:val="20"/>
          </w:rPr>
          <w:t xml:space="preserve">https://ascode.osu.edu/news/ai-and-auto-grading-higher-education-capabilities-ethics-and-evolving-role-educators</w:t>
        </w:r>
      </w:hyperlink>
    </w:p>
    <w:p>
      <w:pPr>
        <w:spacing w:after="140"/>
        <w:ind w:left="260" w:hanging="260"/>
      </w:pPr>
      <w:r>
        <w:rPr>
          <w:sz w:val="20"/>
          <w:szCs w:val="20"/>
        </w:rPr>
        <w:t xml:space="preserve">Northern Illinois University CITL. “The Digital Red Pen: Efficiency, Ethics, and AI-Assisted Grading.” </w:t>
      </w:r>
      <w:hyperlink w:history="1" r:id="rIde-aywsfrwby0gea5lqhj3">
        <w:r>
          <w:rPr>
            <w:rStyle w:val="Hyperlink"/>
            <w:sz w:val="20"/>
            <w:szCs w:val="20"/>
          </w:rPr>
          <w:t xml:space="preserve">https://citl.news.niu.edu/2024/10/29/the-digital-red-pen-efficiency-ethics-and-ai-assisted-grading/</w:t>
        </w:r>
      </w:hyperlink>
    </w:p>
    <w:p>
      <w:pPr>
        <w:spacing w:after="140"/>
        <w:ind w:left="260" w:hanging="260"/>
      </w:pPr>
      <w:r>
        <w:rPr>
          <w:sz w:val="20"/>
          <w:szCs w:val="20"/>
        </w:rPr>
        <w:t xml:space="preserve">Saunders, K. “Why Higher Education’s AI Backlash Reveals Some of Its Deepest Cracks” (citing AAC&amp;U/Elon Jan. 2026 survey and EDUCAUSE Jan. 2026 report). </w:t>
      </w:r>
      <w:hyperlink w:history="1" r:id="rIdkz2ojrntizhktxozwzn9h">
        <w:r>
          <w:rPr>
            <w:rStyle w:val="Hyperlink"/>
            <w:sz w:val="20"/>
            <w:szCs w:val="20"/>
          </w:rPr>
          <w:t xml:space="preserve">https://kylesaunders.substack.com/p/why-higher-educations-ai-backlash</w:t>
        </w:r>
      </w:hyperlink>
    </w:p>
    <w:p>
      <w:pPr>
        <w:spacing w:after="40" w:before="280"/>
      </w:pPr>
    </w:p>
    <w:p>
      <w:pPr>
        <w:pBdr>
          <w:top w:val="single" w:color="CCCCCC" w:sz="6" w:space="6"/>
        </w:pBdr>
        <w:spacing w:after="100" w:before="100"/>
      </w:pPr>
      <w:r>
        <w:rPr>
          <w:b/>
          <w:bCs/>
          <w:color w:val="888888"/>
          <w:sz w:val="20"/>
          <w:szCs w:val="20"/>
        </w:rPr>
        <w:t xml:space="preserve">Drafting note</w:t>
      </w:r>
    </w:p>
    <w:p>
      <w:pPr>
        <w:spacing w:after="160"/>
      </w:pPr>
      <w:r>
        <w:rPr>
          <w:i/>
          <w:iCs/>
          <w:sz w:val="18"/>
          <w:szCs w:val="18"/>
        </w:rPr>
        <w:t xml:space="preserve">This document was drafted by Claude (Anthropic) at the instructor's direction, synthesizing a working conversation about ambiguity, transparency, and AI-assisted assessment, plus targeted web research on TILT, UDL, and current AI-grading scholarship (sources above). Content, framing, and the proposed tool extension were directed by the instructor; verify current best practice and any AI-assessment regulatory requirements before implementation.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ey1ox3xzjfas17clxsqj" Type="http://schemas.openxmlformats.org/officeDocument/2006/relationships/hyperlink" Target="https://www.tilthighered.com/about/about-tilt" TargetMode="External"/><Relationship Id="rId0dmjglsrvoum8lcxgu2jb" Type="http://schemas.openxmlformats.org/officeDocument/2006/relationships/hyperlink" Target="https://www.tilthighered.com/resources" TargetMode="External"/><Relationship Id="rIdqra6moifpvf4l-0h5cgd-" Type="http://schemas.openxmlformats.org/officeDocument/2006/relationships/hyperlink" Target="https://www.aacu.org/peerreview/2016/winter-spring/Winkelmes" TargetMode="External"/><Relationship Id="rIdubrtpzwojxj9d7rqx6ung" Type="http://schemas.openxmlformats.org/officeDocument/2006/relationships/hyperlink" Target="https://www.routledge.com/Transparent-Design-in-Higher-Education-Teaching-and-Leadership-A-Guide-to-Implementing-the-Transparency-Framework-Institution-Wide-to-Improv/Winkelmes-Boye-Tapp/p/book/9781620368237" TargetMode="External"/><Relationship Id="rIdxgviejf-fyfbfdnjfzpec" Type="http://schemas.openxmlformats.org/officeDocument/2006/relationships/hyperlink" Target="https://www.marshall.edu/design-center/using-the-tilt-framework/" TargetMode="External"/><Relationship Id="rIdjdyxir8jeomo7lx_qt7vy" Type="http://schemas.openxmlformats.org/officeDocument/2006/relationships/hyperlink" Target="https://udlguidelines.cast.org/" TargetMode="External"/><Relationship Id="rIdal73wrr46wvwihlpl7zdo" Type="http://schemas.openxmlformats.org/officeDocument/2006/relationships/hyperlink" Target="https://www.cast.org/what-we-do/universal-design-for-learning/" TargetMode="External"/><Relationship Id="rIditchyim1kjbeexwgkahv7" Type="http://schemas.openxmlformats.org/officeDocument/2006/relationships/hyperlink" Target="https://avidopenaccess.org/resource/cast-releases-universal-design-for-learning-guidelines-3-0/" TargetMode="External"/><Relationship Id="rIdsrsbjxrxljrvdica4_3c8" Type="http://schemas.openxmlformats.org/officeDocument/2006/relationships/hyperlink" Target="https://eduface.me/resources/blog/ai-grading-tools-higher-education-guide" TargetMode="External"/><Relationship Id="rIdpdrwj5feetsco3jwzkjso" Type="http://schemas.openxmlformats.org/officeDocument/2006/relationships/hyperlink" Target="https://ascode.osu.edu/news/ai-and-auto-grading-higher-education-capabilities-ethics-and-evolving-role-educators" TargetMode="External"/><Relationship Id="rIde-aywsfrwby0gea5lqhj3" Type="http://schemas.openxmlformats.org/officeDocument/2006/relationships/hyperlink" Target="https://citl.news.niu.edu/2024/10/29/the-digital-red-pen-efficiency-ethics-and-ai-assisted-grading/" TargetMode="External"/><Relationship Id="rIdkz2ojrntizhktxozwzn9h" Type="http://schemas.openxmlformats.org/officeDocument/2006/relationships/hyperlink" Target="https://kylesaunders.substack.com/p/why-higher-educations-ai-backlash"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2026-08-30T12:19:34.898Z</dcterms:created>
  <dcterms:modified xsi:type="dcterms:W3CDTF">2026-08-30T12:19:34.898Z</dcterms:modified>
</cp:coreProperties>
</file>

<file path=docProps/custom.xml><?xml version="1.0" encoding="utf-8"?>
<Properties xmlns="http://schemas.openxmlformats.org/officeDocument/2006/custom-properties" xmlns:vt="http://schemas.openxmlformats.org/officeDocument/2006/docPropsVTypes"/>
</file>