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CAPA MANAGEMENT BUNDLE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4"/>
                <w:szCs w:val="24"/>
              </w:rPr>
              <w:t xml:space="preserve">Complete Corrective &amp; Preventive Action System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ISO 13485 | FDA 21 CFR 820.100 | EU MDR 2017/745</w:t>
            </w:r>
          </w:p>
        </w:tc>
      </w:tr>
    </w:tbl>
    <w:p>
      <w:pPr>
        <w:spacing w:after="300"/>
      </w:pPr>
    </w:p>
    <w:p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Thank You for Your Purchase!</w:t>
      </w:r>
    </w:p>
    <w:p>
      <w:pPr>
        <w:spacing w:before="150" w:after="200"/>
      </w:pPr>
      <w:r>
        <w:rPr>
          <w:rFonts w:ascii="Arial" w:cs="Arial" w:eastAsia="Arial" w:hAnsi="Arial"/>
          <w:sz w:val="22"/>
          <w:szCs w:val="22"/>
        </w:rPr>
        <w:t xml:space="preserve">This bundle provides you with a complete, audit-ready CAPA system. All templates are designed to meet the requirements of ISO 13485:2016, FDA 21 CFR 820.100, and EU MDR 2017/745. Simply customize the templates with your company information and you're ready to go.</w:t>
      </w:r>
    </w:p>
    <w:p>
      <w:pPr>
        <w:shd w:fill="1F4E79" w:val="clear"/>
        <w:spacing w:before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What's Included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CAPA-Form.docx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Interactive form with checkboxes for documenting individual CAPAs from initiation to closure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Every new CAPA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CAPA-Example.pdf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Fully completed example showing a realistic MedTech scenario with proper 5-Why analysis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Training &amp; reference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CAPA-Log.xlsx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Tracking register with automated dashboard, KPIs, and status monitoring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Ongoing tracking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CAPA-SOP.docx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Operating Procedure defining your CAPA process, roles, and timelines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QMS documentation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RCA-Toolkit.xlsx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Root Cause Analysis tools: 5-Why template, Fishbone diagram, Pareto analysis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During investigation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CAPA-QuickRef.docx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One-page cheat sheet with process flow, timelines, and golden rules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Print &amp; post on wall</w:t>
            </w:r>
          </w:p>
        </w:tc>
      </w:tr>
    </w:tbl>
    <w:p>
      <w:pPr>
        <w:spacing w:after="300"/>
      </w:pPr>
    </w:p>
    <w:p>
      <w:pPr>
        <w:shd w:fill="1F4E79" w:val="clea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Quick Start Guide</w:t>
      </w:r>
    </w:p>
    <w:p>
      <w:pPr>
        <w:spacing w:after="150"/>
      </w:pPr>
    </w:p>
    <w:p>
      <w:pPr>
        <w:spacing w:before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Customize the SOP</w:t>
      </w:r>
    </w:p>
    <w:p>
      <w:pPr>
        <w:spacing w:after="150"/>
        <w:ind w:left="400"/>
      </w:pPr>
      <w:r>
        <w:rPr>
          <w:rFonts w:ascii="Arial" w:cs="Arial" w:eastAsia="Arial" w:hAnsi="Arial"/>
          <w:sz w:val="20"/>
          <w:szCs w:val="20"/>
        </w:rPr>
        <w:t xml:space="preserve">Open CAPA-SOP.docx and replace [COMPANY NAME] with your company. Review timelines and responsibilities – adjust if needed. Get management approval.</w:t>
      </w:r>
    </w:p>
    <w:p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Set Up Your Tracking Log</w:t>
      </w:r>
    </w:p>
    <w:p>
      <w:pPr>
        <w:spacing w:after="150"/>
        <w:ind w:left="400"/>
      </w:pPr>
      <w:r>
        <w:rPr>
          <w:rFonts w:ascii="Arial" w:cs="Arial" w:eastAsia="Arial" w:hAnsi="Arial"/>
          <w:sz w:val="20"/>
          <w:szCs w:val="20"/>
        </w:rPr>
        <w:t xml:space="preserve">Open CAPA-Log.xlsx. Delete the sample data rows (keep headers). Save to your QMS folder. The dashboard will update automatically as you add CAPAs.</w:t>
      </w:r>
    </w:p>
    <w:p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Train Your Team</w:t>
      </w:r>
    </w:p>
    <w:p>
      <w:pPr>
        <w:spacing w:after="150"/>
        <w:ind w:left="400"/>
      </w:pPr>
      <w:r>
        <w:rPr>
          <w:rFonts w:ascii="Arial" w:cs="Arial" w:eastAsia="Arial" w:hAnsi="Arial"/>
          <w:sz w:val="20"/>
          <w:szCs w:val="20"/>
        </w:rPr>
        <w:t xml:space="preserve">Use CAPA-Example.pdf to show what a properly completed CAPA looks like. Print CAPA-QuickRef and post it in your quality area. Walk through the 5-step process.</w:t>
      </w:r>
    </w:p>
    <w:p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Start Using!</w:t>
      </w:r>
    </w:p>
    <w:p>
      <w:pPr>
        <w:spacing w:after="200"/>
        <w:ind w:left="400"/>
      </w:pPr>
      <w:r>
        <w:rPr>
          <w:rFonts w:ascii="Arial" w:cs="Arial" w:eastAsia="Arial" w:hAnsi="Arial"/>
          <w:sz w:val="20"/>
          <w:szCs w:val="20"/>
        </w:rPr>
        <w:t xml:space="preserve">When a CAPA is needed, copy a fresh CAPA-Form.docx, assign a CAPA number, and follow the process. Use the RCA-Toolkit for investigation. Log everything in CAPA-Log.xlsx.</w:t>
      </w:r>
    </w:p>
    <w:p>
      <w:pPr>
        <w:shd w:fill="1F4E79" w:val="clea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How It All Fits Together</w:t>
      </w:r>
    </w:p>
    <w:p>
      <w:pPr>
        <w:spacing w:after="15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 Identified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4"/>
                <w:szCs w:val="24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CAPA-Form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→ Log in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CAPA-Log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4"/>
                <w:szCs w:val="24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Investigate using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RCA-Toolkit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(reference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CAPA-Example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4"/>
                <w:szCs w:val="24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&amp; Verify → Update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CAPA-Log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4"/>
                <w:szCs w:val="24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Close CAPA → Dashboard updates automatically</w:t>
            </w:r>
          </w:p>
        </w:tc>
      </w:tr>
    </w:tbl>
    <w:p>
      <w:pPr>
        <w:spacing w:after="300"/>
      </w:pPr>
    </w:p>
    <w:p>
      <w:pPr>
        <w:shd w:fill="1F4E79" w:val="clea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Regulatory Compliance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6100"/>
                <w:sz w:val="22"/>
                <w:szCs w:val="22"/>
              </w:rPr>
              <w:t xml:space="preserve">✓ </w:t>
            </w:r>
            <w:r>
              <w:rPr>
                <w:rFonts w:ascii="Arial" w:cs="Arial" w:eastAsia="Arial" w:hAnsi="Arial"/>
                <w:b/>
                <w:bCs/>
                <w:color w:val="006100"/>
                <w:sz w:val="22"/>
                <w:szCs w:val="22"/>
              </w:rPr>
              <w:t xml:space="preserve">This bundle addresses the requirements of:</w:t>
            </w:r>
          </w:p>
          <w:p>
            <w:pPr>
              <w:spacing w:before="100"/>
              <w:ind w:left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ISO 13485:2016 – Clause 8.5.2 (Corrective Action) &amp; 8.5.3 (Preventive Action)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FDA 21 CFR Part 820.100 – Corrective and Preventive Action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EU MDR 2017/745 – Annex IX, Quality Management System</w:t>
            </w:r>
          </w:p>
          <w:p>
            <w:pPr>
              <w:ind w:left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ISO 14971:2019 – Risk Management integration points</w:t>
            </w:r>
          </w:p>
        </w:tc>
      </w:tr>
    </w:tbl>
    <w:p>
      <w:pPr>
        <w:spacing w:before="150" w:after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Note: These templates provide a framework. You are responsible for ensuring your completed documents meet your specific regulatory requirements and company procedures.</w:t>
      </w:r>
    </w:p>
    <w:p>
      <w:pPr>
        <w:shd w:fill="1F4E79" w:val="clea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Pro Tips</w:t>
      </w:r>
    </w:p>
    <w:p>
      <w:pPr>
        <w:spacing w:after="15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💡 Keep it simple: </w:t>
      </w:r>
      <w:r>
        <w:rPr>
          <w:rFonts w:ascii="Arial" w:cs="Arial" w:eastAsia="Arial" w:hAnsi="Arial"/>
          <w:sz w:val="20"/>
          <w:szCs w:val="20"/>
        </w:rPr>
        <w:t xml:space="preserve">Don't over-document. A clear, concise CAPA is better than a 20-page novel nobody reads.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💡 Root cause matters: </w:t>
      </w:r>
      <w:r>
        <w:rPr>
          <w:rFonts w:ascii="Arial" w:cs="Arial" w:eastAsia="Arial" w:hAnsi="Arial"/>
          <w:sz w:val="20"/>
          <w:szCs w:val="20"/>
        </w:rPr>
        <w:t xml:space="preserve">Spend 80% of your effort on finding the true root cause. The rest follows naturally.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💡 Never accept 'human error': </w:t>
      </w:r>
      <w:r>
        <w:rPr>
          <w:rFonts w:ascii="Arial" w:cs="Arial" w:eastAsia="Arial" w:hAnsi="Arial"/>
          <w:sz w:val="20"/>
          <w:szCs w:val="20"/>
        </w:rPr>
        <w:t xml:space="preserve">Always ask WHY the error occurred. The root cause is the system that allowed it.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💡 Verify before closing: </w:t>
      </w:r>
      <w:r>
        <w:rPr>
          <w:rFonts w:ascii="Arial" w:cs="Arial" w:eastAsia="Arial" w:hAnsi="Arial"/>
          <w:sz w:val="20"/>
          <w:szCs w:val="20"/>
        </w:rPr>
        <w:t xml:space="preserve">Wait 30-90 days and measure results. Closing too early is a common audit finding.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💡 Use the Dashboard: </w:t>
      </w:r>
      <w:r>
        <w:rPr>
          <w:rFonts w:ascii="Arial" w:cs="Arial" w:eastAsia="Arial" w:hAnsi="Arial"/>
          <w:sz w:val="20"/>
          <w:szCs w:val="20"/>
        </w:rPr>
        <w:t xml:space="preserve">Review CAPA metrics in management review. Trends tell you where to focus.</w:t>
      </w:r>
    </w:p>
    <w:p>
      <w:pPr>
        <w:spacing w:after="200"/>
      </w:pPr>
    </w:p>
    <w:p>
      <w:pPr>
        <w:shd w:fill="1F4E79" w:val="clea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Need Help?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QCore Consulting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 offer implementation support, training, and full QMS consulting for medical device companies.</w:t>
            </w:r>
          </w:p>
          <w:p>
            <w:pPr>
              <w:spacing w:before="1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🌐 Website: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qcore-consulting.de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📧 Email: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info@qcore-consulting.de</w:t>
            </w:r>
          </w:p>
          <w:p>
            <w:pPr>
              <w:spacing w:before="15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Services: CAPA System Implementation • Internal Audits • Supplier Qualification • EU MDR Compliance • FDA 510(k) Support</w:t>
            </w:r>
          </w:p>
        </w:tc>
      </w:tr>
    </w:tbl>
    <w:p>
      <w:pPr>
        <w:spacing w:after="300"/>
      </w:pPr>
    </w:p>
    <w:p>
      <w:pPr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Thank you for choosing QCore Consulting.</w:t>
      </w:r>
    </w:p>
    <w:p>
      <w:pPr>
        <w:jc w:val="center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We wish you successful audits and zero repeat CAPAs!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2E75B6"/>
        <w:sz w:val="16"/>
        <w:szCs w:val="16"/>
      </w:rPr>
      <w:t xml:space="preserve">QCore Consulting | qcore-consulting.de | 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2E75B6"/>
        <w:sz w:val="18"/>
        <w:szCs w:val="18"/>
      </w:rPr>
      <w:t xml:space="preserve">QCore CAPA Bundle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2026-01-12T06:07:39.991Z</dcterms:created>
  <dcterms:modified xsi:type="dcterms:W3CDTF">2026-01-12T06:07:39.992Z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