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CAPA QUICK REFERENCE CARD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ISO 13485 | FDA 820.100 | EU MDR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5200"/>
        <w:gridCol w:w="52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shd w:fill="1F4E79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📋 CAPA PROCESS FLOW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BDD7EE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1. INITIATE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Open CAPA, assign #, owner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Classify priority &amp; source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20"/>
                      <w:szCs w:val="20"/>
                    </w:rPr>
                    <w:t xml:space="preserve">▼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EB9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C5700"/>
                      <w:sz w:val="18"/>
                      <w:szCs w:val="18"/>
                    </w:rPr>
                    <w:t xml:space="preserve">2. CONTAIN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Stop the bleeding!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Quarantine, notify, assess scope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20"/>
                      <w:szCs w:val="20"/>
                    </w:rPr>
                    <w:t xml:space="preserve">▼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4B183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3. INVESTIGATE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Gather data &amp; evidence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Root Cause Analysis (5-Why)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20"/>
                      <w:szCs w:val="20"/>
                    </w:rPr>
                    <w:t xml:space="preserve">▼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C6EFCE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6100"/>
                      <w:sz w:val="18"/>
                      <w:szCs w:val="18"/>
                    </w:rPr>
                    <w:t xml:space="preserve">4. CORRECT &amp; PREVENT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Implement actions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Horizontal deployment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20"/>
                      <w:szCs w:val="20"/>
                    </w:rPr>
                    <w:t xml:space="preserve">▼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2E75B6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5. VERIFY &amp; CLOSE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16"/>
                      <w:szCs w:val="16"/>
                    </w:rPr>
                    <w:t xml:space="preserve">• Effectiveness check (30-90 days)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16"/>
                      <w:szCs w:val="16"/>
                    </w:rPr>
                    <w:t xml:space="preserve">• Management Review &amp; closure</w:t>
                  </w:r>
                </w:p>
              </w:tc>
            </w:tr>
          </w:tbl>
          <w:p/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5"/>
              <w:bottom w:type="dxa" w:w="0"/>
              <w:right w:type="dxa" w:w="75"/>
            </w:tcMar>
          </w:tcPr>
          <w:p>
            <w:pPr>
              <w:shd w:fill="1F4E79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⏱️ PRIORITY &amp; TIMELINES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30%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C7C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C0006"/>
                      <w:sz w:val="18"/>
                      <w:szCs w:val="18"/>
                    </w:rPr>
                    <w:t xml:space="preserve">CRITICAL</w:t>
                  </w:r>
                </w:p>
              </w:tc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Patient safety → 30 days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EB9C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C5700"/>
                      <w:sz w:val="18"/>
                      <w:szCs w:val="18"/>
                    </w:rPr>
                    <w:t xml:space="preserve">HIGH</w:t>
                  </w:r>
                </w:p>
              </w:tc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Regulatory/Major → 60 days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BDD7E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MEDIUM</w:t>
                  </w:r>
                </w:p>
              </w:tc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Moderate impact → 90 days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C6EFC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6100"/>
                      <w:sz w:val="18"/>
                      <w:szCs w:val="18"/>
                    </w:rPr>
                    <w:t xml:space="preserve">LOW</w:t>
                  </w:r>
                </w:p>
              </w:tc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Minor/Improvement → 120 days</w:t>
                  </w:r>
                </w:p>
              </w:tc>
            </w:tr>
          </w:tbl>
          <w:p>
            <w:pPr>
              <w:spacing w:after="150"/>
            </w:pPr>
          </w:p>
          <w:p>
            <w:pPr>
              <w:shd w:fill="1F4E79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🔍 5-WHY QUICK GUIDE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Problem: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Wrong label on product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6"/>
                      <w:szCs w:val="16"/>
                    </w:rPr>
                    <w:t xml:space="preserve">Why 1?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Operator selected wrong template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6"/>
                      <w:szCs w:val="16"/>
                    </w:rPr>
                    <w:t xml:space="preserve">Why 2?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Templates have similar names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6"/>
                      <w:szCs w:val="16"/>
                    </w:rPr>
                    <w:t xml:space="preserve">Why 3?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No naming convention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6"/>
                      <w:szCs w:val="16"/>
                    </w:rPr>
                    <w:t xml:space="preserve">Why 4?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Process never standardized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6"/>
                      <w:szCs w:val="16"/>
                    </w:rPr>
                    <w:t xml:space="preserve">Why 5?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No SOP exists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C6EFC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6100"/>
                      <w:sz w:val="16"/>
                      <w:szCs w:val="16"/>
                    </w:rPr>
                    <w:t xml:space="preserve">→ ROOT CAUSE: Missing SOP for template management</w:t>
                  </w:r>
                </w:p>
              </w:tc>
            </w:tr>
          </w:tbl>
          <w:p/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shd w:fill="1F4E79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📥 CAPA SOURCES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Customer Complaint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Internal Audit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External Audit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Nonconformance / NC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PMS / Vigilance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Supplier Issue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Process Deviation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☐ Management Review</w:t>
                  </w:r>
                </w:p>
              </w:tc>
            </w:tr>
          </w:tbl>
          <w:p>
            <w:pPr>
              <w:spacing w:after="150"/>
            </w:pPr>
          </w:p>
          <w:p>
            <w:pPr>
              <w:shd w:fill="1F4E79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⭐ GOLDEN RULES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C7CE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C0006"/>
                      <w:sz w:val="16"/>
                      <w:szCs w:val="16"/>
                    </w:rPr>
                    <w:t xml:space="preserve">✗ "Human error" is NEVER a root cause!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sz w:val="15"/>
                      <w:szCs w:val="15"/>
                    </w:rPr>
                    <w:t xml:space="preserve">   Ask WHY the error occurred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C6EFCE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6100"/>
                      <w:sz w:val="16"/>
                      <w:szCs w:val="16"/>
                    </w:rPr>
                    <w:t xml:space="preserve">✓ Root cause must be ACTIONABLE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sz w:val="15"/>
                      <w:szCs w:val="15"/>
                    </w:rPr>
                    <w:t xml:space="preserve">   You can fix it with a specific action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BDD7EE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✓ Evidence over assumptions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sz w:val="15"/>
                      <w:szCs w:val="15"/>
                    </w:rPr>
                    <w:t xml:space="preserve">   Base conclusions on DATA</w:t>
                  </w:r>
                </w:p>
              </w:tc>
            </w:tr>
            <w:tr>
              <w:tc>
                <w:tcPr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EB9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C5700"/>
                      <w:sz w:val="16"/>
                      <w:szCs w:val="16"/>
                    </w:rPr>
                    <w:t xml:space="preserve">✓ Verify effectiveness BEFORE closing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sz w:val="15"/>
                      <w:szCs w:val="15"/>
                    </w:rPr>
                    <w:t xml:space="preserve">   Wait 30-90 days, measure results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QCore Consulting | qcore-consulting.de | </w:t>
            </w:r>
            <w:r>
              <w:rPr>
                <w:rFonts w:ascii="Arial" w:cs="Arial" w:eastAsia="Arial" w:hAnsi="Arial"/>
                <w:i/>
                <w:iCs/>
                <w:color w:val="F2F2F2"/>
                <w:sz w:val="18"/>
                <w:szCs w:val="18"/>
              </w:rPr>
              <w:t xml:space="preserve">Compliant with ISO 13485:2016 §8.5.2-8.5.3 and FDA 21 CFR 820.100</w:t>
            </w:r>
          </w:p>
        </w:tc>
      </w:tr>
    </w:tbl>
    <w:sectPr>
      <w:pgSz w:w="11906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2026-01-12T05:06:37.840Z</dcterms:created>
  <dcterms:modified xsi:type="dcterms:W3CDTF">2026-01-12T05:06:37.841Z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