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Calibri" w:hAnsi="Calibri"/>
          <w:b/>
          <w:color w:val="2E74B5"/>
          <w:sz w:val="19"/>
        </w:rPr>
        <w:t>EXPERT CONSULTATION SCREENING</w:t>
      </w:r>
    </w:p>
    <w:p>
      <w:pPr>
        <w:spacing w:before="0" w:after="80"/>
      </w:pPr>
      <w:r>
        <w:rPr>
          <w:rFonts w:ascii="Calibri" w:hAnsi="Calibri"/>
          <w:b/>
          <w:color w:val="162733"/>
          <w:sz w:val="48"/>
        </w:rPr>
        <w:t>On-Demand Construction Delivery</w:t>
      </w:r>
    </w:p>
    <w:p>
      <w:pPr>
        <w:spacing w:before="0" w:after="240"/>
      </w:pPr>
      <w:r>
        <w:rPr>
          <w:rFonts w:ascii="Calibri" w:hAnsi="Calibri"/>
          <w:i/>
          <w:color w:val="626D78"/>
          <w:sz w:val="25"/>
        </w:rPr>
        <w:t>Email-ready responses for Kylie Differding, Tegus</w:t>
      </w:r>
    </w:p>
    <w:tbl>
      <w:tblPr>
        <w:tblW w:type="dxa" w:w="9360"/>
        <w:tblLayout w:type="fixed"/>
        <w:tblLook w:firstColumn="1" w:firstRow="1" w:lastColumn="0" w:lastRow="0" w:noHBand="0" w:noVBand="1" w:val="04A0"/>
        <w:tblInd w:w="120" w:type="dxa"/>
        <w:tblBorders>
          <w:top w:val="single" w:sz="6" w:space="0" w:color="C9D8E5"/>
          <w:left w:val="single" w:sz="6" w:space="0" w:color="C9D8E5"/>
          <w:bottom w:val="single" w:sz="6" w:space="0" w:color="C9D8E5"/>
          <w:right w:val="single" w:sz="6" w:space="0" w:color="C9D8E5"/>
          <w:insideH w:val="single" w:sz="6" w:space="0" w:color="C9D8E5"/>
          <w:insideV w:val="single" w:sz="6" w:space="0" w:color="C9D8E5"/>
        </w:tblBorders>
      </w:tblPr>
      <w:tblGrid>
        <w:gridCol w:w="9360"/>
      </w:tblGrid>
      <w:tr>
        <w:tc>
          <w:tcPr>
            <w:tcW w:type="dxa" w:w="9360"/>
            <w:shd w:fill="EAF2F8"/>
            <w:tcMar>
              <w:top w:w="150" w:type="dxa"/>
              <w:start w:w="120" w:type="dxa"/>
              <w:bottom w:w="150" w:type="dxa"/>
              <w:end w:w="180" w:type="dxa"/>
            </w:tcMar>
          </w:tcPr>
          <w:p>
            <w:pPr>
              <w:spacing w:before="0" w:after="0" w:line="259" w:lineRule="auto"/>
            </w:pPr>
            <w:r>
              <w:rPr>
                <w:rFonts w:ascii="Calibri" w:hAnsi="Calibri"/>
                <w:b/>
                <w:color w:val="1F4D78"/>
                <w:sz w:val="21"/>
              </w:rPr>
              <w:t xml:space="preserve">Positioning: </w:t>
            </w:r>
            <w:r>
              <w:rPr>
                <w:rFonts w:ascii="Calibri" w:hAnsi="Calibri"/>
                <w:color w:val="162733"/>
                <w:sz w:val="21"/>
              </w:rPr>
              <w:t>Former Curri integrations engineer with hands-on visibility into how multiple DSPs operate, how driver apps differ, and how dispatchers manage active deliveries.</w:t>
            </w:r>
          </w:p>
        </w:tc>
      </w:tr>
    </w:tbl>
    <w:p>
      <w:pPr>
        <w:spacing w:before="240" w:after="160"/>
      </w:pPr>
      <w:r>
        <w:rPr>
          <w:rFonts w:ascii="Calibri" w:hAnsi="Calibri"/>
          <w:color w:val="162733"/>
          <w:sz w:val="22"/>
        </w:rPr>
        <w:t>Hi Kylie,</w:t>
      </w:r>
    </w:p>
    <w:p>
      <w:pPr>
        <w:spacing w:after="200"/>
      </w:pPr>
      <w:r>
        <w:rPr>
          <w:rFonts w:ascii="Calibri" w:hAnsi="Calibri"/>
          <w:color w:val="162733"/>
          <w:sz w:val="22"/>
        </w:rPr>
        <w:t>Thanks for sending this over. Please see my responses below.</w:t>
      </w:r>
    </w:p>
    <w:p>
      <w:pPr>
        <w:pStyle w:val="Heading2"/>
        <w:pageBreakBefore w:val="0"/>
      </w:pPr>
      <w:r>
        <w:t>1. Current role</w:t>
      </w:r>
    </w:p>
    <w:p>
      <w:pPr>
        <w:pStyle w:val="Question"/>
      </w:pPr>
      <w:r>
        <w:rPr>
          <w:rFonts w:ascii="Calibri" w:hAnsi="Calibri"/>
          <w:b/>
          <w:color w:val="2E74B5"/>
          <w:sz w:val="21"/>
        </w:rPr>
        <w:t xml:space="preserve">Q: </w:t>
      </w:r>
      <w:r>
        <w:rPr>
          <w:rFonts w:ascii="Calibri" w:hAnsi="Calibri"/>
          <w:b/>
          <w:color w:val="162733"/>
          <w:sz w:val="21"/>
        </w:rPr>
        <w:t>List any current roles and a brief overview of your responsibilities (1–2 sentences).</w:t>
      </w:r>
    </w:p>
    <w:p>
      <w:pPr>
        <w:pStyle w:val="Answer"/>
      </w:pPr>
      <w:r>
        <w:rPr>
          <w:rFonts w:ascii="Calibri" w:hAnsi="Calibri"/>
          <w:b/>
          <w:color w:val="2E74B5"/>
          <w:sz w:val="22"/>
        </w:rPr>
        <w:t xml:space="preserve">A: </w:t>
      </w:r>
      <w:r>
        <w:rPr>
          <w:rFonts w:ascii="Calibri" w:hAnsi="Calibri"/>
          <w:color w:val="162733"/>
          <w:sz w:val="22"/>
        </w:rPr>
        <w:t>I am the founder of BuildOS, an AI-first project management platform. I set product direction and lead development of the platform, including its agentic workflows, calendar integrations, and user-facing experience.</w:t>
      </w:r>
    </w:p>
    <w:p>
      <w:pPr>
        <w:pStyle w:val="Heading2"/>
        <w:pageBreakBefore w:val="0"/>
      </w:pPr>
      <w:r>
        <w:t>2. Delivery operations and logistics</w:t>
      </w:r>
    </w:p>
    <w:p>
      <w:pPr>
        <w:pStyle w:val="Question"/>
      </w:pPr>
      <w:r>
        <w:rPr>
          <w:rFonts w:ascii="Calibri" w:hAnsi="Calibri"/>
          <w:b/>
          <w:color w:val="2E74B5"/>
          <w:sz w:val="21"/>
        </w:rPr>
        <w:t xml:space="preserve">Q: </w:t>
      </w:r>
      <w:r>
        <w:rPr>
          <w:rFonts w:ascii="Calibri" w:hAnsi="Calibri"/>
          <w:b/>
          <w:color w:val="162733"/>
          <w:sz w:val="21"/>
        </w:rPr>
        <w:t>Can you elaborate on your ability to speak to the operational dynamics and logistical challenges faced by drivers in the on-demand delivery industry?</w:t>
      </w:r>
    </w:p>
    <w:p>
      <w:pPr>
        <w:pStyle w:val="Answer"/>
      </w:pPr>
      <w:r>
        <w:rPr>
          <w:rFonts w:ascii="Calibri" w:hAnsi="Calibri"/>
          <w:b/>
          <w:color w:val="2E74B5"/>
          <w:sz w:val="22"/>
        </w:rPr>
        <w:t xml:space="preserve">A: </w:t>
      </w:r>
      <w:r>
        <w:rPr>
          <w:rFonts w:ascii="Calibri" w:hAnsi="Calibri"/>
          <w:color w:val="162733"/>
          <w:sz w:val="22"/>
        </w:rPr>
        <w:t>At Curri, I was the primary engineer working on integrations that connected third-party delivery service providers—including Lyft, Uber, DoorDash, Dispatch, Pronto, Material Drop, and Superior—to the Curri platform. Building those connections gave me visibility into how each DSP handled quoting, dispatch, driver assignment, delivery updates, and exceptions; I also built internal workflow tools that dispatchers used to manage active deliveries.</w:t>
      </w:r>
    </w:p>
    <w:p>
      <w:pPr>
        <w:pStyle w:val="Heading2"/>
        <w:pageBreakBefore w:val="0"/>
      </w:pPr>
      <w:r>
        <w:t>3. Driver engagement and satisfaction</w:t>
      </w:r>
    </w:p>
    <w:p>
      <w:pPr>
        <w:pStyle w:val="Question"/>
      </w:pPr>
      <w:r>
        <w:rPr>
          <w:rFonts w:ascii="Calibri" w:hAnsi="Calibri"/>
          <w:b/>
          <w:color w:val="2E74B5"/>
          <w:sz w:val="21"/>
        </w:rPr>
        <w:t xml:space="preserve">Q: </w:t>
      </w:r>
      <w:r>
        <w:rPr>
          <w:rFonts w:ascii="Calibri" w:hAnsi="Calibri"/>
          <w:b/>
          <w:color w:val="162733"/>
          <w:sz w:val="21"/>
        </w:rPr>
        <w:t>Please elaborate on your experience with driver engagement and satisfaction within the context of the logistics and transportation sector.</w:t>
      </w:r>
    </w:p>
    <w:p>
      <w:pPr>
        <w:pStyle w:val="Answer"/>
      </w:pPr>
      <w:r>
        <w:rPr>
          <w:rFonts w:ascii="Calibri" w:hAnsi="Calibri"/>
          <w:b/>
          <w:color w:val="2E74B5"/>
          <w:sz w:val="22"/>
        </w:rPr>
        <w:t xml:space="preserve">A: </w:t>
      </w:r>
      <w:r>
        <w:rPr>
          <w:rFonts w:ascii="Calibri" w:hAnsi="Calibri"/>
          <w:color w:val="162733"/>
          <w:sz w:val="22"/>
        </w:rPr>
        <w:t>I worked through the practical differences between multiple driver apps and provider networks, including how delivery opportunities were presented, how drivers could be incentivized to claim jobs, and what workflows helped them properly complete pickups and drop-offs. This gave me product-level insight into how app design, job information, incentives, and fulfillment workflows influence driver engagement and satisfaction.</w:t>
      </w:r>
    </w:p>
    <w:p>
      <w:pPr>
        <w:pStyle w:val="Heading2"/>
        <w:pageBreakBefore/>
      </w:pPr>
      <w:r>
        <w:t>4. Driver technology and platforms</w:t>
      </w:r>
    </w:p>
    <w:p>
      <w:pPr>
        <w:pStyle w:val="Question"/>
      </w:pPr>
      <w:r>
        <w:rPr>
          <w:rFonts w:ascii="Calibri" w:hAnsi="Calibri"/>
          <w:b/>
          <w:color w:val="2E74B5"/>
          <w:sz w:val="21"/>
        </w:rPr>
        <w:t xml:space="preserve">Q: </w:t>
      </w:r>
      <w:r>
        <w:rPr>
          <w:rFonts w:ascii="Calibri" w:hAnsi="Calibri"/>
          <w:b/>
          <w:color w:val="162733"/>
          <w:sz w:val="21"/>
        </w:rPr>
        <w:t>Can you elaborate on your understanding of the technological tools and platforms utilized by drivers in the on-demand delivery market?</w:t>
      </w:r>
    </w:p>
    <w:p>
      <w:pPr>
        <w:pStyle w:val="Answer"/>
      </w:pPr>
      <w:r>
        <w:rPr>
          <w:rFonts w:ascii="Calibri" w:hAnsi="Calibri"/>
          <w:b/>
          <w:color w:val="2E74B5"/>
          <w:sz w:val="22"/>
        </w:rPr>
        <w:t xml:space="preserve">A: </w:t>
      </w:r>
      <w:r>
        <w:rPr>
          <w:rFonts w:ascii="Calibri" w:hAnsi="Calibri"/>
          <w:color w:val="162733"/>
          <w:sz w:val="22"/>
        </w:rPr>
        <w:t>I have a practical understanding of driver apps from integrating multiple DSPs into Curri and accommodating their different driver-assignment, tracking, status, and exception workflows. I can speak to how delivery companies structure the driver experience and compete to attract and retain strong drivers, keep them active, and increase the likelihood that deliveries are claimed and properly fulfilled.</w:t>
      </w:r>
    </w:p>
    <w:p>
      <w:pPr>
        <w:pStyle w:val="Heading2"/>
        <w:pageBreakBefore w:val="0"/>
      </w:pPr>
      <w:r>
        <w:t>5. Consulting rate</w:t>
      </w:r>
    </w:p>
    <w:p>
      <w:pPr>
        <w:pStyle w:val="Question"/>
      </w:pPr>
      <w:r>
        <w:rPr>
          <w:rFonts w:ascii="Calibri" w:hAnsi="Calibri"/>
          <w:b/>
          <w:color w:val="2E74B5"/>
          <w:sz w:val="21"/>
        </w:rPr>
        <w:t xml:space="preserve">Q: </w:t>
      </w:r>
      <w:r>
        <w:rPr>
          <w:rFonts w:ascii="Calibri" w:hAnsi="Calibri"/>
          <w:b/>
          <w:color w:val="162733"/>
          <w:sz w:val="21"/>
        </w:rPr>
        <w:t>What is the rate that you charge for an hour of your time (payment is prorated to the nearest 15-minute interval)?</w:t>
      </w:r>
    </w:p>
    <w:p>
      <w:pPr>
        <w:pStyle w:val="Answer"/>
      </w:pPr>
      <w:r>
        <w:rPr>
          <w:rFonts w:ascii="Calibri" w:hAnsi="Calibri"/>
          <w:b/>
          <w:color w:val="2E74B5"/>
          <w:sz w:val="22"/>
        </w:rPr>
        <w:t xml:space="preserve">A: </w:t>
      </w:r>
      <w:r>
        <w:rPr>
          <w:rFonts w:ascii="Calibri" w:hAnsi="Calibri"/>
          <w:color w:val="162733"/>
          <w:sz w:val="22"/>
        </w:rPr>
        <w:t>$100 per hour, prorated to the nearest 15-minute interval.</w:t>
      </w:r>
    </w:p>
    <w:p>
      <w:pPr>
        <w:pStyle w:val="Heading2"/>
        <w:pageBreakBefore w:val="0"/>
      </w:pPr>
      <w:r>
        <w:t>6. Contact details</w:t>
      </w:r>
    </w:p>
    <w:p>
      <w:pPr>
        <w:pStyle w:val="Question"/>
      </w:pPr>
      <w:r>
        <w:rPr>
          <w:rFonts w:ascii="Calibri" w:hAnsi="Calibri"/>
          <w:b/>
          <w:color w:val="2E74B5"/>
          <w:sz w:val="21"/>
        </w:rPr>
        <w:t xml:space="preserve">Q: </w:t>
      </w:r>
      <w:r>
        <w:rPr>
          <w:rFonts w:ascii="Calibri" w:hAnsi="Calibri"/>
          <w:b/>
          <w:color w:val="162733"/>
          <w:sz w:val="21"/>
        </w:rPr>
        <w:t>What is the best phone number to reach you at? What is your preferred time zone?</w:t>
      </w:r>
    </w:p>
    <w:p>
      <w:pPr>
        <w:pStyle w:val="Answer"/>
      </w:pPr>
      <w:r>
        <w:rPr>
          <w:rFonts w:ascii="Calibri" w:hAnsi="Calibri"/>
          <w:b/>
          <w:color w:val="2E74B5"/>
          <w:sz w:val="22"/>
        </w:rPr>
        <w:t xml:space="preserve">A: </w:t>
      </w:r>
      <w:r>
        <w:rPr>
          <w:rFonts w:ascii="Calibri" w:hAnsi="Calibri"/>
          <w:color w:val="162733"/>
          <w:sz w:val="22"/>
        </w:rPr>
        <w:t>Phone: (202) 869-5478. Preferred time zone: Eastern Time (ET).</w:t>
      </w:r>
    </w:p>
    <w:p>
      <w:pPr>
        <w:spacing w:before="240" w:after="40"/>
      </w:pPr>
      <w:r>
        <w:rPr>
          <w:rFonts w:ascii="Calibri" w:hAnsi="Calibri"/>
          <w:color w:val="162733"/>
          <w:sz w:val="22"/>
        </w:rPr>
        <w:t>Best,</w:t>
      </w:r>
    </w:p>
    <w:p>
      <w:pPr>
        <w:spacing w:before="0" w:after="0"/>
      </w:pPr>
      <w:r>
        <w:rPr>
          <w:rFonts w:ascii="Calibri" w:hAnsi="Calibri"/>
          <w:b/>
          <w:color w:val="162733"/>
          <w:sz w:val="22"/>
        </w:rPr>
        <w:t>DJ</w:t>
      </w:r>
    </w:p>
    <w:p>
      <w:pPr>
        <w:pStyle w:val="Heading1"/>
        <w:spacing w:before="320"/>
      </w:pPr>
      <w:r>
        <w:t>Call-prep anchors</w:t>
      </w:r>
    </w:p>
    <w:p>
      <w:pPr>
        <w:spacing w:after="160"/>
      </w:pPr>
      <w:r>
        <w:rPr>
          <w:rFonts w:ascii="Calibri" w:hAnsi="Calibri"/>
          <w:i/>
          <w:color w:val="626D78"/>
          <w:sz w:val="21"/>
        </w:rPr>
        <w:t>These experience-backed points are for your live discussion and are not part of the email reply above.</w:t>
      </w:r>
    </w:p>
    <w:tbl>
      <w:tblPr>
        <w:tblW w:type="dxa" w:w="9360"/>
        <w:tblLayout w:type="fixed"/>
        <w:tblLook w:firstColumn="1" w:firstRow="1" w:lastColumn="0" w:lastRow="0" w:noHBand="0" w:noVBand="1" w:val="04A0"/>
        <w:tblInd w:w="120" w:type="dxa"/>
        <w:tblBorders>
          <w:top w:val="single" w:sz="5" w:space="0" w:color="D9E2EA"/>
          <w:left w:val="single" w:sz="5" w:space="0" w:color="D9E2EA"/>
          <w:bottom w:val="single" w:sz="5" w:space="0" w:color="D9E2EA"/>
          <w:right w:val="single" w:sz="5" w:space="0" w:color="D9E2EA"/>
          <w:insideH w:val="single" w:sz="5" w:space="0" w:color="D9E2EA"/>
          <w:insideV w:val="single" w:sz="5" w:space="0" w:color="D9E2EA"/>
        </w:tblBorders>
      </w:tblPr>
      <w:tblGrid>
        <w:gridCol w:w="2200"/>
        <w:gridCol w:w="7160"/>
      </w:tblGrid>
      <w:tr>
        <w:trPr>
          <w:cantSplit/>
        </w:trPr>
        <w:tc>
          <w:tcPr>
            <w:tcW w:type="dxa" w:w="2200"/>
            <w:tcMar>
              <w:top w:w="90" w:type="dxa"/>
              <w:start w:w="120" w:type="dxa"/>
              <w:bottom w:w="90" w:type="dxa"/>
              <w:end w:w="120" w:type="dxa"/>
            </w:tcMar>
            <w:shd w:fill="EAF2F8"/>
          </w:tcPr>
          <w:p>
            <w:pPr>
              <w:spacing w:before="0" w:after="0" w:line="252" w:lineRule="auto"/>
            </w:pPr>
            <w:r>
              <w:rPr>
                <w:rFonts w:ascii="Calibri" w:hAnsi="Calibri"/>
                <w:b/>
                <w:color w:val="1F4D78"/>
                <w:sz w:val="18"/>
              </w:rPr>
              <w:t>Integrations scope</w:t>
            </w:r>
          </w:p>
        </w:tc>
        <w:tc>
          <w:tcPr>
            <w:tcW w:type="dxa" w:w="7160"/>
            <w:tcMar>
              <w:top w:w="90" w:type="dxa"/>
              <w:start w:w="120" w:type="dxa"/>
              <w:bottom w:w="90" w:type="dxa"/>
              <w:end w:w="120" w:type="dxa"/>
            </w:tcMar>
          </w:tcPr>
          <w:p>
            <w:pPr>
              <w:spacing w:before="0" w:after="0" w:line="252" w:lineRule="auto"/>
            </w:pPr>
            <w:r>
              <w:rPr>
                <w:rFonts w:ascii="Calibri" w:hAnsi="Calibri"/>
                <w:color w:val="162733"/>
                <w:sz w:val="18"/>
              </w:rPr>
              <w:t>You were the primary engineer working on Curri’s DSP integrations, connecting Lyft, Uber, DoorDash, Dispatch, Pronto, Material Drop, and Superior to the platform.</w:t>
            </w:r>
          </w:p>
        </w:tc>
      </w:tr>
      <w:tr>
        <w:trPr>
          <w:cantSplit/>
        </w:trPr>
        <w:tc>
          <w:tcPr>
            <w:tcW w:type="dxa" w:w="2200"/>
            <w:tcMar>
              <w:top w:w="90" w:type="dxa"/>
              <w:start w:w="120" w:type="dxa"/>
              <w:bottom w:w="90" w:type="dxa"/>
              <w:end w:w="120" w:type="dxa"/>
            </w:tcMar>
            <w:shd w:fill="EAF2F8"/>
          </w:tcPr>
          <w:p>
            <w:pPr>
              <w:spacing w:before="0" w:after="0" w:line="252" w:lineRule="auto"/>
            </w:pPr>
            <w:r>
              <w:rPr>
                <w:rFonts w:ascii="Calibri" w:hAnsi="Calibri"/>
                <w:b/>
                <w:color w:val="1F4D78"/>
                <w:sz w:val="18"/>
              </w:rPr>
              <w:t>Dispatcher workflows</w:t>
            </w:r>
          </w:p>
        </w:tc>
        <w:tc>
          <w:tcPr>
            <w:tcW w:type="dxa" w:w="7160"/>
            <w:tcMar>
              <w:top w:w="90" w:type="dxa"/>
              <w:start w:w="120" w:type="dxa"/>
              <w:bottom w:w="90" w:type="dxa"/>
              <w:end w:w="120" w:type="dxa"/>
            </w:tcMar>
          </w:tcPr>
          <w:p>
            <w:pPr>
              <w:spacing w:before="0" w:after="0" w:line="252" w:lineRule="auto"/>
            </w:pPr>
            <w:r>
              <w:rPr>
                <w:rFonts w:ascii="Calibri" w:hAnsi="Calibri"/>
                <w:color w:val="162733"/>
                <w:sz w:val="18"/>
              </w:rPr>
              <w:t>You also built internal tools that helped Curri dispatchers monitor active deliveries, identify exceptions, and take the appropriate action to keep deliveries moving.</w:t>
            </w:r>
          </w:p>
        </w:tc>
      </w:tr>
      <w:tr>
        <w:trPr>
          <w:cantSplit/>
        </w:trPr>
        <w:tc>
          <w:tcPr>
            <w:tcW w:type="dxa" w:w="2200"/>
            <w:tcMar>
              <w:top w:w="90" w:type="dxa"/>
              <w:start w:w="120" w:type="dxa"/>
              <w:bottom w:w="90" w:type="dxa"/>
              <w:end w:w="120" w:type="dxa"/>
            </w:tcMar>
            <w:shd w:fill="EAF2F8"/>
          </w:tcPr>
          <w:p>
            <w:pPr>
              <w:spacing w:before="0" w:after="0" w:line="252" w:lineRule="auto"/>
            </w:pPr>
            <w:r>
              <w:rPr>
                <w:rFonts w:ascii="Calibri" w:hAnsi="Calibri"/>
                <w:b/>
                <w:color w:val="1F4D78"/>
                <w:sz w:val="18"/>
              </w:rPr>
              <w:t>Driver-app nuances</w:t>
            </w:r>
          </w:p>
        </w:tc>
        <w:tc>
          <w:tcPr>
            <w:tcW w:type="dxa" w:w="7160"/>
            <w:tcMar>
              <w:top w:w="90" w:type="dxa"/>
              <w:start w:w="120" w:type="dxa"/>
              <w:bottom w:w="90" w:type="dxa"/>
              <w:end w:w="120" w:type="dxa"/>
            </w:tcMar>
          </w:tcPr>
          <w:p>
            <w:pPr>
              <w:spacing w:before="0" w:after="0" w:line="252" w:lineRule="auto"/>
            </w:pPr>
            <w:r>
              <w:rPr>
                <w:rFonts w:ascii="Calibri" w:hAnsi="Calibri"/>
                <w:color w:val="162733"/>
                <w:sz w:val="18"/>
              </w:rPr>
              <w:t>Working across several providers exposed you to meaningful differences in how their driver apps handled job offers, driver assignment, status updates, and fulfillment workflows.</w:t>
            </w:r>
          </w:p>
        </w:tc>
      </w:tr>
      <w:tr>
        <w:trPr>
          <w:cantSplit/>
        </w:trPr>
        <w:tc>
          <w:tcPr>
            <w:tcW w:type="dxa" w:w="2200"/>
            <w:tcMar>
              <w:top w:w="90" w:type="dxa"/>
              <w:start w:w="120" w:type="dxa"/>
              <w:bottom w:w="90" w:type="dxa"/>
              <w:end w:w="120" w:type="dxa"/>
            </w:tcMar>
            <w:shd w:fill="EAF2F8"/>
          </w:tcPr>
          <w:p>
            <w:pPr>
              <w:spacing w:before="0" w:after="0" w:line="252" w:lineRule="auto"/>
            </w:pPr>
            <w:r>
              <w:rPr>
                <w:rFonts w:ascii="Calibri" w:hAnsi="Calibri"/>
                <w:b/>
                <w:color w:val="1F4D78"/>
                <w:sz w:val="18"/>
              </w:rPr>
              <w:t>Engagement levers</w:t>
            </w:r>
          </w:p>
        </w:tc>
        <w:tc>
          <w:tcPr>
            <w:tcW w:type="dxa" w:w="7160"/>
            <w:tcMar>
              <w:top w:w="90" w:type="dxa"/>
              <w:start w:w="120" w:type="dxa"/>
              <w:bottom w:w="90" w:type="dxa"/>
              <w:end w:w="120" w:type="dxa"/>
            </w:tcMar>
          </w:tcPr>
          <w:p>
            <w:pPr>
              <w:spacing w:before="0" w:after="0" w:line="252" w:lineRule="auto"/>
            </w:pPr>
            <w:r>
              <w:rPr>
                <w:rFonts w:ascii="Calibri" w:hAnsi="Calibri"/>
                <w:color w:val="162733"/>
                <w:sz w:val="18"/>
              </w:rPr>
              <w:t>You can discuss how delivery-offer presentation, incentives to claim a job, clear delivery details, and well-designed pickup and drop-off steps affect engagement and successful fulfillment.</w:t>
            </w:r>
          </w:p>
        </w:tc>
      </w:tr>
      <w:tr>
        <w:trPr>
          <w:cantSplit/>
        </w:trPr>
        <w:tc>
          <w:tcPr>
            <w:tcW w:type="dxa" w:w="2200"/>
            <w:tcMar>
              <w:top w:w="90" w:type="dxa"/>
              <w:start w:w="120" w:type="dxa"/>
              <w:bottom w:w="90" w:type="dxa"/>
              <w:end w:w="120" w:type="dxa"/>
            </w:tcMar>
            <w:shd w:fill="EAF2F8"/>
          </w:tcPr>
          <w:p>
            <w:pPr>
              <w:spacing w:before="0" w:after="0" w:line="252" w:lineRule="auto"/>
            </w:pPr>
            <w:r>
              <w:rPr>
                <w:rFonts w:ascii="Calibri" w:hAnsi="Calibri"/>
                <w:b/>
                <w:color w:val="1F4D78"/>
                <w:sz w:val="18"/>
              </w:rPr>
              <w:t>Competitive dynamic</w:t>
            </w:r>
          </w:p>
        </w:tc>
        <w:tc>
          <w:tcPr>
            <w:tcW w:type="dxa" w:w="7160"/>
            <w:tcMar>
              <w:top w:w="90" w:type="dxa"/>
              <w:start w:w="120" w:type="dxa"/>
              <w:bottom w:w="90" w:type="dxa"/>
              <w:end w:w="120" w:type="dxa"/>
            </w:tcMar>
          </w:tcPr>
          <w:p>
            <w:pPr>
              <w:spacing w:before="0" w:after="0" w:line="252" w:lineRule="auto"/>
            </w:pPr>
            <w:r>
              <w:rPr>
                <w:rFonts w:ascii="Calibri" w:hAnsi="Calibri"/>
                <w:color w:val="162733"/>
                <w:sz w:val="18"/>
              </w:rPr>
              <w:t>Your perspective includes how delivery companies compete through their driver experience to attract and retain strong drivers and keep them active on the platform.</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26D78"/>
        <w:sz w:val="18"/>
      </w:rPr>
      <w:t xml:space="preserve">DJ Wayne  •  August 6, 2026  •  Page </w:t>
    </w:r>
    <w:r>
      <w:rPr>
        <w:rFonts w:ascii="Calibri" w:hAnsi="Calibri"/>
        <w:color w:val="626D7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26D78"/>
        <w:sz w:val="17"/>
      </w:rPr>
      <w:t>TEGUS EXPERT NETWORK RESPONSE  |  ON-DEMAND CONSTRUCTION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6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keepNext/>
      <w:spacing w:before="0" w:after="60" w:line="252" w:lineRule="auto"/>
    </w:pPr>
    <w:rPr>
      <w:rFonts w:ascii="Calibri" w:hAnsi="Calibri"/>
      <w:b/>
      <w:color w:val="162733"/>
      <w:sz w:val="21"/>
    </w:rPr>
  </w:style>
  <w:style w:type="paragraph" w:customStyle="1" w:styleId="Answer">
    <w:name w:val="Answer"/>
    <w:basedOn w:val="Normal"/>
    <w:pPr>
      <w:spacing w:before="0" w:after="160" w:line="269" w:lineRule="auto"/>
      <w:ind w:left="259"/>
    </w:pPr>
    <w:rPr>
      <w:rFonts w:ascii="Calibri" w:hAnsi="Calibri"/>
      <w:color w:val="1627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Tegus Expert Consultation Screening Response — On-Demand Construction Delivery</dc:title>
  <dc:subject>Email-ready responses for Kylie Differding at Tegus</dc:subject>
  <dc:creator>DJ Wayne</dc:creator>
  <cp:keywords>Tegus, Curri, on-demand delivery, construction logistics, expert consultation</cp:keywords>
  <dc:description>Prepared from DJ Wayne's 2025–2026 resumes and user-provided Curri experience.</dc:description>
  <cp:lastModifiedBy/>
  <cp:revision>1</cp:revision>
  <dcterms:created xsi:type="dcterms:W3CDTF">2013-12-23T23:15:00Z</dcterms:created>
  <dcterms:modified xsi:type="dcterms:W3CDTF">2013-12-23T23:15:00Z</dcterms:modified>
  <cp:category/>
</cp:coreProperties>
</file>