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b/>
          <w:color w:val="0F172A"/>
          <w:sz w:val="48"/>
        </w:rPr>
        <w:t>Security Incident Directive</w:t>
      </w:r>
    </w:p>
    <w:p>
      <w:r>
        <w:rPr>
          <w:b/>
          <w:color w:val="DC2626"/>
          <w:sz w:val="22"/>
        </w:rPr>
        <w:t>ADVISORY ID: ADV-2026-TEST  |  DATE: 2026-09-03  |  SEVERITY: CRITICAL</w:t>
        <w:br/>
      </w:r>
    </w:p>
    <w:p>
      <w:pPr>
        <w:pStyle w:val="Heading1"/>
      </w:pPr>
      <w:r>
        <w:t>1. Executive Overview</w:t>
      </w:r>
    </w:p>
    <w:p>
      <w:r>
        <w:t>Mandatory mitigation notice for perimeter gateways.</w:t>
      </w:r>
    </w:p>
    <w:p>
      <w:pPr>
        <w:pStyle w:val="Heading1"/>
      </w:pPr>
      <w:r>
        <w:t>2. Threat &amp; Technical Analysis</w:t>
      </w:r>
    </w:p>
    <w:p>
      <w:r>
        <w:rPr>
          <w:b/>
        </w:rPr>
        <w:t xml:space="preserve">• Exploit Vector: </w:t>
      </w:r>
      <w:r>
        <w:t>Buffer condition on port 8443.</w:t>
      </w:r>
    </w:p>
    <w:p>
      <w:pPr>
        <w:pStyle w:val="Heading1"/>
      </w:pPr>
      <w:r>
        <w:t>3. Operational Impact Assessment</w:t>
      </w:r>
    </w:p>
    <w:p/>
    <w:p>
      <w:pPr>
        <w:pStyle w:val="Heading1"/>
      </w:pPr>
      <w:r>
        <w:t>4. Recommended Mitigations &amp; Action Items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Priority</w:t>
            </w:r>
          </w:p>
        </w:tc>
        <w:tc>
          <w:tcPr>
            <w:tcW w:type="dxa" w:w="3120"/>
          </w:tcPr>
          <w:p>
            <w:r>
              <w:t>Target Team</w:t>
            </w:r>
          </w:p>
        </w:tc>
        <w:tc>
          <w:tcPr>
            <w:tcW w:type="dxa" w:w="3120"/>
          </w:tcPr>
          <w:p>
            <w:r>
              <w:t>Action Item</w:t>
            </w:r>
          </w:p>
        </w:tc>
      </w:tr>
      <w:tr>
        <w:tc>
          <w:tcPr>
            <w:tcW w:type="dxa" w:w="3120"/>
          </w:tcPr>
          <w:p>
            <w:r>
              <w:t>Immediate</w:t>
            </w:r>
          </w:p>
        </w:tc>
        <w:tc>
          <w:tcPr>
            <w:tcW w:type="dxa" w:w="3120"/>
          </w:tcPr>
          <w:p>
            <w:r>
              <w:t>SecOps</w:t>
            </w:r>
          </w:p>
        </w:tc>
        <w:tc>
          <w:tcPr>
            <w:tcW w:type="dxa" w:w="3120"/>
          </w:tcPr>
          <w:p>
            <w:r>
              <w:t>Apply Hotfix HF-2026-9A</w:t>
            </w:r>
          </w:p>
        </w:tc>
      </w:tr>
    </w:tbl>
    <w:p>
      <w:pPr>
        <w:pStyle w:val="Heading1"/>
      </w:pPr>
      <w:r>
        <w:t>5. References &amp; Standards</w:t>
      </w:r>
    </w:p>
    <w:p>
      <w:r>
        <w:t>[Enterprise Security Baseline 2026]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