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sz w:val="120"/>
          <w:szCs w:val="120"/>
        </w:rPr>
        <w:t xml:space="preserve">🇨🇴</w:t>
      </w:r>
    </w:p>
    <w:p>
      <w:pPr>
        <w:spacing w:after="160"/>
        <w:jc w:val="center"/>
      </w:pPr>
      <w:r>
        <w:rPr>
          <w:rFonts w:ascii="Calibri" w:cs="Calibri" w:eastAsia="Calibri" w:hAnsi="Calibri"/>
          <w:b/>
          <w:bCs/>
          <w:color w:val="1a3c6e"/>
          <w:sz w:val="56"/>
          <w:szCs w:val="56"/>
        </w:rPr>
        <w:t xml:space="preserve">GUÍA TRIBUTARIA Y JURÍDICA</w:t>
      </w:r>
    </w:p>
    <w:p>
      <w:pPr>
        <w:spacing w:after="320"/>
        <w:jc w:val="center"/>
      </w:pPr>
      <w:r>
        <w:rPr>
          <w:rFonts w:ascii="Calibri" w:cs="Calibri" w:eastAsia="Calibri" w:hAnsi="Calibri"/>
          <w:b/>
          <w:bCs/>
          <w:color w:val="c8102e"/>
          <w:sz w:val="56"/>
          <w:szCs w:val="56"/>
        </w:rPr>
        <w:t xml:space="preserve">EMPRESARIAL DE COLOMBIA</w:t>
      </w:r>
    </w:p>
    <w:p>
      <w:pPr>
        <w:spacing w:after="200"/>
        <w:jc w:val="center"/>
      </w:pPr>
      <w:r>
        <w:rPr>
          <w:i/>
          <w:iCs/>
          <w:color w:val="555555"/>
          <w:sz w:val="26"/>
          <w:szCs w:val="26"/>
        </w:rPr>
        <w:t xml:space="preserve">Todo lo que un empresario necesita saber para operar con seguridad jurídica y fiscal</w:t>
      </w:r>
    </w:p>
    <w:p>
      <w:pPr>
        <w:spacing w:after="800"/>
        <w:jc w:val="center"/>
      </w:pPr>
      <w:r>
        <w:rPr>
          <w:color w:val="888888"/>
          <w:sz w:val="20"/>
          <w:szCs w:val="20"/>
        </w:rPr>
        <w:t xml:space="preserve">Actualizado a 2025–2026 | Fuentes: DIAN, Ministerio de Hacienda, Estatuto Tributario, Supersociedades</w:t>
      </w:r>
    </w:p>
    <w:p>
      <w:pPr>
        <w:spacing w:after="400"/>
        <w:jc w:val="center"/>
      </w:pPr>
      <w:r>
        <w:rPr>
          <w:b/>
          <w:bCs/>
          <w:color w:val="1a3c6e"/>
          <w:sz w:val="22"/>
          <w:szCs w:val="22"/>
        </w:rPr>
        <w:t xml:space="preserve">Leyes de referencia: </w:t>
      </w:r>
      <w:r>
        <w:rPr>
          <w:color w:val="555555"/>
          <w:sz w:val="20"/>
          <w:szCs w:val="20"/>
        </w:rPr>
        <w:t xml:space="preserve">Estatuto Tributario (Decreto 624/1989) · Ley 2277/2022 · Ley 2466/2025 · Ley 1258/2008 · Decreto 410/1971 (Código de Comercio) · Ley 1314/2009 · DUR 1625/2016</w:t>
      </w:r>
    </w:p>
    <w:p>
      <w:r>
        <w:br w:type="page"/>
      </w:r>
    </w:p>
    <w:p>
      <w:pPr>
        <w:pStyle w:val="Heading1"/>
        <w:pBdr>
          <w:bottom w:val="single" w:color="c8102e" w:sz="12" w:space="4"/>
        </w:pBdr>
        <w:spacing w:after="160" w:before="480"/>
      </w:pPr>
      <w:r>
        <w:t xml:space="preserve">1. ESTRUCTURA DEL SISTEMA TRIBUTARIO COLOMBIANO</w:t>
      </w:r>
    </w:p>
    <w:p>
      <w:pPr>
        <w:spacing w:after="120"/>
        <w:jc w:val="both"/>
      </w:pPr>
      <w:r>
        <w:rPr>
          <w:color w:val="2c2c2c"/>
          <w:sz w:val="22"/>
          <w:szCs w:val="22"/>
        </w:rPr>
        <w:t xml:space="preserve">El sistema tributario colombiano está compuesto por tributos nacionales administrados por la DIAN (Dirección de Impuestos y Aduanas Nacionales), tributos territoriales administrados por departamentos y municipios, y contribuciones parafiscales. Todo empresario debe conocer esta arquitectura antes de comenzar a operar.</w:t>
      </w:r>
    </w:p>
    <w:p>
      <w:pPr>
        <w:pStyle w:val="Heading2"/>
        <w:spacing w:after="120" w:before="320"/>
      </w:pPr>
      <w:r>
        <w:t xml:space="preserve">1.1 Los Principales Impuestos Nacionales</w:t>
      </w:r>
    </w:p>
    <w:tbl>
      <w:tblPr>
        <w:tblW w:type="dxa" w:w="9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600"/>
        <w:gridCol w:w="2000"/>
        <w:gridCol w:w="2000"/>
      </w:tblGrid>
      <w:tr>
        <w:trPr>
          <w:tblHeader/>
        </w:trPr>
        <w:tc>
          <w:tcPr>
            <w:shd w:fill="1a3c6e" w:val="clear"/>
            <w:tcMar>
              <w:top w:type="dxa" w:w="80"/>
              <w:left w:type="dxa" w:w="120"/>
              <w:bottom w:type="dxa" w:w="80"/>
              <w:right w:type="dxa" w:w="120"/>
            </w:tcMar>
          </w:tcPr>
          <w:p>
            <w:pPr>
              <w:jc w:val="center"/>
            </w:pPr>
            <w:r>
              <w:rPr>
                <w:b/>
                <w:bCs/>
                <w:color w:val="ffffff"/>
                <w:sz w:val="20"/>
                <w:szCs w:val="20"/>
              </w:rPr>
              <w:t xml:space="preserve">Impuesto</w:t>
            </w:r>
          </w:p>
        </w:tc>
        <w:tc>
          <w:tcPr>
            <w:shd w:fill="1a3c6e" w:val="clear"/>
            <w:tcMar>
              <w:top w:type="dxa" w:w="80"/>
              <w:left w:type="dxa" w:w="120"/>
              <w:bottom w:type="dxa" w:w="80"/>
              <w:right w:type="dxa" w:w="120"/>
            </w:tcMar>
          </w:tcPr>
          <w:p>
            <w:pPr>
              <w:jc w:val="center"/>
            </w:pPr>
            <w:r>
              <w:rPr>
                <w:b/>
                <w:bCs/>
                <w:color w:val="ffffff"/>
                <w:sz w:val="20"/>
                <w:szCs w:val="20"/>
              </w:rPr>
              <w:t xml:space="preserve">Base Gravable</w:t>
            </w:r>
          </w:p>
        </w:tc>
        <w:tc>
          <w:tcPr>
            <w:shd w:fill="1a3c6e" w:val="clear"/>
            <w:tcMar>
              <w:top w:type="dxa" w:w="80"/>
              <w:left w:type="dxa" w:w="120"/>
              <w:bottom w:type="dxa" w:w="80"/>
              <w:right w:type="dxa" w:w="120"/>
            </w:tcMar>
          </w:tcPr>
          <w:p>
            <w:pPr>
              <w:jc w:val="center"/>
            </w:pPr>
            <w:r>
              <w:rPr>
                <w:b/>
                <w:bCs/>
                <w:color w:val="ffffff"/>
                <w:sz w:val="20"/>
                <w:szCs w:val="20"/>
              </w:rPr>
              <w:t xml:space="preserve">Tarifa</w:t>
            </w:r>
          </w:p>
        </w:tc>
        <w:tc>
          <w:tcPr>
            <w:shd w:fill="1a3c6e" w:val="clear"/>
            <w:tcMar>
              <w:top w:type="dxa" w:w="80"/>
              <w:left w:type="dxa" w:w="120"/>
              <w:bottom w:type="dxa" w:w="80"/>
              <w:right w:type="dxa" w:w="120"/>
            </w:tcMar>
          </w:tcPr>
          <w:p>
            <w:pPr>
              <w:jc w:val="center"/>
            </w:pPr>
            <w:r>
              <w:rPr>
                <w:b/>
                <w:bCs/>
                <w:color w:val="ffffff"/>
                <w:sz w:val="20"/>
                <w:szCs w:val="20"/>
              </w:rPr>
              <w:t xml:space="preserve">Periodicidad</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Renta (Personas Jurídicas)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Utilidad fiscal del año gravable</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35% (tarifa general)</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Anual</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IVA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Valor del bien/servicio vendido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19% general / 5% diferencial</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Bimestral o Cuatrimestral</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Retención en la Fuente</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Pagos realizados a terceros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Variable (1%–33%)</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Mensual</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Impuesto al Patrimonio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Patrimonio líquido &gt; 72.000 UVT</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0.5% – 1.5% progresivo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Anual (bimestral anticipos)</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GMF (4×1000)</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Transacciones financieras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0.4% por operación</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Instantáneo (banco)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Impuesto al Consumo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Restaurantes, licores, vehículos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4% – 8%</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Bimestral</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Ganancia Ocasional</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Venta de activos fijos, loterías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10% (pers. jurídicas)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Anual</w:t>
            </w:r>
          </w:p>
        </w:tc>
      </w:tr>
    </w:tbl>
    <w:p>
      <w:pPr>
        <w:spacing w:after="200"/>
      </w:pPr>
    </w:p>
    <w:p>
      <w:pPr>
        <w:pBdr>
          <w:left w:val="single" w:color="1a3c6e" w:sz="16"/>
        </w:pBdr>
        <w:shd w:fill="f0f4ff" w:val="clear"/>
        <w:spacing w:after="120" w:before="120"/>
        <w:ind w:left="400"/>
      </w:pPr>
      <w:r>
        <w:rPr>
          <w:b/>
          <w:bCs/>
          <w:color w:val="1a3c6e"/>
          <w:sz w:val="22"/>
          <w:szCs w:val="22"/>
        </w:rPr>
        <w:t xml:space="preserve">ℹ️ Unidad de Valor Tributario (UVT) 2025: </w:t>
      </w:r>
      <w:r>
        <w:rPr>
          <w:color w:val="2c2c2c"/>
          <w:sz w:val="22"/>
          <w:szCs w:val="22"/>
        </w:rPr>
        <w:t xml:space="preserve">La DIAN fijó la UVT en $49.799 para 2025 y $52.374 para 2026 (Resolución 000238 del 15 de diciembre de 2025). Este valor es la referencia universal para calcular topes, sanciones, bases y tarifas en todas las obligaciones fiscales.</w:t>
      </w:r>
    </w:p>
    <w:p>
      <w:r>
        <w:br w:type="page"/>
      </w:r>
    </w:p>
    <w:p>
      <w:pPr>
        <w:pStyle w:val="Heading1"/>
        <w:pBdr>
          <w:bottom w:val="single" w:color="c8102e" w:sz="12" w:space="4"/>
        </w:pBdr>
        <w:spacing w:after="160" w:before="480"/>
      </w:pPr>
      <w:r>
        <w:t xml:space="preserve">2. IMPUESTO SOBRE LA RENTA — PERSONAS JURÍDICAS</w:t>
      </w:r>
    </w:p>
    <w:p>
      <w:pPr>
        <w:spacing w:after="120"/>
        <w:jc w:val="both"/>
      </w:pPr>
      <w:r>
        <w:rPr>
          <w:color w:val="2c2c2c"/>
          <w:sz w:val="22"/>
          <w:szCs w:val="22"/>
        </w:rPr>
        <w:t xml:space="preserve">El impuesto de renta es el tributo de mayor impacto para las empresas. Grava las utilidades fiscales obtenidas entre el 1 de enero y el 31 de diciembre de cada año gravable. Su marco legal es el artículo 240 del Estatuto Tributario, modificado por la Ley 2277 de 2022 (Reforma Tributaria).</w:t>
      </w:r>
    </w:p>
    <w:p>
      <w:pPr>
        <w:pStyle w:val="Heading2"/>
        <w:spacing w:after="120" w:before="320"/>
      </w:pPr>
      <w:r>
        <w:t xml:space="preserve">2.1 Tarifas Vigentes AG 2025</w:t>
      </w:r>
    </w:p>
    <w:tbl>
      <w:tblPr>
        <w:tblW w:type="dxa" w:w="8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800"/>
        <w:gridCol w:w="3300"/>
      </w:tblGrid>
      <w:tr>
        <w:trPr>
          <w:tblHeader/>
        </w:trPr>
        <w:tc>
          <w:tcPr>
            <w:shd w:fill="1a3c6e" w:val="clear"/>
            <w:tcMar>
              <w:top w:type="dxa" w:w="80"/>
              <w:left w:type="dxa" w:w="120"/>
              <w:bottom w:type="dxa" w:w="80"/>
              <w:right w:type="dxa" w:w="120"/>
            </w:tcMar>
          </w:tcPr>
          <w:p>
            <w:pPr>
              <w:jc w:val="center"/>
            </w:pPr>
            <w:r>
              <w:rPr>
                <w:b/>
                <w:bCs/>
                <w:color w:val="ffffff"/>
                <w:sz w:val="20"/>
                <w:szCs w:val="20"/>
              </w:rPr>
              <w:t xml:space="preserve">Tipo de Contribuyente</w:t>
            </w:r>
          </w:p>
        </w:tc>
        <w:tc>
          <w:tcPr>
            <w:shd w:fill="1a3c6e" w:val="clear"/>
            <w:tcMar>
              <w:top w:type="dxa" w:w="80"/>
              <w:left w:type="dxa" w:w="120"/>
              <w:bottom w:type="dxa" w:w="80"/>
              <w:right w:type="dxa" w:w="120"/>
            </w:tcMar>
          </w:tcPr>
          <w:p>
            <w:pPr>
              <w:jc w:val="center"/>
            </w:pPr>
            <w:r>
              <w:rPr>
                <w:b/>
                <w:bCs/>
                <w:color w:val="ffffff"/>
                <w:sz w:val="20"/>
                <w:szCs w:val="20"/>
              </w:rPr>
              <w:t xml:space="preserve">Tarifa</w:t>
            </w:r>
          </w:p>
        </w:tc>
        <w:tc>
          <w:tcPr>
            <w:shd w:fill="1a3c6e" w:val="clear"/>
            <w:tcMar>
              <w:top w:type="dxa" w:w="80"/>
              <w:left w:type="dxa" w:w="120"/>
              <w:bottom w:type="dxa" w:w="80"/>
              <w:right w:type="dxa" w:w="120"/>
            </w:tcMar>
          </w:tcPr>
          <w:p>
            <w:pPr>
              <w:jc w:val="center"/>
            </w:pPr>
            <w:r>
              <w:rPr>
                <w:b/>
                <w:bCs/>
                <w:color w:val="ffffff"/>
                <w:sz w:val="20"/>
                <w:szCs w:val="20"/>
              </w:rPr>
              <w:t xml:space="preserve">Norma</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Sociedades nacionales y sus asimiladas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35%</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Art. 240 E.T.</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Sector financiero (renta gravable &gt; 120.000 UVT)</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40% (sobretasa 5 pts)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Art. 240 E.T. - Ley 2277/2022</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Empresas de energía hídrica (&gt; umbral UVT)</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38% (sobretasa 3 pts)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Art. 240 E.T. - Ley 2277/2022</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Petróleo y carbón</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Hasta 50% (propuesta reforma 2025)</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Ley 2277/2022 + Proyecto 2025</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Servicios hoteleros y ecoturismo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15%</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Parágrafo 5, Art. 240 E.T.</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Empresas editoriales (solo edición de libros)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15%</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Parágrafo 7, Art. 240 E.T.</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Zonas Francas (usuarios industriales)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20%</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Art. 240-1 E.T.</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Régimen Tributario Especial (fundaciones, ONG)</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20% sobre beneficio neto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Art. 356 E.T.</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Empresas industriales/comerciales del Estado + nuevos hoteles de montaña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9%</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Art. 240 E.T.</w:t>
            </w:r>
          </w:p>
        </w:tc>
      </w:tr>
    </w:tbl>
    <w:p>
      <w:pPr>
        <w:spacing w:after="200"/>
      </w:pPr>
    </w:p>
    <w:p>
      <w:pPr>
        <w:pStyle w:val="Heading2"/>
        <w:spacing w:after="120" w:before="320"/>
      </w:pPr>
      <w:r>
        <w:t xml:space="preserve">2.2 Tasa Mínima de Tributación (TMT)</w:t>
      </w:r>
    </w:p>
    <w:p>
      <w:pPr>
        <w:spacing w:after="120"/>
        <w:jc w:val="both"/>
      </w:pPr>
      <w:r>
        <w:rPr>
          <w:color w:val="2c2c2c"/>
          <w:sz w:val="22"/>
          <w:szCs w:val="22"/>
        </w:rPr>
        <w:t xml:space="preserve">La Ley 2277 de 2022 introdujo la Tasa Mínima de Tributación del 15%, una norma que busca evitar que grandes empresas paguen impuestos insignificantes por el uso de beneficios y deducciones.</w:t>
      </w:r>
    </w:p>
    <w:p>
      <w:pPr>
        <w:pStyle w:val="ListParagraph"/>
        <w:numPr>
          <w:ilvl w:val="0"/>
          <w:numId w:val="1"/>
        </w:numPr>
        <w:spacing w:after="80"/>
      </w:pPr>
      <w:r>
        <w:rPr>
          <w:b w:val="false"/>
          <w:bCs w:val="false"/>
          <w:color w:val="2c2c2c"/>
          <w:sz w:val="22"/>
          <w:szCs w:val="22"/>
        </w:rPr>
        <w:t xml:space="preserve">Si el impuesto neto de renta de la empresa, expresado como porcentaje de la renta líquida depurada, es menor al 15%, la empresa deberá incrementar el impuesto hasta alcanzar ese umbral.</w:t>
      </w:r>
    </w:p>
    <w:p>
      <w:pPr>
        <w:pStyle w:val="ListParagraph"/>
        <w:numPr>
          <w:ilvl w:val="0"/>
          <w:numId w:val="1"/>
        </w:numPr>
        <w:spacing w:after="80"/>
      </w:pPr>
      <w:r>
        <w:rPr>
          <w:b w:val="false"/>
          <w:bCs w:val="false"/>
          <w:color w:val="2c2c2c"/>
          <w:sz w:val="22"/>
          <w:szCs w:val="22"/>
        </w:rPr>
        <w:t xml:space="preserve">Aplica principalmente a grandes contribuyentes. Las PYMES y el Régimen Simple no se ven directamente afectadas.</w:t>
      </w:r>
    </w:p>
    <w:p>
      <w:pPr>
        <w:pStyle w:val="ListParagraph"/>
        <w:numPr>
          <w:ilvl w:val="0"/>
          <w:numId w:val="1"/>
        </w:numPr>
        <w:spacing w:after="80"/>
      </w:pPr>
      <w:r>
        <w:rPr>
          <w:b w:val="false"/>
          <w:bCs w:val="false"/>
          <w:color w:val="2c2c2c"/>
          <w:sz w:val="22"/>
          <w:szCs w:val="22"/>
        </w:rPr>
        <w:t xml:space="preserve">La renta líquida depurada excluye dividendos no gravados y ganancias ocasionales.</w:t>
      </w:r>
    </w:p>
    <w:p>
      <w:pPr>
        <w:pBdr>
          <w:left w:val="single" w:color="c8102e" w:sz="16"/>
        </w:pBdr>
        <w:shd w:fill="fff3f3" w:val="clear"/>
        <w:spacing w:after="120" w:before="120"/>
        <w:ind w:left="400"/>
      </w:pPr>
      <w:r>
        <w:rPr>
          <w:b/>
          <w:bCs/>
          <w:color w:val="c8102e"/>
          <w:sz w:val="22"/>
          <w:szCs w:val="22"/>
        </w:rPr>
        <w:t xml:space="preserve">⚠️ IMPORTANTE: </w:t>
      </w:r>
      <w:r>
        <w:rPr>
          <w:color w:val="2c2c2c"/>
          <w:sz w:val="22"/>
          <w:szCs w:val="22"/>
        </w:rPr>
        <w:t xml:space="preserve">La Tasa Mínima de Tributación del 15% convirtió muchos beneficios fiscales en irrelevantes para las grandes empresas. Antes de planear una estrategia de optimización fiscal basada en beneficios, consulte si su empresa supera el umbral de la TMT.</w:t>
      </w:r>
    </w:p>
    <w:p>
      <w:pPr>
        <w:pStyle w:val="Heading2"/>
        <w:spacing w:after="120" w:before="320"/>
      </w:pPr>
      <w:r>
        <w:t xml:space="preserve">2.3 ¿Cuándo presentar la Declaración de Renta?</w:t>
      </w:r>
    </w:p>
    <w:p>
      <w:pPr>
        <w:spacing w:after="120"/>
        <w:jc w:val="both"/>
      </w:pPr>
      <w:r>
        <w:rPr>
          <w:color w:val="2c2c2c"/>
          <w:sz w:val="22"/>
          <w:szCs w:val="22"/>
        </w:rPr>
        <w:t xml:space="preserve">Los plazos de presentación de la declaración de renta del año gravable 2025 se extienden de abril a junio de 2026 según el último dígito del NIT de la empresa. Para grandes contribuyentes, los vencimientos comienzan en abril. Para los demás, en mayo–junio. Se recomienda verificar el calendario exacto en el portal MUISCA de la DIAN.</w:t>
      </w:r>
    </w:p>
    <w:p>
      <w:pPr>
        <w:pBdr>
          <w:left w:val="single" w:color="1a3c6e" w:sz="16"/>
        </w:pBdr>
        <w:shd w:fill="f0f4ff" w:val="clear"/>
        <w:spacing w:after="120" w:before="120"/>
        <w:ind w:left="400"/>
      </w:pPr>
      <w:r>
        <w:rPr>
          <w:b/>
          <w:bCs/>
          <w:color w:val="1a3c6e"/>
          <w:sz w:val="22"/>
          <w:szCs w:val="22"/>
        </w:rPr>
        <w:t xml:space="preserve">ℹ️ Fuente DIAN: </w:t>
      </w:r>
      <w:r>
        <w:rPr>
          <w:color w:val="2c2c2c"/>
          <w:sz w:val="22"/>
          <w:szCs w:val="22"/>
        </w:rPr>
        <w:t xml:space="preserve">Los plazos exactos se publican en el Decreto de Plazos emitido por el Ministerio de Hacienda cada diciembre. Para AG 2025, consulte el decreto vigente en www.dian.gov.co.</w:t>
      </w:r>
    </w:p>
    <w:p>
      <w:pPr>
        <w:pStyle w:val="Heading2"/>
        <w:spacing w:after="120" w:before="320"/>
      </w:pPr>
      <w:r>
        <w:t xml:space="preserve">2.4 Deducciones Clave para Empresas</w:t>
      </w:r>
    </w:p>
    <w:p>
      <w:pPr>
        <w:spacing w:after="120"/>
        <w:jc w:val="both"/>
      </w:pPr>
      <w:r>
        <w:rPr>
          <w:color w:val="2c2c2c"/>
          <w:sz w:val="22"/>
          <w:szCs w:val="22"/>
        </w:rPr>
        <w:t xml:space="preserve">Las empresas pueden reducir su base gravable con las siguientes deducciones, siempre que tengan relación de causalidad con la actividad generadora de renta:</w:t>
      </w:r>
    </w:p>
    <w:p>
      <w:pPr>
        <w:pStyle w:val="ListParagraph"/>
        <w:numPr>
          <w:ilvl w:val="0"/>
          <w:numId w:val="1"/>
        </w:numPr>
        <w:spacing w:after="80"/>
      </w:pPr>
      <w:r>
        <w:rPr>
          <w:b w:val="false"/>
          <w:bCs w:val="false"/>
          <w:color w:val="2c2c2c"/>
          <w:sz w:val="22"/>
          <w:szCs w:val="22"/>
        </w:rPr>
        <w:t xml:space="preserve">Gastos de personal (salarios, prestaciones, seguridad social) — deducibles 100%</w:t>
      </w:r>
    </w:p>
    <w:p>
      <w:pPr>
        <w:pStyle w:val="ListParagraph"/>
        <w:numPr>
          <w:ilvl w:val="0"/>
          <w:numId w:val="1"/>
        </w:numPr>
        <w:spacing w:after="80"/>
      </w:pPr>
      <w:r>
        <w:rPr>
          <w:b w:val="false"/>
          <w:bCs w:val="false"/>
          <w:color w:val="2c2c2c"/>
          <w:sz w:val="22"/>
          <w:szCs w:val="22"/>
        </w:rPr>
        <w:t xml:space="preserve">Intereses de créditos bancarios para el negocio — deducibles 100%</w:t>
      </w:r>
    </w:p>
    <w:p>
      <w:pPr>
        <w:pStyle w:val="ListParagraph"/>
        <w:numPr>
          <w:ilvl w:val="0"/>
          <w:numId w:val="1"/>
        </w:numPr>
        <w:spacing w:after="80"/>
      </w:pPr>
      <w:r>
        <w:rPr>
          <w:b w:val="false"/>
          <w:bCs w:val="false"/>
          <w:color w:val="2c2c2c"/>
          <w:sz w:val="22"/>
          <w:szCs w:val="22"/>
        </w:rPr>
        <w:t xml:space="preserve">Depreciación de activos fijos (conforme a NIIF y normas fiscales)</w:t>
      </w:r>
    </w:p>
    <w:p>
      <w:pPr>
        <w:pStyle w:val="ListParagraph"/>
        <w:numPr>
          <w:ilvl w:val="0"/>
          <w:numId w:val="1"/>
        </w:numPr>
        <w:spacing w:after="80"/>
      </w:pPr>
      <w:r>
        <w:rPr>
          <w:b w:val="false"/>
          <w:bCs w:val="false"/>
          <w:color w:val="2c2c2c"/>
          <w:sz w:val="22"/>
          <w:szCs w:val="22"/>
        </w:rPr>
        <w:t xml:space="preserve">Arrendamientos de inmuebles y equipos de la actividad</w:t>
      </w:r>
    </w:p>
    <w:p>
      <w:pPr>
        <w:pStyle w:val="ListParagraph"/>
        <w:numPr>
          <w:ilvl w:val="0"/>
          <w:numId w:val="1"/>
        </w:numPr>
        <w:spacing w:after="80"/>
      </w:pPr>
      <w:r>
        <w:rPr>
          <w:b w:val="false"/>
          <w:bCs w:val="false"/>
          <w:color w:val="2c2c2c"/>
          <w:sz w:val="22"/>
          <w:szCs w:val="22"/>
        </w:rPr>
        <w:t xml:space="preserve">Donaciones a entidades del Régimen Tributario Especial — hasta el 25% de la renta líquida</w:t>
      </w:r>
    </w:p>
    <w:p>
      <w:pPr>
        <w:pStyle w:val="ListParagraph"/>
        <w:numPr>
          <w:ilvl w:val="0"/>
          <w:numId w:val="1"/>
        </w:numPr>
        <w:spacing w:after="80"/>
      </w:pPr>
      <w:r>
        <w:rPr>
          <w:b w:val="false"/>
          <w:bCs w:val="false"/>
          <w:color w:val="2c2c2c"/>
          <w:sz w:val="22"/>
          <w:szCs w:val="22"/>
        </w:rPr>
        <w:t xml:space="preserve">Inversión en ciencia, tecnología e innovación — descuento del 30% sobre el impuesto</w:t>
      </w:r>
    </w:p>
    <w:p>
      <w:pPr>
        <w:pStyle w:val="ListParagraph"/>
        <w:numPr>
          <w:ilvl w:val="0"/>
          <w:numId w:val="1"/>
        </w:numPr>
        <w:spacing w:after="80"/>
      </w:pPr>
      <w:r>
        <w:rPr>
          <w:b w:val="false"/>
          <w:bCs w:val="false"/>
          <w:color w:val="2c2c2c"/>
          <w:sz w:val="22"/>
          <w:szCs w:val="22"/>
        </w:rPr>
        <w:t xml:space="preserve">50% del GMF (4×1000) efectivamente pagado en el año</w:t>
      </w:r>
    </w:p>
    <w:p>
      <w:pPr>
        <w:pStyle w:val="ListParagraph"/>
        <w:numPr>
          <w:ilvl w:val="0"/>
          <w:numId w:val="1"/>
        </w:numPr>
        <w:spacing w:after="80"/>
      </w:pPr>
      <w:r>
        <w:rPr>
          <w:b w:val="false"/>
          <w:bCs w:val="false"/>
          <w:color w:val="2c2c2c"/>
          <w:sz w:val="22"/>
          <w:szCs w:val="22"/>
        </w:rPr>
        <w:t xml:space="preserve">ICA (Impuesto de Industria y Comercio) efectivamente pagado — deducible</w:t>
      </w:r>
    </w:p>
    <w:p>
      <w:pPr>
        <w:pBdr>
          <w:left w:val="single" w:color="c8102e" w:sz="16"/>
        </w:pBdr>
        <w:shd w:fill="fff3f3" w:val="clear"/>
        <w:spacing w:after="120" w:before="120"/>
        <w:ind w:left="400"/>
      </w:pPr>
      <w:r>
        <w:rPr>
          <w:b/>
          <w:bCs/>
          <w:color w:val="c8102e"/>
          <w:sz w:val="22"/>
          <w:szCs w:val="22"/>
        </w:rPr>
        <w:t xml:space="preserve">⚠️ NO DEDUCIBLES: </w:t>
      </w:r>
      <w:r>
        <w:rPr>
          <w:color w:val="2c2c2c"/>
          <w:sz w:val="22"/>
          <w:szCs w:val="22"/>
        </w:rPr>
        <w:t xml:space="preserve">No se pueden deducir: multas y sanciones, impuestos de renta, pagos en efectivo que superen el límite legal, costos sin soporte documental ni impuesto al patrimonio.</w:t>
      </w:r>
    </w:p>
    <w:p>
      <w:r>
        <w:br w:type="page"/>
      </w:r>
    </w:p>
    <w:p>
      <w:pPr>
        <w:pStyle w:val="Heading1"/>
        <w:pBdr>
          <w:bottom w:val="single" w:color="c8102e" w:sz="12" w:space="4"/>
        </w:pBdr>
        <w:spacing w:after="160" w:before="480"/>
      </w:pPr>
      <w:r>
        <w:t xml:space="preserve">3. IMPUESTO AL VALOR AGREGADO (IVA)</w:t>
      </w:r>
    </w:p>
    <w:p>
      <w:pPr>
        <w:spacing w:after="120"/>
        <w:jc w:val="both"/>
      </w:pPr>
      <w:r>
        <w:rPr>
          <w:color w:val="2c2c2c"/>
          <w:sz w:val="22"/>
          <w:szCs w:val="22"/>
        </w:rPr>
        <w:t xml:space="preserve">El IVA es el impuesto de mayor recaudo en Colombia después de la renta. Lo paga el consumidor final, pero quien lo administra, cobra y declara es el vendedor o prestador del servicio. Su marco legal son los artículos 420 al 513 del Estatuto Tributario.</w:t>
      </w:r>
    </w:p>
    <w:p>
      <w:pPr>
        <w:pStyle w:val="Heading2"/>
        <w:spacing w:after="120" w:before="320"/>
      </w:pPr>
      <w:r>
        <w:t xml:space="preserve">3.1 Tarifas del IVA en Colombia</w:t>
      </w:r>
    </w:p>
    <w:tbl>
      <w:tblPr>
        <w:tblW w:type="dxa" w:w="8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000"/>
        <w:gridCol w:w="3600"/>
      </w:tblGrid>
      <w:tr>
        <w:trPr>
          <w:tblHeader/>
        </w:trPr>
        <w:tc>
          <w:tcPr>
            <w:shd w:fill="1a3c6e" w:val="clear"/>
            <w:tcMar>
              <w:top w:type="dxa" w:w="80"/>
              <w:left w:type="dxa" w:w="120"/>
              <w:bottom w:type="dxa" w:w="80"/>
              <w:right w:type="dxa" w:w="120"/>
            </w:tcMar>
          </w:tcPr>
          <w:p>
            <w:pPr>
              <w:jc w:val="center"/>
            </w:pPr>
            <w:r>
              <w:rPr>
                <w:b/>
                <w:bCs/>
                <w:color w:val="ffffff"/>
                <w:sz w:val="20"/>
                <w:szCs w:val="20"/>
              </w:rPr>
              <w:t xml:space="preserve">Tarifa</w:t>
            </w:r>
          </w:p>
        </w:tc>
        <w:tc>
          <w:tcPr>
            <w:shd w:fill="1a3c6e" w:val="clear"/>
            <w:tcMar>
              <w:top w:type="dxa" w:w="80"/>
              <w:left w:type="dxa" w:w="120"/>
              <w:bottom w:type="dxa" w:w="80"/>
              <w:right w:type="dxa" w:w="120"/>
            </w:tcMar>
          </w:tcPr>
          <w:p>
            <w:pPr>
              <w:jc w:val="center"/>
            </w:pPr>
            <w:r>
              <w:rPr>
                <w:b/>
                <w:bCs/>
                <w:color w:val="ffffff"/>
                <w:sz w:val="20"/>
                <w:szCs w:val="20"/>
              </w:rPr>
              <w:t xml:space="preserve">Aplica a</w:t>
            </w:r>
          </w:p>
        </w:tc>
        <w:tc>
          <w:tcPr>
            <w:shd w:fill="1a3c6e" w:val="clear"/>
            <w:tcMar>
              <w:top w:type="dxa" w:w="80"/>
              <w:left w:type="dxa" w:w="120"/>
              <w:bottom w:type="dxa" w:w="80"/>
              <w:right w:type="dxa" w:w="120"/>
            </w:tcMar>
          </w:tcPr>
          <w:p>
            <w:pPr>
              <w:jc w:val="center"/>
            </w:pPr>
            <w:r>
              <w:rPr>
                <w:b/>
                <w:bCs/>
                <w:color w:val="ffffff"/>
                <w:sz w:val="20"/>
                <w:szCs w:val="20"/>
              </w:rPr>
              <w:t xml:space="preserve">Ejemplos</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19% (General)</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Todos los bienes y servicios no clasificados en otra categoría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Ropa, calzado, electrodomésticos, vehículos, servicios de restaurante, telefonía</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5% (Diferencial)</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Bienes del Art. 468-1 del ET</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Café tostado, cacao, aceites de cocina, medicina prepagada, planes de salud, bicicletas, almacenamiento agropecuario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0% (Exentos)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Bienes del Art. 477 ET — con derecho a devolución de IVA en insumos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Exportaciones, animales vivos de granja, algunos productos agropecuarios sin procesar</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0% (Excluidos)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Bienes del Art. 424 ET — SIN derecho a devolución</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Carnes, leche, huevos, frutas frescas, libros, medicamentos, servicios médicos, educación</w:t>
            </w:r>
          </w:p>
        </w:tc>
      </w:tr>
    </w:tbl>
    <w:p>
      <w:pPr>
        <w:spacing w:after="200"/>
      </w:pPr>
    </w:p>
    <w:p>
      <w:pPr>
        <w:pBdr>
          <w:left w:val="single" w:color="1a3c6e" w:sz="16"/>
        </w:pBdr>
        <w:shd w:fill="f0f4ff" w:val="clear"/>
        <w:spacing w:after="120" w:before="120"/>
        <w:ind w:left="400"/>
      </w:pPr>
      <w:r>
        <w:rPr>
          <w:b/>
          <w:bCs/>
          <w:color w:val="1a3c6e"/>
          <w:sz w:val="22"/>
          <w:szCs w:val="22"/>
        </w:rPr>
        <w:t xml:space="preserve">ℹ️ Cambio clave 2025–2026: </w:t>
      </w:r>
      <w:r>
        <w:rPr>
          <w:color w:val="2c2c2c"/>
          <w:sz w:val="22"/>
          <w:szCs w:val="22"/>
        </w:rPr>
        <w:t xml:space="preserve">No hubo modificaciones en las tarifas de IVA en 2025 ni en 2026. La tarifa general del 19% rige desde la Reforma Tributaria de 2016 (Ley 1819).</w:t>
      </w:r>
    </w:p>
    <w:p>
      <w:pPr>
        <w:pStyle w:val="Heading2"/>
        <w:spacing w:after="120" w:before="320"/>
      </w:pPr>
      <w:r>
        <w:t xml:space="preserve">3.2 ¿Quién debe cobrar IVA?</w:t>
      </w:r>
    </w:p>
    <w:p>
      <w:pPr>
        <w:spacing w:after="120"/>
        <w:jc w:val="both"/>
      </w:pPr>
      <w:r>
        <w:rPr>
          <w:color w:val="2c2c2c"/>
          <w:sz w:val="22"/>
          <w:szCs w:val="22"/>
        </w:rPr>
        <w:t xml:space="preserve">Están obligados a cobrar, declarar y pagar IVA todas las personas naturales y jurídicas que vendan bienes gravados o presten servicios gravados. Una persona natural puede ser NO responsable de IVA si cumple TODAS estas condiciones simultáneas:</w:t>
      </w:r>
    </w:p>
    <w:p>
      <w:pPr>
        <w:pStyle w:val="ListParagraph"/>
        <w:numPr>
          <w:ilvl w:val="0"/>
          <w:numId w:val="1"/>
        </w:numPr>
        <w:spacing w:after="80"/>
      </w:pPr>
      <w:r>
        <w:rPr>
          <w:b w:val="false"/>
          <w:bCs w:val="false"/>
          <w:color w:val="2c2c2c"/>
          <w:sz w:val="22"/>
          <w:szCs w:val="22"/>
        </w:rPr>
        <w:t xml:space="preserve">Ingresos brutos del año 2025 inferiores a 3.500 UVT ($183.309.000)</w:t>
      </w:r>
    </w:p>
    <w:p>
      <w:pPr>
        <w:pStyle w:val="ListParagraph"/>
        <w:numPr>
          <w:ilvl w:val="0"/>
          <w:numId w:val="1"/>
        </w:numPr>
        <w:spacing w:after="80"/>
      </w:pPr>
      <w:r>
        <w:rPr>
          <w:b w:val="false"/>
          <w:bCs w:val="false"/>
          <w:color w:val="2c2c2c"/>
          <w:sz w:val="22"/>
          <w:szCs w:val="22"/>
        </w:rPr>
        <w:t xml:space="preserve">Patrimonio bruto inferior a 4.500 UVT ($235.683.000)</w:t>
      </w:r>
    </w:p>
    <w:p>
      <w:pPr>
        <w:pStyle w:val="ListParagraph"/>
        <w:numPr>
          <w:ilvl w:val="0"/>
          <w:numId w:val="1"/>
        </w:numPr>
        <w:spacing w:after="80"/>
      </w:pPr>
      <w:r>
        <w:rPr>
          <w:b w:val="false"/>
          <w:bCs w:val="false"/>
          <w:color w:val="2c2c2c"/>
          <w:sz w:val="22"/>
          <w:szCs w:val="22"/>
        </w:rPr>
        <w:t xml:space="preserve">Consignaciones bancarias del año anteriores a 3.500 UVT</w:t>
      </w:r>
    </w:p>
    <w:p>
      <w:pPr>
        <w:pStyle w:val="ListParagraph"/>
        <w:numPr>
          <w:ilvl w:val="0"/>
          <w:numId w:val="1"/>
        </w:numPr>
        <w:spacing w:after="80"/>
      </w:pPr>
      <w:r>
        <w:rPr>
          <w:b w:val="false"/>
          <w:bCs w:val="false"/>
          <w:color w:val="2c2c2c"/>
          <w:sz w:val="22"/>
          <w:szCs w:val="22"/>
        </w:rPr>
        <w:t xml:space="preserve">No tener más de un establecimiento de comercio o local</w:t>
      </w:r>
    </w:p>
    <w:p>
      <w:pPr>
        <w:pStyle w:val="ListParagraph"/>
        <w:numPr>
          <w:ilvl w:val="0"/>
          <w:numId w:val="1"/>
        </w:numPr>
        <w:spacing w:after="80"/>
      </w:pPr>
      <w:r>
        <w:rPr>
          <w:b w:val="false"/>
          <w:bCs w:val="false"/>
          <w:color w:val="2c2c2c"/>
          <w:sz w:val="22"/>
          <w:szCs w:val="22"/>
        </w:rPr>
        <w:t xml:space="preserve">No ser usuario aduanero ni importador</w:t>
      </w:r>
    </w:p>
    <w:p>
      <w:pPr>
        <w:pBdr>
          <w:left w:val="single" w:color="c8102e" w:sz="16"/>
        </w:pBdr>
        <w:shd w:fill="fff3f3" w:val="clear"/>
        <w:spacing w:after="120" w:before="120"/>
        <w:ind w:left="400"/>
      </w:pPr>
      <w:r>
        <w:rPr>
          <w:b/>
          <w:bCs/>
          <w:color w:val="c8102e"/>
          <w:sz w:val="22"/>
          <w:szCs w:val="22"/>
        </w:rPr>
        <w:t xml:space="preserve">⚠️ ATENCIÓN: </w:t>
      </w:r>
      <w:r>
        <w:rPr>
          <w:color w:val="2c2c2c"/>
          <w:sz w:val="22"/>
          <w:szCs w:val="22"/>
        </w:rPr>
        <w:t xml:space="preserve">Una persona jurídica (empresa) SIEMPRE es responsable de IVA si vende bienes o presta servicios gravados. Los umbrales de 'no responsable' aplican únicamente a personas naturales.</w:t>
      </w:r>
    </w:p>
    <w:p>
      <w:pPr>
        <w:pStyle w:val="Heading2"/>
        <w:spacing w:after="120" w:before="320"/>
      </w:pPr>
      <w:r>
        <w:t xml:space="preserve">3.3 Periodicidad de Declaración del IVA</w:t>
      </w:r>
    </w:p>
    <w:tbl>
      <w:tblPr>
        <w:tblW w:type="dxa" w:w="8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500"/>
        <w:gridCol w:w="2600"/>
      </w:tblGrid>
      <w:tr>
        <w:trPr>
          <w:tblHeader/>
        </w:trPr>
        <w:tc>
          <w:tcPr>
            <w:shd w:fill="1a3c6e" w:val="clear"/>
            <w:tcMar>
              <w:top w:type="dxa" w:w="80"/>
              <w:left w:type="dxa" w:w="120"/>
              <w:bottom w:type="dxa" w:w="80"/>
              <w:right w:type="dxa" w:w="120"/>
            </w:tcMar>
          </w:tcPr>
          <w:p>
            <w:pPr>
              <w:jc w:val="center"/>
            </w:pPr>
            <w:r>
              <w:rPr>
                <w:b/>
                <w:bCs/>
                <w:color w:val="ffffff"/>
                <w:sz w:val="20"/>
                <w:szCs w:val="20"/>
              </w:rPr>
              <w:t xml:space="preserve">Tipo de Contribuyente</w:t>
            </w:r>
          </w:p>
        </w:tc>
        <w:tc>
          <w:tcPr>
            <w:shd w:fill="1a3c6e" w:val="clear"/>
            <w:tcMar>
              <w:top w:type="dxa" w:w="80"/>
              <w:left w:type="dxa" w:w="120"/>
              <w:bottom w:type="dxa" w:w="80"/>
              <w:right w:type="dxa" w:w="120"/>
            </w:tcMar>
          </w:tcPr>
          <w:p>
            <w:pPr>
              <w:jc w:val="center"/>
            </w:pPr>
            <w:r>
              <w:rPr>
                <w:b/>
                <w:bCs/>
                <w:color w:val="ffffff"/>
                <w:sz w:val="20"/>
                <w:szCs w:val="20"/>
              </w:rPr>
              <w:t xml:space="preserve">Periodicidad</w:t>
            </w:r>
          </w:p>
        </w:tc>
        <w:tc>
          <w:tcPr>
            <w:shd w:fill="1a3c6e" w:val="clear"/>
            <w:tcMar>
              <w:top w:type="dxa" w:w="80"/>
              <w:left w:type="dxa" w:w="120"/>
              <w:bottom w:type="dxa" w:w="80"/>
              <w:right w:type="dxa" w:w="120"/>
            </w:tcMar>
          </w:tcPr>
          <w:p>
            <w:pPr>
              <w:jc w:val="center"/>
            </w:pPr>
            <w:r>
              <w:rPr>
                <w:b/>
                <w:bCs/>
                <w:color w:val="ffffff"/>
                <w:sz w:val="20"/>
                <w:szCs w:val="20"/>
              </w:rPr>
              <w:t xml:space="preserve">Formulario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Grandes contribuyentes y la mayoría de empresas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Bimestral (6 declaraciones/año)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Formulario 300</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Personas naturales/empresas con ingresos menores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Cuatrimestral (3 declaraciones/año)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Formulario 300</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Régimen Simple de Tributación (responsables de IVA)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Anual consolidada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Formulario 300</w:t>
            </w:r>
          </w:p>
        </w:tc>
      </w:tr>
    </w:tbl>
    <w:p>
      <w:pPr>
        <w:spacing w:after="200"/>
      </w:pPr>
    </w:p>
    <w:p>
      <w:pPr>
        <w:pStyle w:val="Heading2"/>
        <w:spacing w:after="120" w:before="320"/>
      </w:pPr>
      <w:r>
        <w:t xml:space="preserve">3.4 IVA Descontable vs. IVA Generado</w:t>
      </w:r>
    </w:p>
    <w:p>
      <w:pPr>
        <w:spacing w:after="120"/>
        <w:jc w:val="both"/>
      </w:pPr>
      <w:r>
        <w:rPr>
          <w:color w:val="2c2c2c"/>
          <w:sz w:val="22"/>
          <w:szCs w:val="22"/>
        </w:rPr>
        <w:t xml:space="preserve">La empresa paga IVA en sus compras (IVA descontable) y cobra IVA en sus ventas (IVA generado). En la declaración solo se paga la diferencia:</w:t>
      </w:r>
    </w:p>
    <w:p>
      <w:pPr>
        <w:pStyle w:val="ListParagraph"/>
        <w:numPr>
          <w:ilvl w:val="0"/>
          <w:numId w:val="1"/>
        </w:numPr>
        <w:spacing w:after="80"/>
      </w:pPr>
      <w:r>
        <w:rPr>
          <w:b w:val="false"/>
          <w:bCs w:val="false"/>
          <w:color w:val="2c2c2c"/>
          <w:sz w:val="22"/>
          <w:szCs w:val="22"/>
        </w:rPr>
        <w:t xml:space="preserve">IVA generado &gt; IVA descontable → la empresa PAGA la diferencia a la DIAN</w:t>
      </w:r>
    </w:p>
    <w:p>
      <w:pPr>
        <w:pStyle w:val="ListParagraph"/>
        <w:numPr>
          <w:ilvl w:val="0"/>
          <w:numId w:val="1"/>
        </w:numPr>
        <w:spacing w:after="80"/>
      </w:pPr>
      <w:r>
        <w:rPr>
          <w:b w:val="false"/>
          <w:bCs w:val="false"/>
          <w:color w:val="2c2c2c"/>
          <w:sz w:val="22"/>
          <w:szCs w:val="22"/>
        </w:rPr>
        <w:t xml:space="preserve">IVA generado &lt; IVA descontable → la empresa genera un SALDO A FAVOR que puede solicitar en devolución o compensación</w:t>
      </w:r>
    </w:p>
    <w:p>
      <w:pPr>
        <w:pBdr>
          <w:left w:val="single" w:color="1a3c6e" w:sz="16"/>
        </w:pBdr>
        <w:shd w:fill="f0f4ff" w:val="clear"/>
        <w:spacing w:after="120" w:before="120"/>
        <w:ind w:left="400"/>
      </w:pPr>
      <w:r>
        <w:rPr>
          <w:b/>
          <w:bCs/>
          <w:color w:val="1a3c6e"/>
          <w:sz w:val="22"/>
          <w:szCs w:val="22"/>
        </w:rPr>
        <w:t xml:space="preserve">ℹ️ Nota importante: </w:t>
      </w:r>
      <w:r>
        <w:rPr>
          <w:color w:val="2c2c2c"/>
          <w:sz w:val="22"/>
          <w:szCs w:val="22"/>
        </w:rPr>
        <w:t xml:space="preserve">El IVA descontable solo puede aplicarse si el bien comprado tiene relación de causalidad con la actividad y si se cuenta con la factura electrónica válida de la compra.</w:t>
      </w:r>
    </w:p>
    <w:p>
      <w:r>
        <w:br w:type="page"/>
      </w:r>
    </w:p>
    <w:p>
      <w:pPr>
        <w:pStyle w:val="Heading1"/>
        <w:pBdr>
          <w:bottom w:val="single" w:color="c8102e" w:sz="12" w:space="4"/>
        </w:pBdr>
        <w:spacing w:after="160" w:before="480"/>
      </w:pPr>
      <w:r>
        <w:t xml:space="preserve">4. RETENCIÓN EN LA FUENTE</w:t>
      </w:r>
    </w:p>
    <w:p>
      <w:pPr>
        <w:spacing w:after="120"/>
        <w:jc w:val="both"/>
      </w:pPr>
      <w:r>
        <w:rPr>
          <w:color w:val="2c2c2c"/>
          <w:sz w:val="22"/>
          <w:szCs w:val="22"/>
        </w:rPr>
        <w:t xml:space="preserve">La retención en la fuente es un mecanismo de anticipación del pago de impuestos. Quien hace un pago (agente retenedor) descuenta un porcentaje y lo entrega directamente a la DIAN. El beneficiario recibe menos, pero ese valor retenido lo descuenta después en su declaración anual.</w:t>
      </w:r>
    </w:p>
    <w:p>
      <w:pPr>
        <w:pStyle w:val="Heading2"/>
        <w:spacing w:after="120" w:before="320"/>
      </w:pPr>
      <w:r>
        <w:t xml:space="preserve">4.1 ¿Quién es Agente Retenedor?</w:t>
      </w:r>
    </w:p>
    <w:p>
      <w:pPr>
        <w:spacing w:after="120"/>
        <w:jc w:val="both"/>
      </w:pPr>
      <w:r>
        <w:rPr>
          <w:color w:val="2c2c2c"/>
          <w:sz w:val="22"/>
          <w:szCs w:val="22"/>
        </w:rPr>
        <w:t xml:space="preserve">Son obligados a practicar retención en la fuente las entidades de derecho público, los fondos de inversión y las personas jurídicas, así como las personas naturales con:</w:t>
      </w:r>
    </w:p>
    <w:p>
      <w:pPr>
        <w:pStyle w:val="ListParagraph"/>
        <w:numPr>
          <w:ilvl w:val="0"/>
          <w:numId w:val="1"/>
        </w:numPr>
        <w:spacing w:after="80"/>
      </w:pPr>
      <w:r>
        <w:rPr>
          <w:b w:val="false"/>
          <w:bCs w:val="false"/>
          <w:color w:val="2c2c2c"/>
          <w:sz w:val="22"/>
          <w:szCs w:val="22"/>
        </w:rPr>
        <w:t xml:space="preserve">Patrimonio bruto superior a 30.000 UVT ($1.411.950.000 en 2025) — Art. 368-2 E.T.</w:t>
      </w:r>
    </w:p>
    <w:p>
      <w:pPr>
        <w:pStyle w:val="ListParagraph"/>
        <w:numPr>
          <w:ilvl w:val="0"/>
          <w:numId w:val="1"/>
        </w:numPr>
        <w:spacing w:after="80"/>
      </w:pPr>
      <w:r>
        <w:rPr>
          <w:b w:val="false"/>
          <w:bCs w:val="false"/>
          <w:color w:val="2c2c2c"/>
          <w:sz w:val="22"/>
          <w:szCs w:val="22"/>
        </w:rPr>
        <w:t xml:space="preserve">Ingresos brutos superiores a 30.000 UVT en el año anterior</w:t>
      </w:r>
    </w:p>
    <w:p>
      <w:pPr>
        <w:pStyle w:val="ListParagraph"/>
        <w:numPr>
          <w:ilvl w:val="0"/>
          <w:numId w:val="1"/>
        </w:numPr>
        <w:spacing w:after="80"/>
      </w:pPr>
      <w:r>
        <w:rPr>
          <w:b w:val="false"/>
          <w:bCs w:val="false"/>
          <w:color w:val="2c2c2c"/>
          <w:sz w:val="22"/>
          <w:szCs w:val="22"/>
        </w:rPr>
        <w:t xml:space="preserve">Que sean grandes contribuyentes</w:t>
      </w:r>
    </w:p>
    <w:p>
      <w:pPr>
        <w:pStyle w:val="Heading2"/>
        <w:spacing w:after="120" w:before="320"/>
      </w:pPr>
      <w:r>
        <w:t xml:space="preserve">4.2 Principales Tarifas de Retención en la Fuente</w:t>
      </w:r>
    </w:p>
    <w:tbl>
      <w:tblPr>
        <w:tblW w:type="dxa" w:w="8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1600"/>
        <w:gridCol w:w="3700"/>
      </w:tblGrid>
      <w:tr>
        <w:trPr>
          <w:tblHeader/>
        </w:trPr>
        <w:tc>
          <w:tcPr>
            <w:shd w:fill="1a3c6e" w:val="clear"/>
            <w:tcMar>
              <w:top w:type="dxa" w:w="80"/>
              <w:left w:type="dxa" w:w="120"/>
              <w:bottom w:type="dxa" w:w="80"/>
              <w:right w:type="dxa" w:w="120"/>
            </w:tcMar>
          </w:tcPr>
          <w:p>
            <w:pPr>
              <w:jc w:val="center"/>
            </w:pPr>
            <w:r>
              <w:rPr>
                <w:b/>
                <w:bCs/>
                <w:color w:val="ffffff"/>
                <w:sz w:val="20"/>
                <w:szCs w:val="20"/>
              </w:rPr>
              <w:t xml:space="preserve">Concepto del Pago</w:t>
            </w:r>
          </w:p>
        </w:tc>
        <w:tc>
          <w:tcPr>
            <w:shd w:fill="1a3c6e" w:val="clear"/>
            <w:tcMar>
              <w:top w:type="dxa" w:w="80"/>
              <w:left w:type="dxa" w:w="120"/>
              <w:bottom w:type="dxa" w:w="80"/>
              <w:right w:type="dxa" w:w="120"/>
            </w:tcMar>
          </w:tcPr>
          <w:p>
            <w:pPr>
              <w:jc w:val="center"/>
            </w:pPr>
            <w:r>
              <w:rPr>
                <w:b/>
                <w:bCs/>
                <w:color w:val="ffffff"/>
                <w:sz w:val="20"/>
                <w:szCs w:val="20"/>
              </w:rPr>
              <w:t xml:space="preserve">Tarifa</w:t>
            </w:r>
          </w:p>
        </w:tc>
        <w:tc>
          <w:tcPr>
            <w:shd w:fill="1a3c6e" w:val="clear"/>
            <w:tcMar>
              <w:top w:type="dxa" w:w="80"/>
              <w:left w:type="dxa" w:w="120"/>
              <w:bottom w:type="dxa" w:w="80"/>
              <w:right w:type="dxa" w:w="120"/>
            </w:tcMar>
          </w:tcPr>
          <w:p>
            <w:pPr>
              <w:jc w:val="center"/>
            </w:pPr>
            <w:r>
              <w:rPr>
                <w:b/>
                <w:bCs/>
                <w:color w:val="ffffff"/>
                <w:sz w:val="20"/>
                <w:szCs w:val="20"/>
              </w:rPr>
              <w:t xml:space="preserve">Base Mínima</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Salarios y pagos laborales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Tabla progresiva 19%–39%</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95 UVT/mes ($4.731.000 en 2025)</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Honorarios y servicios (declarantes)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4%</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2 UVT por pago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Honorarios y servicios (no declarantes)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6%</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2 UVT por pago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Compras de mercancía (declarantes)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2.5%</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27 UVT</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Compras de mercancía (no declarantes)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3.5%</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27 UVT</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Arrendamientos (inmuebles, declarantes)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3.5%</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No tiene base mínima</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Dividendos gravados (personas naturales)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33%</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Por el exceso de la parte gravada</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Pagos al exterior (servicios técnicos)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10%</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Todo valor</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Rendimientos financieros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4% – 7%</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Según tipo de producto</w:t>
            </w:r>
          </w:p>
        </w:tc>
      </w:tr>
    </w:tbl>
    <w:p>
      <w:pPr>
        <w:spacing w:after="200"/>
      </w:pPr>
    </w:p>
    <w:p>
      <w:pPr>
        <w:pBdr>
          <w:left w:val="single" w:color="c8102e" w:sz="16"/>
        </w:pBdr>
        <w:shd w:fill="fff3f3" w:val="clear"/>
        <w:spacing w:after="120" w:before="120"/>
        <w:ind w:left="400"/>
      </w:pPr>
      <w:r>
        <w:rPr>
          <w:b/>
          <w:bCs/>
          <w:color w:val="c8102e"/>
          <w:sz w:val="22"/>
          <w:szCs w:val="22"/>
        </w:rPr>
        <w:t xml:space="preserve">⚠️ ALERTA LEGAL 2026: </w:t>
      </w:r>
      <w:r>
        <w:rPr>
          <w:color w:val="2c2c2c"/>
          <w:sz w:val="22"/>
          <w:szCs w:val="22"/>
        </w:rPr>
        <w:t xml:space="preserve">El Decreto 572 de mayo 2025 que modificaba tarifas de retención fue suspendido provisionalmente por el Consejo de Estado (Auto del 7 de mayo de 2026). Esto implica que se revirtieron las tarifas anteriores al decreto. Las empresas deben verificar con su contador cuáles tarifas aplicar para cada período específico.</w:t>
      </w:r>
    </w:p>
    <w:p>
      <w:pPr>
        <w:pStyle w:val="Heading2"/>
        <w:spacing w:after="120" w:before="320"/>
      </w:pPr>
      <w:r>
        <w:t xml:space="preserve">4.3 Consecuencias de no Practicar Retención</w:t>
      </w:r>
    </w:p>
    <w:p>
      <w:pPr>
        <w:pStyle w:val="ListParagraph"/>
        <w:numPr>
          <w:ilvl w:val="0"/>
          <w:numId w:val="1"/>
        </w:numPr>
        <w:spacing w:after="80"/>
      </w:pPr>
      <w:r>
        <w:rPr>
          <w:b w:val="false"/>
          <w:bCs w:val="false"/>
          <w:color w:val="2c2c2c"/>
          <w:sz w:val="22"/>
          <w:szCs w:val="22"/>
        </w:rPr>
        <w:t xml:space="preserve">La empresa no puede deducir fiscalmente el gasto sobre el que debió retener (Art. 177-2 E.T.)</w:t>
      </w:r>
    </w:p>
    <w:p>
      <w:pPr>
        <w:pStyle w:val="ListParagraph"/>
        <w:numPr>
          <w:ilvl w:val="0"/>
          <w:numId w:val="1"/>
        </w:numPr>
        <w:spacing w:after="80"/>
      </w:pPr>
      <w:r>
        <w:rPr>
          <w:b w:val="false"/>
          <w:bCs w:val="false"/>
          <w:color w:val="2c2c2c"/>
          <w:sz w:val="22"/>
          <w:szCs w:val="22"/>
        </w:rPr>
        <w:t xml:space="preserve">Se generan sanciones del 10% sobre los valores no retenidos (Art. 667 E.T.)</w:t>
      </w:r>
    </w:p>
    <w:p>
      <w:pPr>
        <w:pStyle w:val="ListParagraph"/>
        <w:numPr>
          <w:ilvl w:val="0"/>
          <w:numId w:val="1"/>
        </w:numPr>
        <w:spacing w:after="80"/>
      </w:pPr>
      <w:r>
        <w:rPr>
          <w:b w:val="false"/>
          <w:bCs w:val="false"/>
          <w:color w:val="2c2c2c"/>
          <w:sz w:val="22"/>
          <w:szCs w:val="22"/>
        </w:rPr>
        <w:t xml:space="preserve">La empresa responde con su propio patrimonio por los valores no retenidos</w:t>
      </w:r>
    </w:p>
    <w:p>
      <w:pPr>
        <w:pStyle w:val="ListParagraph"/>
        <w:numPr>
          <w:ilvl w:val="0"/>
          <w:numId w:val="1"/>
        </w:numPr>
        <w:spacing w:after="80"/>
      </w:pPr>
      <w:r>
        <w:rPr>
          <w:b w:val="false"/>
          <w:bCs w:val="false"/>
          <w:color w:val="2c2c2c"/>
          <w:sz w:val="22"/>
          <w:szCs w:val="22"/>
        </w:rPr>
        <w:t xml:space="preserve">Pueden generarse intereses de mora del 29.42% anual efectivo sobre valores no consignados a tiempo</w:t>
      </w:r>
    </w:p>
    <w:p>
      <w:r>
        <w:br w:type="page"/>
      </w:r>
    </w:p>
    <w:p>
      <w:pPr>
        <w:pStyle w:val="Heading1"/>
        <w:pBdr>
          <w:bottom w:val="single" w:color="c8102e" w:sz="12" w:space="4"/>
        </w:pBdr>
        <w:spacing w:after="160" w:before="480"/>
      </w:pPr>
      <w:r>
        <w:t xml:space="preserve">5. REGÍMENES TRIBUTARIOS — ¿CUÁL CONVIENE A SU EMPRESA?</w:t>
      </w:r>
    </w:p>
    <w:p>
      <w:pPr>
        <w:spacing w:after="120"/>
        <w:jc w:val="both"/>
      </w:pPr>
      <w:r>
        <w:rPr>
          <w:color w:val="2c2c2c"/>
          <w:sz w:val="22"/>
          <w:szCs w:val="22"/>
        </w:rPr>
        <w:t xml:space="preserve">En Colombia existen tres regímenes tributarios principales para empresas. Elegir el correcto puede representar un ahorro significativo o una carga innecesaria. La decisión debe tomarse con asesoría contable y tributaria.</w:t>
      </w:r>
    </w:p>
    <w:p>
      <w:pPr>
        <w:pStyle w:val="Heading2"/>
        <w:spacing w:after="120" w:before="320"/>
      </w:pPr>
      <w:r>
        <w:t xml:space="preserve">5.1 Régimen Ordinario</w:t>
      </w:r>
    </w:p>
    <w:p>
      <w:pPr>
        <w:spacing w:after="120"/>
        <w:jc w:val="both"/>
      </w:pPr>
      <w:r>
        <w:rPr>
          <w:color w:val="2c2c2c"/>
          <w:sz w:val="22"/>
          <w:szCs w:val="22"/>
        </w:rPr>
        <w:t xml:space="preserve">Es el régimen general para la mayoría de empresas. No se paga impuesto sobre los ingresos totales sino sobre la UTILIDAD FISCAL (ingresos menos costos y gastos deducibles). Aplica el impuesto de renta del 35%, IVA bimestral o cuatrimestral, y retención en la fuente mensual.</w:t>
      </w:r>
    </w:p>
    <w:p>
      <w:pPr>
        <w:pStyle w:val="ListParagraph"/>
        <w:numPr>
          <w:ilvl w:val="0"/>
          <w:numId w:val="1"/>
        </w:numPr>
        <w:spacing w:after="80"/>
      </w:pPr>
      <w:r>
        <w:rPr>
          <w:b w:val="false"/>
          <w:bCs w:val="false"/>
          <w:color w:val="2c2c2c"/>
          <w:sz w:val="22"/>
          <w:szCs w:val="22"/>
        </w:rPr>
        <w:t xml:space="preserve">Tarifa de renta: 35% sobre utilidad fiscal</w:t>
      </w:r>
    </w:p>
    <w:p>
      <w:pPr>
        <w:pStyle w:val="ListParagraph"/>
        <w:numPr>
          <w:ilvl w:val="0"/>
          <w:numId w:val="1"/>
        </w:numPr>
        <w:spacing w:after="80"/>
      </w:pPr>
      <w:r>
        <w:rPr>
          <w:b w:val="false"/>
          <w:bCs w:val="false"/>
          <w:color w:val="2c2c2c"/>
          <w:sz w:val="22"/>
          <w:szCs w:val="22"/>
        </w:rPr>
        <w:t xml:space="preserve">Permite deducir todos los gastos con relación de causalidad</w:t>
      </w:r>
    </w:p>
    <w:p>
      <w:pPr>
        <w:pStyle w:val="ListParagraph"/>
        <w:numPr>
          <w:ilvl w:val="0"/>
          <w:numId w:val="1"/>
        </w:numPr>
        <w:spacing w:after="80"/>
      </w:pPr>
      <w:r>
        <w:rPr>
          <w:b w:val="false"/>
          <w:bCs w:val="false"/>
          <w:color w:val="2c2c2c"/>
          <w:sz w:val="22"/>
          <w:szCs w:val="22"/>
        </w:rPr>
        <w:t xml:space="preserve">Obliga a declarar IVA, renta y retención por separado</w:t>
      </w:r>
    </w:p>
    <w:p>
      <w:pPr>
        <w:pStyle w:val="ListParagraph"/>
        <w:numPr>
          <w:ilvl w:val="0"/>
          <w:numId w:val="1"/>
        </w:numPr>
        <w:spacing w:after="80"/>
      </w:pPr>
      <w:r>
        <w:rPr>
          <w:b w:val="false"/>
          <w:bCs w:val="false"/>
          <w:color w:val="2c2c2c"/>
          <w:sz w:val="22"/>
          <w:szCs w:val="22"/>
        </w:rPr>
        <w:t xml:space="preserve">Aplica para todas las empresas que no cumplan requisitos del Régimen Simple o Especial</w:t>
      </w:r>
    </w:p>
    <w:p>
      <w:pPr>
        <w:pStyle w:val="Heading2"/>
        <w:spacing w:after="120" w:before="320"/>
      </w:pPr>
      <w:r>
        <w:t xml:space="preserve">5.2 Régimen Simple de Tributación (RST)</w:t>
      </w:r>
    </w:p>
    <w:p>
      <w:pPr>
        <w:spacing w:after="120"/>
        <w:jc w:val="both"/>
      </w:pPr>
      <w:r>
        <w:rPr>
          <w:color w:val="2c2c2c"/>
          <w:sz w:val="22"/>
          <w:szCs w:val="22"/>
        </w:rPr>
        <w:t xml:space="preserve">El RST es un régimen VOLUNTARIO creado por la Ley 2010 de 2019 para simplificar el cumplimiento tributario de pequeñas y medianas empresas. Unifica renta, ICA (Industria y Comercio), y otros impuestos en una sola declaración anual con anticipos bimestrales.</w:t>
      </w:r>
    </w:p>
    <w:p>
      <w:pPr>
        <w:pStyle w:val="Heading3"/>
        <w:spacing w:after="80" w:before="200"/>
      </w:pPr>
      <w:r>
        <w:t xml:space="preserve">Requisitos para acceder al RST:</w:t>
      </w:r>
    </w:p>
    <w:p>
      <w:pPr>
        <w:pStyle w:val="ListParagraph"/>
        <w:numPr>
          <w:ilvl w:val="0"/>
          <w:numId w:val="1"/>
        </w:numPr>
        <w:spacing w:after="80"/>
      </w:pPr>
      <w:r>
        <w:rPr>
          <w:b w:val="false"/>
          <w:bCs w:val="false"/>
          <w:color w:val="2c2c2c"/>
          <w:sz w:val="22"/>
          <w:szCs w:val="22"/>
        </w:rPr>
        <w:t xml:space="preserve">Ingresos brutos del año anterior inferiores a 100.000 UVT ($4.979.900.000 en 2025 / $5.237.400.000 en 2026)</w:t>
      </w:r>
    </w:p>
    <w:p>
      <w:pPr>
        <w:pStyle w:val="ListParagraph"/>
        <w:numPr>
          <w:ilvl w:val="0"/>
          <w:numId w:val="1"/>
        </w:numPr>
        <w:spacing w:after="80"/>
      </w:pPr>
      <w:r>
        <w:rPr>
          <w:b w:val="false"/>
          <w:bCs w:val="false"/>
          <w:color w:val="2c2c2c"/>
          <w:sz w:val="22"/>
          <w:szCs w:val="22"/>
        </w:rPr>
        <w:t xml:space="preserve">Ser persona natural residente o persona jurídica cuyos accionistas sean personas naturales residentes en Colombia</w:t>
      </w:r>
    </w:p>
    <w:p>
      <w:pPr>
        <w:pStyle w:val="ListParagraph"/>
        <w:numPr>
          <w:ilvl w:val="0"/>
          <w:numId w:val="1"/>
        </w:numPr>
        <w:spacing w:after="80"/>
      </w:pPr>
      <w:r>
        <w:rPr>
          <w:b w:val="false"/>
          <w:bCs w:val="false"/>
          <w:color w:val="2c2c2c"/>
          <w:sz w:val="22"/>
          <w:szCs w:val="22"/>
        </w:rPr>
        <w:t xml:space="preserve">No pertenecer a sectores excluidos (fabricación de armas, importación de combustibles, actividades financieras)</w:t>
      </w:r>
    </w:p>
    <w:p>
      <w:pPr>
        <w:pStyle w:val="ListParagraph"/>
        <w:numPr>
          <w:ilvl w:val="0"/>
          <w:numId w:val="1"/>
        </w:numPr>
        <w:spacing w:after="80"/>
      </w:pPr>
      <w:r>
        <w:rPr>
          <w:b w:val="false"/>
          <w:bCs w:val="false"/>
          <w:color w:val="2c2c2c"/>
          <w:sz w:val="22"/>
          <w:szCs w:val="22"/>
        </w:rPr>
        <w:t xml:space="preserve">Uso obligatorio de facturación electrónica</w:t>
      </w:r>
    </w:p>
    <w:p>
      <w:pPr>
        <w:pStyle w:val="ListParagraph"/>
        <w:numPr>
          <w:ilvl w:val="0"/>
          <w:numId w:val="1"/>
        </w:numPr>
        <w:spacing w:after="80"/>
      </w:pPr>
      <w:r>
        <w:rPr>
          <w:b w:val="false"/>
          <w:bCs w:val="false"/>
          <w:color w:val="2c2c2c"/>
          <w:sz w:val="22"/>
          <w:szCs w:val="22"/>
        </w:rPr>
        <w:t xml:space="preserve">Profesiones liberales con ingresos hasta 12.000 UVT</w:t>
      </w:r>
    </w:p>
    <w:p>
      <w:pPr>
        <w:pStyle w:val="Heading3"/>
        <w:spacing w:after="80" w:before="200"/>
      </w:pPr>
      <w:r>
        <w:t xml:space="preserve">Tarifas del RST (oscilan entre 1.2% y 14.5% sobre ingresos brutos):</w:t>
      </w:r>
    </w:p>
    <w:tbl>
      <w:tblPr>
        <w:tblW w:type="dxa" w:w="8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2000"/>
        <w:gridCol w:w="2600"/>
      </w:tblGrid>
      <w:tr>
        <w:trPr>
          <w:tblHeader/>
        </w:trPr>
        <w:tc>
          <w:tcPr>
            <w:shd w:fill="1a3c6e" w:val="clear"/>
            <w:tcMar>
              <w:top w:type="dxa" w:w="80"/>
              <w:left w:type="dxa" w:w="120"/>
              <w:bottom w:type="dxa" w:w="80"/>
              <w:right w:type="dxa" w:w="120"/>
            </w:tcMar>
          </w:tcPr>
          <w:p>
            <w:pPr>
              <w:jc w:val="center"/>
            </w:pPr>
            <w:r>
              <w:rPr>
                <w:b/>
                <w:bCs/>
                <w:color w:val="ffffff"/>
                <w:sz w:val="20"/>
                <w:szCs w:val="20"/>
              </w:rPr>
              <w:t xml:space="preserve">Grupo de Actividad</w:t>
            </w:r>
          </w:p>
        </w:tc>
        <w:tc>
          <w:tcPr>
            <w:shd w:fill="1a3c6e" w:val="clear"/>
            <w:tcMar>
              <w:top w:type="dxa" w:w="80"/>
              <w:left w:type="dxa" w:w="120"/>
              <w:bottom w:type="dxa" w:w="80"/>
              <w:right w:type="dxa" w:w="120"/>
            </w:tcMar>
          </w:tcPr>
          <w:p>
            <w:pPr>
              <w:jc w:val="center"/>
            </w:pPr>
            <w:r>
              <w:rPr>
                <w:b/>
                <w:bCs/>
                <w:color w:val="ffffff"/>
                <w:sz w:val="20"/>
                <w:szCs w:val="20"/>
              </w:rPr>
              <w:t xml:space="preserve">Ingresos hasta (UVT)</w:t>
            </w:r>
          </w:p>
        </w:tc>
        <w:tc>
          <w:tcPr>
            <w:shd w:fill="1a3c6e" w:val="clear"/>
            <w:tcMar>
              <w:top w:type="dxa" w:w="80"/>
              <w:left w:type="dxa" w:w="120"/>
              <w:bottom w:type="dxa" w:w="80"/>
              <w:right w:type="dxa" w:w="120"/>
            </w:tcMar>
          </w:tcPr>
          <w:p>
            <w:pPr>
              <w:jc w:val="center"/>
            </w:pPr>
            <w:r>
              <w:rPr>
                <w:b/>
                <w:bCs/>
                <w:color w:val="ffffff"/>
                <w:sz w:val="20"/>
                <w:szCs w:val="20"/>
              </w:rPr>
              <w:t xml:space="preserve">Tarifa RST</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Tiendas, minimercados, peluquerías (Grupo 1)</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6.000 UVT</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2.0%</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Actividades inmobiliarias, transporte, hotelería (Grupo 2)</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15.000 UVT</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5.9%</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Servicios profesionales y de consultoría (Grupo 3)</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15.000 UVT</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7.3%</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Actividades de manufactura e industria (Grupo 4)</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25.000 UVT</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3.4%</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Servicios de educación, electricidad, actividades culturales (Grupo 5)</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100.000 UVT</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3.6%</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Actividades de expendio de alimentos y bebidas (Grupo 6)</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3.500 UVT</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5.4%</w:t>
            </w:r>
          </w:p>
        </w:tc>
      </w:tr>
    </w:tbl>
    <w:p>
      <w:pPr>
        <w:spacing w:after="200"/>
      </w:pPr>
    </w:p>
    <w:p>
      <w:pPr>
        <w:pBdr>
          <w:left w:val="single" w:color="1a3c6e" w:sz="16"/>
        </w:pBdr>
        <w:shd w:fill="f0f4ff" w:val="clear"/>
        <w:spacing w:after="120" w:before="120"/>
        <w:ind w:left="400"/>
      </w:pPr>
      <w:r>
        <w:rPr>
          <w:b/>
          <w:bCs/>
          <w:color w:val="1a3c6e"/>
          <w:sz w:val="22"/>
          <w:szCs w:val="22"/>
        </w:rPr>
        <w:t xml:space="preserve">ℹ️ Ventaja del RST: </w:t>
      </w:r>
      <w:r>
        <w:rPr>
          <w:color w:val="2c2c2c"/>
          <w:sz w:val="22"/>
          <w:szCs w:val="22"/>
        </w:rPr>
        <w:t xml:space="preserve">Los contribuyentes del RST no practican retenciones en la fuente ni autorretenciones de renta (salvo en pagos laborales), lo que simplifica enormemente la operación. Se usa el Formulario 2593 para anticipos bimestrales y el Formulario 260 para la declaración anual.</w:t>
      </w:r>
    </w:p>
    <w:p>
      <w:pPr>
        <w:pStyle w:val="Heading2"/>
        <w:spacing w:after="120" w:before="320"/>
      </w:pPr>
      <w:r>
        <w:t xml:space="preserve">5.3 Régimen Tributario Especial</w:t>
      </w:r>
    </w:p>
    <w:p>
      <w:pPr>
        <w:spacing w:after="120"/>
        <w:jc w:val="both"/>
      </w:pPr>
      <w:r>
        <w:rPr>
          <w:color w:val="2c2c2c"/>
          <w:sz w:val="22"/>
          <w:szCs w:val="22"/>
        </w:rPr>
        <w:t xml:space="preserve">Aplica para entidades sin ánimo de lucro: fundaciones, asociaciones, cooperativas, y entidades de economía solidaria. Tributan al 20% sobre el beneficio neto del ejercicio y pueden acceder a exenciones si reinvierten sus excedentes en su objeto social.</w:t>
      </w:r>
    </w:p>
    <w:p>
      <w:r>
        <w:br w:type="page"/>
      </w:r>
    </w:p>
    <w:p>
      <w:pPr>
        <w:pStyle w:val="Heading1"/>
        <w:pBdr>
          <w:bottom w:val="single" w:color="c8102e" w:sz="12" w:space="4"/>
        </w:pBdr>
        <w:spacing w:after="160" w:before="480"/>
      </w:pPr>
      <w:r>
        <w:t xml:space="preserve">6. OTROS IMPUESTOS Y GRAVÁMENES ESENCIALES</w:t>
      </w:r>
    </w:p>
    <w:p>
      <w:pPr>
        <w:pStyle w:val="Heading2"/>
        <w:spacing w:after="120" w:before="320"/>
      </w:pPr>
      <w:r>
        <w:t xml:space="preserve">6.1 Impuesto al Patrimonio</w:t>
      </w:r>
    </w:p>
    <w:p>
      <w:pPr>
        <w:spacing w:after="120"/>
        <w:jc w:val="both"/>
      </w:pPr>
      <w:r>
        <w:rPr>
          <w:color w:val="2c2c2c"/>
          <w:sz w:val="22"/>
          <w:szCs w:val="22"/>
        </w:rPr>
        <w:t xml:space="preserve">Creado de manera permanente por la Ley 2277 de 2022 (artículo 35, que adicionó los artículos 292-2 al 299 al Estatuto Tributario). Aplica a las personas naturales y jurídicas con patrimonio líquido superior a los umbrales definidos al 1 de enero de cada año.</w:t>
      </w:r>
    </w:p>
    <w:tbl>
      <w:tblPr>
        <w:tblW w:type="dxa" w:w="8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0"/>
        <w:gridCol w:w="2700"/>
      </w:tblGrid>
      <w:tr>
        <w:trPr>
          <w:tblHeader/>
        </w:trPr>
        <w:tc>
          <w:tcPr>
            <w:shd w:fill="1a3c6e" w:val="clear"/>
            <w:tcMar>
              <w:top w:type="dxa" w:w="80"/>
              <w:left w:type="dxa" w:w="120"/>
              <w:bottom w:type="dxa" w:w="80"/>
              <w:right w:type="dxa" w:w="120"/>
            </w:tcMar>
          </w:tcPr>
          <w:p>
            <w:pPr>
              <w:jc w:val="center"/>
            </w:pPr>
            <w:r>
              <w:rPr>
                <w:b/>
                <w:bCs/>
                <w:color w:val="ffffff"/>
                <w:sz w:val="20"/>
                <w:szCs w:val="20"/>
              </w:rPr>
              <w:t xml:space="preserve">Rango de Patrimonio Líquido</w:t>
            </w:r>
          </w:p>
        </w:tc>
        <w:tc>
          <w:tcPr>
            <w:shd w:fill="1a3c6e" w:val="clear"/>
            <w:tcMar>
              <w:top w:type="dxa" w:w="80"/>
              <w:left w:type="dxa" w:w="120"/>
              <w:bottom w:type="dxa" w:w="80"/>
              <w:right w:type="dxa" w:w="120"/>
            </w:tcMar>
          </w:tcPr>
          <w:p>
            <w:pPr>
              <w:jc w:val="center"/>
            </w:pPr>
            <w:r>
              <w:rPr>
                <w:b/>
                <w:bCs/>
                <w:color w:val="ffffff"/>
                <w:sz w:val="20"/>
                <w:szCs w:val="20"/>
              </w:rPr>
              <w:t xml:space="preserve">Tarifa</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Hasta 72.000 UVT ($3.587.928.000 en 2025)</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0% — No grava</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Entre 72.001 y 122.000 UVT</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0.5% sobre el exceso de 72.000 UVT</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Entre 122.001 y 239.000 UVT</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1.0% sobre el exceso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Más de 239.000 UVT</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1.5% sobre el exceso</w:t>
            </w:r>
          </w:p>
        </w:tc>
      </w:tr>
    </w:tbl>
    <w:p>
      <w:pPr>
        <w:spacing w:after="200"/>
      </w:pPr>
    </w:p>
    <w:p>
      <w:pPr>
        <w:pStyle w:val="ListParagraph"/>
        <w:numPr>
          <w:ilvl w:val="0"/>
          <w:numId w:val="1"/>
        </w:numPr>
        <w:spacing w:after="80"/>
      </w:pPr>
      <w:r>
        <w:rPr>
          <w:b w:val="false"/>
          <w:bCs w:val="false"/>
          <w:color w:val="2c2c2c"/>
          <w:sz w:val="22"/>
          <w:szCs w:val="22"/>
        </w:rPr>
        <w:t xml:space="preserve">La base es el patrimonio líquido (activos menos pasivos) a 1 de enero de cada año</w:t>
      </w:r>
    </w:p>
    <w:p>
      <w:pPr>
        <w:pStyle w:val="ListParagraph"/>
        <w:numPr>
          <w:ilvl w:val="0"/>
          <w:numId w:val="1"/>
        </w:numPr>
        <w:spacing w:after="80"/>
      </w:pPr>
      <w:r>
        <w:rPr>
          <w:b w:val="false"/>
          <w:bCs w:val="false"/>
          <w:color w:val="2c2c2c"/>
          <w:sz w:val="22"/>
          <w:szCs w:val="22"/>
        </w:rPr>
        <w:t xml:space="preserve">Incluye activos en el exterior con obligación de reportarlos</w:t>
      </w:r>
    </w:p>
    <w:p>
      <w:pPr>
        <w:pStyle w:val="ListParagraph"/>
        <w:numPr>
          <w:ilvl w:val="0"/>
          <w:numId w:val="1"/>
        </w:numPr>
        <w:spacing w:after="80"/>
      </w:pPr>
      <w:r>
        <w:rPr>
          <w:b w:val="false"/>
          <w:bCs w:val="false"/>
          <w:color w:val="2c2c2c"/>
          <w:sz w:val="22"/>
          <w:szCs w:val="22"/>
        </w:rPr>
        <w:t xml:space="preserve">El impuesto no es deducible del impuesto de renta</w:t>
      </w:r>
    </w:p>
    <w:p>
      <w:pPr>
        <w:pStyle w:val="ListParagraph"/>
        <w:numPr>
          <w:ilvl w:val="0"/>
          <w:numId w:val="1"/>
        </w:numPr>
        <w:spacing w:after="80"/>
      </w:pPr>
      <w:r>
        <w:rPr>
          <w:b w:val="false"/>
          <w:bCs w:val="false"/>
          <w:color w:val="2c2c2c"/>
          <w:sz w:val="22"/>
          <w:szCs w:val="22"/>
        </w:rPr>
        <w:t xml:space="preserve">Se paga en dos cuotas iguales (mayo y septiembre)</w:t>
      </w:r>
    </w:p>
    <w:p>
      <w:pPr>
        <w:pStyle w:val="ListParagraph"/>
        <w:numPr>
          <w:ilvl w:val="0"/>
          <w:numId w:val="1"/>
        </w:numPr>
        <w:spacing w:after="80"/>
      </w:pPr>
      <w:r>
        <w:rPr>
          <w:b w:val="false"/>
          <w:bCs w:val="false"/>
          <w:color w:val="2c2c2c"/>
          <w:sz w:val="22"/>
          <w:szCs w:val="22"/>
        </w:rPr>
        <w:t xml:space="preserve">La sanción por extemporaneidad es del 5% por mes o fracción, sin superar el 100% (Art. 641 E.T.)</w:t>
      </w:r>
    </w:p>
    <w:p>
      <w:pPr>
        <w:pStyle w:val="Heading2"/>
        <w:spacing w:after="120" w:before="320"/>
      </w:pPr>
      <w:r>
        <w:t xml:space="preserve">6.2 Gravamen a los Movimientos Financieros (GMF) — 4×1000</w:t>
      </w:r>
    </w:p>
    <w:p>
      <w:pPr>
        <w:spacing w:after="120"/>
        <w:jc w:val="both"/>
      </w:pPr>
      <w:r>
        <w:rPr>
          <w:color w:val="2c2c2c"/>
          <w:sz w:val="22"/>
          <w:szCs w:val="22"/>
        </w:rPr>
        <w:t xml:space="preserve">El GMF es un impuesto del 0.4% que se cobra sobre cada transacción financiera (retiros, transferencias, pagos desde cuentas bancarias). Base legal: artículos 871 y 879 del Estatuto Tributario.</w:t>
      </w:r>
    </w:p>
    <w:p>
      <w:pPr>
        <w:pStyle w:val="ListParagraph"/>
        <w:numPr>
          <w:ilvl w:val="0"/>
          <w:numId w:val="1"/>
        </w:numPr>
        <w:spacing w:after="80"/>
      </w:pPr>
      <w:r>
        <w:rPr>
          <w:b w:val="false"/>
          <w:bCs w:val="false"/>
          <w:color w:val="2c2c2c"/>
          <w:sz w:val="22"/>
          <w:szCs w:val="22"/>
        </w:rPr>
        <w:t xml:space="preserve">Tarifa: $4 por cada $1.000 retirados o transferidos (0.4%)</w:t>
      </w:r>
    </w:p>
    <w:p>
      <w:pPr>
        <w:pStyle w:val="ListParagraph"/>
        <w:numPr>
          <w:ilvl w:val="0"/>
          <w:numId w:val="1"/>
        </w:numPr>
        <w:spacing w:after="80"/>
      </w:pPr>
      <w:r>
        <w:rPr>
          <w:b w:val="false"/>
          <w:bCs w:val="false"/>
          <w:color w:val="2c2c2c"/>
          <w:sz w:val="22"/>
          <w:szCs w:val="22"/>
        </w:rPr>
        <w:t xml:space="preserve">Exención: cada persona puede marcar UNA cuenta de ahorros como exenta (movimientos hasta 350 UVT/mes en 2026 = $18.330.900)</w:t>
      </w:r>
    </w:p>
    <w:p>
      <w:pPr>
        <w:pStyle w:val="ListParagraph"/>
        <w:numPr>
          <w:ilvl w:val="0"/>
          <w:numId w:val="1"/>
        </w:numPr>
        <w:spacing w:after="80"/>
      </w:pPr>
      <w:r>
        <w:rPr>
          <w:b w:val="false"/>
          <w:bCs w:val="false"/>
          <w:color w:val="2c2c2c"/>
          <w:sz w:val="22"/>
          <w:szCs w:val="22"/>
        </w:rPr>
        <w:t xml:space="preserve">50% del GMF pagado en el año ES DEDUCIBLE en la declaración de renta</w:t>
      </w:r>
    </w:p>
    <w:p>
      <w:pPr>
        <w:pStyle w:val="ListParagraph"/>
        <w:numPr>
          <w:ilvl w:val="0"/>
          <w:numId w:val="1"/>
        </w:numPr>
        <w:spacing w:after="80"/>
      </w:pPr>
      <w:r>
        <w:rPr>
          <w:b w:val="false"/>
          <w:bCs w:val="false"/>
          <w:color w:val="2c2c2c"/>
          <w:sz w:val="22"/>
          <w:szCs w:val="22"/>
        </w:rPr>
        <w:t xml:space="preserve">Las cuentas digitales (Nequi, Daviplata) tienen tope de exención de 65 UVT/mes ($3.404.310 en 2026)</w:t>
      </w:r>
    </w:p>
    <w:p>
      <w:pPr>
        <w:pStyle w:val="Heading2"/>
        <w:spacing w:after="120" w:before="320"/>
      </w:pPr>
      <w:r>
        <w:t xml:space="preserve">6.3 Impuesto de Industria y Comercio (ICA)</w:t>
      </w:r>
    </w:p>
    <w:p>
      <w:pPr>
        <w:spacing w:after="120"/>
        <w:jc w:val="both"/>
      </w:pPr>
      <w:r>
        <w:rPr>
          <w:color w:val="2c2c2c"/>
          <w:sz w:val="22"/>
          <w:szCs w:val="22"/>
        </w:rPr>
        <w:t xml:space="preserve">El ICA es un impuesto MUNICIPAL que grava los ingresos brutos obtenidos por el ejercicio de actividades industriales, comerciales o de servicios en el municipio. Cada municipio fija su propia tarifa dentro de los límites permitidos por la ley.</w:t>
      </w:r>
    </w:p>
    <w:p>
      <w:pPr>
        <w:pStyle w:val="ListParagraph"/>
        <w:numPr>
          <w:ilvl w:val="0"/>
          <w:numId w:val="1"/>
        </w:numPr>
        <w:spacing w:after="80"/>
      </w:pPr>
      <w:r>
        <w:rPr>
          <w:b w:val="false"/>
          <w:bCs w:val="false"/>
          <w:color w:val="2c2c2c"/>
          <w:sz w:val="22"/>
          <w:szCs w:val="22"/>
        </w:rPr>
        <w:t xml:space="preserve">Tarifa en Bogotá: entre 2 y 14 por mil (0.2% a 1.4%) según actividad económica</w:t>
      </w:r>
    </w:p>
    <w:p>
      <w:pPr>
        <w:pStyle w:val="ListParagraph"/>
        <w:numPr>
          <w:ilvl w:val="0"/>
          <w:numId w:val="1"/>
        </w:numPr>
        <w:spacing w:after="80"/>
      </w:pPr>
      <w:r>
        <w:rPr>
          <w:b w:val="false"/>
          <w:bCs w:val="false"/>
          <w:color w:val="2c2c2c"/>
          <w:sz w:val="22"/>
          <w:szCs w:val="22"/>
        </w:rPr>
        <w:t xml:space="preserve">Se declara y paga bimestralmente en Bogotá o anualmente en algunos municipios</w:t>
      </w:r>
    </w:p>
    <w:p>
      <w:pPr>
        <w:pStyle w:val="ListParagraph"/>
        <w:numPr>
          <w:ilvl w:val="0"/>
          <w:numId w:val="1"/>
        </w:numPr>
        <w:spacing w:after="80"/>
      </w:pPr>
      <w:r>
        <w:rPr>
          <w:b w:val="false"/>
          <w:bCs w:val="false"/>
          <w:color w:val="2c2c2c"/>
          <w:sz w:val="22"/>
          <w:szCs w:val="22"/>
        </w:rPr>
        <w:t xml:space="preserve">Los contribuyentes del RST tienen el ICA integrado en su tarifa unificada</w:t>
      </w:r>
    </w:p>
    <w:p>
      <w:pPr>
        <w:pStyle w:val="ListParagraph"/>
        <w:numPr>
          <w:ilvl w:val="0"/>
          <w:numId w:val="1"/>
        </w:numPr>
        <w:spacing w:after="80"/>
      </w:pPr>
      <w:r>
        <w:rPr>
          <w:b w:val="false"/>
          <w:bCs w:val="false"/>
          <w:color w:val="2c2c2c"/>
          <w:sz w:val="22"/>
          <w:szCs w:val="22"/>
        </w:rPr>
        <w:t xml:space="preserve">Es deducible del impuesto de renta como gasto (100% del ICA pagado)</w:t>
      </w:r>
    </w:p>
    <w:p>
      <w:pPr>
        <w:pStyle w:val="Heading2"/>
        <w:spacing w:after="120" w:before="320"/>
      </w:pPr>
      <w:r>
        <w:t xml:space="preserve">6.4 Impuesto Predial y Vehículos</w:t>
      </w:r>
    </w:p>
    <w:p>
      <w:pPr>
        <w:spacing w:after="120"/>
        <w:jc w:val="both"/>
      </w:pPr>
      <w:r>
        <w:rPr>
          <w:color w:val="2c2c2c"/>
          <w:sz w:val="22"/>
          <w:szCs w:val="22"/>
        </w:rPr>
        <w:t xml:space="preserve">Son impuestos municipales. El predial grava los bienes inmuebles y el de vehículos grava los automotores. Sus tarifas y fechas de pago varían por municipio. Ambos son deducibles del impuesto de renta cuando corresponden a inmuebles y vehículos vinculados a la actividad productiva.</w:t>
      </w:r>
    </w:p>
    <w:p>
      <w:r>
        <w:br w:type="page"/>
      </w:r>
    </w:p>
    <w:p>
      <w:pPr>
        <w:pStyle w:val="Heading1"/>
        <w:pBdr>
          <w:bottom w:val="single" w:color="c8102e" w:sz="12" w:space="4"/>
        </w:pBdr>
        <w:spacing w:after="160" w:before="480"/>
      </w:pPr>
      <w:r>
        <w:t xml:space="preserve">7. TIPOS DE SOCIEDADES COMERCIALES — MARCO LEGAL</w:t>
      </w:r>
    </w:p>
    <w:p>
      <w:pPr>
        <w:spacing w:after="120"/>
        <w:jc w:val="both"/>
      </w:pPr>
      <w:r>
        <w:rPr>
          <w:color w:val="2c2c2c"/>
          <w:sz w:val="22"/>
          <w:szCs w:val="22"/>
        </w:rPr>
        <w:t xml:space="preserve">La estructura jurídica que elija para su empresa determina la responsabilidad de los socios, los requisitos de capital, la facilidad de transferir participaciones y las obligaciones administrativas. El marco legal principal es el Código de Comercio (Decreto 410 de 1971) y leyes especiales.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500"/>
        <w:gridCol w:w="2000"/>
        <w:gridCol w:w="2100"/>
        <w:gridCol w:w="2200"/>
      </w:tblGrid>
      <w:tr>
        <w:trPr>
          <w:tblHeader/>
        </w:trPr>
        <w:tc>
          <w:tcPr>
            <w:shd w:fill="1a3c6e" w:val="clear"/>
            <w:tcMar>
              <w:top w:type="dxa" w:w="80"/>
              <w:left w:type="dxa" w:w="120"/>
              <w:bottom w:type="dxa" w:w="80"/>
              <w:right w:type="dxa" w:w="120"/>
            </w:tcMar>
          </w:tcPr>
          <w:p>
            <w:pPr>
              <w:jc w:val="center"/>
            </w:pPr>
            <w:r>
              <w:rPr>
                <w:b/>
                <w:bCs/>
                <w:color w:val="ffffff"/>
                <w:sz w:val="20"/>
                <w:szCs w:val="20"/>
              </w:rPr>
              <w:t xml:space="preserve">Tipo de Sociedad</w:t>
            </w:r>
          </w:p>
        </w:tc>
        <w:tc>
          <w:tcPr>
            <w:shd w:fill="1a3c6e" w:val="clear"/>
            <w:tcMar>
              <w:top w:type="dxa" w:w="80"/>
              <w:left w:type="dxa" w:w="120"/>
              <w:bottom w:type="dxa" w:w="80"/>
              <w:right w:type="dxa" w:w="120"/>
            </w:tcMar>
          </w:tcPr>
          <w:p>
            <w:pPr>
              <w:jc w:val="center"/>
            </w:pPr>
            <w:r>
              <w:rPr>
                <w:b/>
                <w:bCs/>
                <w:color w:val="ffffff"/>
                <w:sz w:val="20"/>
                <w:szCs w:val="20"/>
              </w:rPr>
              <w:t xml:space="preserve">Socios</w:t>
            </w:r>
          </w:p>
        </w:tc>
        <w:tc>
          <w:tcPr>
            <w:shd w:fill="1a3c6e" w:val="clear"/>
            <w:tcMar>
              <w:top w:type="dxa" w:w="80"/>
              <w:left w:type="dxa" w:w="120"/>
              <w:bottom w:type="dxa" w:w="80"/>
              <w:right w:type="dxa" w:w="120"/>
            </w:tcMar>
          </w:tcPr>
          <w:p>
            <w:pPr>
              <w:jc w:val="center"/>
            </w:pPr>
            <w:r>
              <w:rPr>
                <w:b/>
                <w:bCs/>
                <w:color w:val="ffffff"/>
                <w:sz w:val="20"/>
                <w:szCs w:val="20"/>
              </w:rPr>
              <w:t xml:space="preserve">Responsabilidad</w:t>
            </w:r>
          </w:p>
        </w:tc>
        <w:tc>
          <w:tcPr>
            <w:shd w:fill="1a3c6e" w:val="clear"/>
            <w:tcMar>
              <w:top w:type="dxa" w:w="80"/>
              <w:left w:type="dxa" w:w="120"/>
              <w:bottom w:type="dxa" w:w="80"/>
              <w:right w:type="dxa" w:w="120"/>
            </w:tcMar>
          </w:tcPr>
          <w:p>
            <w:pPr>
              <w:jc w:val="center"/>
            </w:pPr>
            <w:r>
              <w:rPr>
                <w:b/>
                <w:bCs/>
                <w:color w:val="ffffff"/>
                <w:sz w:val="20"/>
                <w:szCs w:val="20"/>
              </w:rPr>
              <w:t xml:space="preserve">Capital</w:t>
            </w:r>
          </w:p>
        </w:tc>
        <w:tc>
          <w:tcPr>
            <w:shd w:fill="1a3c6e" w:val="clear"/>
            <w:tcMar>
              <w:top w:type="dxa" w:w="80"/>
              <w:left w:type="dxa" w:w="120"/>
              <w:bottom w:type="dxa" w:w="80"/>
              <w:right w:type="dxa" w:w="120"/>
            </w:tcMar>
          </w:tcPr>
          <w:p>
            <w:pPr>
              <w:jc w:val="center"/>
            </w:pPr>
            <w:r>
              <w:rPr>
                <w:b/>
                <w:bCs/>
                <w:color w:val="ffffff"/>
                <w:sz w:val="20"/>
                <w:szCs w:val="20"/>
              </w:rPr>
              <w:t xml:space="preserve">Norma</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S.A.S. (Simplificada)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 a ilimitados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Limitada al aporte</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Libre (sin mínimo)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Ley 1258 de 2008</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Ltda. (Limitada)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2 a 25</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Limitada al aporte</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Pagado total al constituirse</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Código de Comercio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S.A. (Anónima)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Mínimo 5</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Limitada al aporte</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50% suscrito, 33% pagado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Código de Comercio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S. en C. Simple</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Mín. 2 (1 gestor + 1 comanditario)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Gestor: ilimitada / Comanditario: limitada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Según estatutos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Código de Comercio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S. en C. por Acciones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Mín. 2 (1 gestor + comanditarios)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Igual que la anterior</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Igual que la anterior</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Código de Comercio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SAS BIC</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 a ilimitados (igual que SAS)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Limitada al aporte</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Libre</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Ley 1901 de 2018</w:t>
            </w:r>
          </w:p>
        </w:tc>
      </w:tr>
    </w:tbl>
    <w:p>
      <w:pPr>
        <w:spacing w:after="200"/>
      </w:pPr>
    </w:p>
    <w:p>
      <w:pPr>
        <w:pStyle w:val="Heading2"/>
        <w:spacing w:after="120" w:before="320"/>
      </w:pPr>
      <w:r>
        <w:t xml:space="preserve">7.1 ¿Por qué la SAS es la Más Utilizada?</w:t>
      </w:r>
    </w:p>
    <w:p>
      <w:pPr>
        <w:spacing w:after="120"/>
        <w:jc w:val="both"/>
      </w:pPr>
      <w:r>
        <w:rPr>
          <w:color w:val="2c2c2c"/>
          <w:sz w:val="22"/>
          <w:szCs w:val="22"/>
        </w:rPr>
        <w:t xml:space="preserve">La Sociedad por Acciones Simplificada (SAS), creada por la Ley 1258 de 2008, es con diferencia la forma societaria más usada en Colombia por sus ventajas:</w:t>
      </w:r>
    </w:p>
    <w:p>
      <w:pPr>
        <w:pStyle w:val="ListParagraph"/>
        <w:numPr>
          <w:ilvl w:val="0"/>
          <w:numId w:val="1"/>
        </w:numPr>
        <w:spacing w:after="80"/>
      </w:pPr>
      <w:r>
        <w:rPr>
          <w:b w:val="false"/>
          <w:bCs w:val="false"/>
          <w:color w:val="2c2c2c"/>
          <w:sz w:val="22"/>
          <w:szCs w:val="22"/>
        </w:rPr>
        <w:t xml:space="preserve">Puede constituirse con un solo accionista (persona natural o jurídica)</w:t>
      </w:r>
    </w:p>
    <w:p>
      <w:pPr>
        <w:pStyle w:val="ListParagraph"/>
        <w:numPr>
          <w:ilvl w:val="0"/>
          <w:numId w:val="1"/>
        </w:numPr>
        <w:spacing w:after="80"/>
      </w:pPr>
      <w:r>
        <w:rPr>
          <w:b w:val="false"/>
          <w:bCs w:val="false"/>
          <w:color w:val="2c2c2c"/>
          <w:sz w:val="22"/>
          <w:szCs w:val="22"/>
        </w:rPr>
        <w:t xml:space="preserve">No requiere capital mínimo para su constitución</w:t>
      </w:r>
    </w:p>
    <w:p>
      <w:pPr>
        <w:pStyle w:val="ListParagraph"/>
        <w:numPr>
          <w:ilvl w:val="0"/>
          <w:numId w:val="1"/>
        </w:numPr>
        <w:spacing w:after="80"/>
      </w:pPr>
      <w:r>
        <w:rPr>
          <w:b w:val="false"/>
          <w:bCs w:val="false"/>
          <w:color w:val="2c2c2c"/>
          <w:sz w:val="22"/>
          <w:szCs w:val="22"/>
        </w:rPr>
        <w:t xml:space="preserve">La administración puede diseñarse libremente en los estatutos</w:t>
      </w:r>
    </w:p>
    <w:p>
      <w:pPr>
        <w:pStyle w:val="ListParagraph"/>
        <w:numPr>
          <w:ilvl w:val="0"/>
          <w:numId w:val="1"/>
        </w:numPr>
        <w:spacing w:after="80"/>
      </w:pPr>
      <w:r>
        <w:rPr>
          <w:b w:val="false"/>
          <w:bCs w:val="false"/>
          <w:color w:val="2c2c2c"/>
          <w:sz w:val="22"/>
          <w:szCs w:val="22"/>
        </w:rPr>
        <w:t xml:space="preserve">El Revisor Fiscal es opcional (solo obligatorio si supera umbrales de activos o ingresos)</w:t>
      </w:r>
    </w:p>
    <w:p>
      <w:pPr>
        <w:pStyle w:val="ListParagraph"/>
        <w:numPr>
          <w:ilvl w:val="0"/>
          <w:numId w:val="1"/>
        </w:numPr>
        <w:spacing w:after="80"/>
      </w:pPr>
      <w:r>
        <w:rPr>
          <w:b w:val="false"/>
          <w:bCs w:val="false"/>
          <w:color w:val="2c2c2c"/>
          <w:sz w:val="22"/>
          <w:szCs w:val="22"/>
        </w:rPr>
        <w:t xml:space="preserve">Los estatutos son flexibles y permiten regular los mecanismos de gobierno societario</w:t>
      </w:r>
    </w:p>
    <w:p>
      <w:pPr>
        <w:pStyle w:val="ListParagraph"/>
        <w:numPr>
          <w:ilvl w:val="0"/>
          <w:numId w:val="1"/>
        </w:numPr>
        <w:spacing w:after="80"/>
      </w:pPr>
      <w:r>
        <w:rPr>
          <w:b w:val="false"/>
          <w:bCs w:val="false"/>
          <w:color w:val="2c2c2c"/>
          <w:sz w:val="22"/>
          <w:szCs w:val="22"/>
        </w:rPr>
        <w:t xml:space="preserve">Facilidad para atraer inversión y estructurar clases de acciones con diferentes derechos</w:t>
      </w:r>
    </w:p>
    <w:p>
      <w:pPr>
        <w:pStyle w:val="ListParagraph"/>
        <w:numPr>
          <w:ilvl w:val="0"/>
          <w:numId w:val="1"/>
        </w:numPr>
        <w:spacing w:after="80"/>
      </w:pPr>
      <w:r>
        <w:rPr>
          <w:b w:val="false"/>
          <w:bCs w:val="false"/>
          <w:color w:val="2c2c2c"/>
          <w:sz w:val="22"/>
          <w:szCs w:val="22"/>
        </w:rPr>
        <w:t xml:space="preserve">Puede constituirse por documento privado (sin necesidad de escritura pública), salvo que aporte bienes inmuebles</w:t>
      </w:r>
    </w:p>
    <w:p>
      <w:pPr>
        <w:pBdr>
          <w:left w:val="single" w:color="c8102e" w:sz="16"/>
        </w:pBdr>
        <w:shd w:fill="fff3f3" w:val="clear"/>
        <w:spacing w:after="120" w:before="120"/>
        <w:ind w:left="400"/>
      </w:pPr>
      <w:r>
        <w:rPr>
          <w:b/>
          <w:bCs/>
          <w:color w:val="c8102e"/>
          <w:sz w:val="22"/>
          <w:szCs w:val="22"/>
        </w:rPr>
        <w:t xml:space="preserve">⚠️ LIMITE LEGAL: </w:t>
      </w:r>
      <w:r>
        <w:rPr>
          <w:color w:val="2c2c2c"/>
          <w:sz w:val="22"/>
          <w:szCs w:val="22"/>
        </w:rPr>
        <w:t xml:space="preserve">La SAS no puede cotizar en bolsa de valores. Si la empresa busca acceso a mercado público de valores, debe ser Sociedad Anónima (S.A.).</w:t>
      </w:r>
    </w:p>
    <w:p>
      <w:pPr>
        <w:pStyle w:val="Heading2"/>
        <w:spacing w:after="120" w:before="320"/>
      </w:pPr>
      <w:r>
        <w:t xml:space="preserve">7.2 Proceso para Constituir una Empresa en Colombia</w:t>
      </w:r>
    </w:p>
    <w:p>
      <w:pPr>
        <w:spacing w:after="120"/>
        <w:jc w:val="both"/>
      </w:pPr>
      <w:r>
        <w:rPr>
          <w:color w:val="2c2c2c"/>
          <w:sz w:val="22"/>
          <w:szCs w:val="22"/>
        </w:rPr>
        <w:t xml:space="preserve">Los pasos básicos para la constitución formal son:</w:t>
      </w:r>
    </w:p>
    <w:p>
      <w:pPr>
        <w:pStyle w:val="ListParagraph"/>
        <w:numPr>
          <w:ilvl w:val="0"/>
          <w:numId w:val="1"/>
        </w:numPr>
        <w:spacing w:after="80"/>
      </w:pPr>
      <w:r>
        <w:rPr>
          <w:b/>
          <w:bCs/>
          <w:color w:val="2c2c2c"/>
          <w:sz w:val="22"/>
          <w:szCs w:val="22"/>
        </w:rPr>
        <w:t xml:space="preserve">1. Verificar disponibilidad del nombre (Cámara de Comercio — www.ccb.org.co)</w:t>
      </w:r>
    </w:p>
    <w:p>
      <w:pPr>
        <w:pStyle w:val="ListParagraph"/>
        <w:numPr>
          <w:ilvl w:val="1"/>
          <w:numId w:val="1"/>
        </w:numPr>
        <w:spacing w:after="60"/>
      </w:pPr>
      <w:r>
        <w:rPr>
          <w:color w:val="2c2c2c"/>
          <w:sz w:val="20"/>
          <w:szCs w:val="20"/>
        </w:rPr>
        <w:t xml:space="preserve">Consultar homonimia en la base de datos del RUES (Registro Único Empresarial y Social)</w:t>
      </w:r>
    </w:p>
    <w:p>
      <w:pPr>
        <w:pStyle w:val="ListParagraph"/>
        <w:numPr>
          <w:ilvl w:val="0"/>
          <w:numId w:val="1"/>
        </w:numPr>
        <w:spacing w:after="80"/>
      </w:pPr>
      <w:r>
        <w:rPr>
          <w:b/>
          <w:bCs/>
          <w:color w:val="2c2c2c"/>
          <w:sz w:val="22"/>
          <w:szCs w:val="22"/>
        </w:rPr>
        <w:t xml:space="preserve">2. Redactar los estatutos sociales (objeto social, capital, administración, distribución de utilidades)</w:t>
      </w:r>
    </w:p>
    <w:p>
      <w:pPr>
        <w:pStyle w:val="ListParagraph"/>
        <w:numPr>
          <w:ilvl w:val="1"/>
          <w:numId w:val="1"/>
        </w:numPr>
        <w:spacing w:after="60"/>
      </w:pPr>
      <w:r>
        <w:rPr>
          <w:color w:val="2c2c2c"/>
          <w:sz w:val="20"/>
          <w:szCs w:val="20"/>
        </w:rPr>
        <w:t xml:space="preserve">Para SAS: documento privado autenticado ante notario o Cámara de Comercio</w:t>
      </w:r>
    </w:p>
    <w:p>
      <w:pPr>
        <w:pStyle w:val="ListParagraph"/>
        <w:numPr>
          <w:ilvl w:val="1"/>
          <w:numId w:val="1"/>
        </w:numPr>
        <w:spacing w:after="60"/>
      </w:pPr>
      <w:r>
        <w:rPr>
          <w:color w:val="2c2c2c"/>
          <w:sz w:val="20"/>
          <w:szCs w:val="20"/>
        </w:rPr>
        <w:t xml:space="preserve">Para SA, S en C: escritura pública ante notaría</w:t>
      </w:r>
    </w:p>
    <w:p>
      <w:pPr>
        <w:pStyle w:val="ListParagraph"/>
        <w:numPr>
          <w:ilvl w:val="0"/>
          <w:numId w:val="1"/>
        </w:numPr>
        <w:spacing w:after="80"/>
      </w:pPr>
      <w:r>
        <w:rPr>
          <w:b/>
          <w:bCs/>
          <w:color w:val="2c2c2c"/>
          <w:sz w:val="22"/>
          <w:szCs w:val="22"/>
        </w:rPr>
        <w:t xml:space="preserve">3. Inscripción en la Cámara de Comercio del domicilio</w:t>
      </w:r>
    </w:p>
    <w:p>
      <w:pPr>
        <w:pStyle w:val="ListParagraph"/>
        <w:numPr>
          <w:ilvl w:val="1"/>
          <w:numId w:val="1"/>
        </w:numPr>
        <w:spacing w:after="60"/>
      </w:pPr>
      <w:r>
        <w:rPr>
          <w:color w:val="2c2c2c"/>
          <w:sz w:val="20"/>
          <w:szCs w:val="20"/>
        </w:rPr>
        <w:t xml:space="preserve">Formulario de matrícula mercantil + estatutos + formulario de registro RUES</w:t>
      </w:r>
    </w:p>
    <w:p>
      <w:pPr>
        <w:pStyle w:val="ListParagraph"/>
        <w:numPr>
          <w:ilvl w:val="1"/>
          <w:numId w:val="1"/>
        </w:numPr>
        <w:spacing w:after="60"/>
      </w:pPr>
      <w:r>
        <w:rPr>
          <w:color w:val="2c2c2c"/>
          <w:sz w:val="20"/>
          <w:szCs w:val="20"/>
        </w:rPr>
        <w:t xml:space="preserve">Pago de derechos de matrícula (calculados sobre el capital social)</w:t>
      </w:r>
    </w:p>
    <w:p>
      <w:pPr>
        <w:pStyle w:val="ListParagraph"/>
        <w:numPr>
          <w:ilvl w:val="0"/>
          <w:numId w:val="1"/>
        </w:numPr>
        <w:spacing w:after="80"/>
      </w:pPr>
      <w:r>
        <w:rPr>
          <w:b/>
          <w:bCs/>
          <w:color w:val="2c2c2c"/>
          <w:sz w:val="22"/>
          <w:szCs w:val="22"/>
        </w:rPr>
        <w:t xml:space="preserve">4. Registro Único Tributario (RUT) en la DIAN</w:t>
      </w:r>
    </w:p>
    <w:p>
      <w:pPr>
        <w:pStyle w:val="ListParagraph"/>
        <w:numPr>
          <w:ilvl w:val="1"/>
          <w:numId w:val="1"/>
        </w:numPr>
        <w:spacing w:after="60"/>
      </w:pPr>
      <w:r>
        <w:rPr>
          <w:color w:val="2c2c2c"/>
          <w:sz w:val="20"/>
          <w:szCs w:val="20"/>
        </w:rPr>
        <w:t xml:space="preserve">Obtención del NIT de la empresa</w:t>
      </w:r>
    </w:p>
    <w:p>
      <w:pPr>
        <w:pStyle w:val="ListParagraph"/>
        <w:numPr>
          <w:ilvl w:val="1"/>
          <w:numId w:val="1"/>
        </w:numPr>
        <w:spacing w:after="60"/>
      </w:pPr>
      <w:r>
        <w:rPr>
          <w:color w:val="2c2c2c"/>
          <w:sz w:val="20"/>
          <w:szCs w:val="20"/>
        </w:rPr>
        <w:t xml:space="preserve">Asignación del código CIIU (actividad económica)</w:t>
      </w:r>
    </w:p>
    <w:p>
      <w:pPr>
        <w:pStyle w:val="ListParagraph"/>
        <w:numPr>
          <w:ilvl w:val="1"/>
          <w:numId w:val="1"/>
        </w:numPr>
        <w:spacing w:after="60"/>
      </w:pPr>
      <w:r>
        <w:rPr>
          <w:color w:val="2c2c2c"/>
          <w:sz w:val="20"/>
          <w:szCs w:val="20"/>
        </w:rPr>
        <w:t xml:space="preserve">Determinar responsabilidades tributarias (IVA, retención, RST, etc.)</w:t>
      </w:r>
    </w:p>
    <w:p>
      <w:pPr>
        <w:pStyle w:val="ListParagraph"/>
        <w:numPr>
          <w:ilvl w:val="0"/>
          <w:numId w:val="1"/>
        </w:numPr>
        <w:spacing w:after="80"/>
      </w:pPr>
      <w:r>
        <w:rPr>
          <w:b/>
          <w:bCs/>
          <w:color w:val="2c2c2c"/>
          <w:sz w:val="22"/>
          <w:szCs w:val="22"/>
        </w:rPr>
        <w:t xml:space="preserve">5. Apertura de cuenta bancaria empresarial</w:t>
      </w:r>
    </w:p>
    <w:p>
      <w:pPr>
        <w:pStyle w:val="ListParagraph"/>
        <w:numPr>
          <w:ilvl w:val="0"/>
          <w:numId w:val="1"/>
        </w:numPr>
        <w:spacing w:after="80"/>
      </w:pPr>
      <w:r>
        <w:rPr>
          <w:b/>
          <w:bCs/>
          <w:color w:val="2c2c2c"/>
          <w:sz w:val="22"/>
          <w:szCs w:val="22"/>
        </w:rPr>
        <w:t xml:space="preserve">6. Inscripción en el Registro de Información Tributaria Municipal (RIT) para efectos de ICA</w:t>
      </w:r>
    </w:p>
    <w:p>
      <w:pPr>
        <w:pStyle w:val="ListParagraph"/>
        <w:numPr>
          <w:ilvl w:val="0"/>
          <w:numId w:val="1"/>
        </w:numPr>
        <w:spacing w:after="80"/>
      </w:pPr>
      <w:r>
        <w:rPr>
          <w:b/>
          <w:bCs/>
          <w:color w:val="2c2c2c"/>
          <w:sz w:val="22"/>
          <w:szCs w:val="22"/>
        </w:rPr>
        <w:t xml:space="preserve">7. Registro en seguridad social (EPS, AFP, ARL) como empleador si tiene trabajadores</w:t>
      </w:r>
    </w:p>
    <w:p>
      <w:r>
        <w:br w:type="page"/>
      </w:r>
    </w:p>
    <w:p>
      <w:pPr>
        <w:pStyle w:val="Heading1"/>
        <w:pBdr>
          <w:bottom w:val="single" w:color="c8102e" w:sz="12" w:space="4"/>
        </w:pBdr>
        <w:spacing w:after="160" w:before="480"/>
      </w:pPr>
      <w:r>
        <w:t xml:space="preserve">8. OBLIGACIONES LABORALES VIGENTES 2025–2026</w:t>
      </w:r>
    </w:p>
    <w:p>
      <w:pPr>
        <w:spacing w:after="120"/>
        <w:jc w:val="both"/>
      </w:pPr>
      <w:r>
        <w:rPr>
          <w:color w:val="2c2c2c"/>
          <w:sz w:val="22"/>
          <w:szCs w:val="22"/>
        </w:rPr>
        <w:t xml:space="preserve">El marco laboral colombiano cambió radicalmente con la Ley 2466 de 2025 (Reforma Laboral), sancionada por el presidente Gustavo Petro en junio de 2025. Todo empleador debe conocer y aplicar estas disposiciones.</w:t>
      </w:r>
    </w:p>
    <w:p>
      <w:pPr>
        <w:pStyle w:val="Heading2"/>
        <w:spacing w:after="120" w:before="320"/>
      </w:pPr>
      <w:r>
        <w:t xml:space="preserve">8.1 Salario Mínimo y Jornada Laboral</w:t>
      </w:r>
    </w:p>
    <w:tbl>
      <w:tblPr>
        <w:tblW w:type="dxa" w:w="8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4200"/>
      </w:tblGrid>
      <w:tr>
        <w:trPr>
          <w:tblHeader/>
        </w:trPr>
        <w:tc>
          <w:tcPr>
            <w:shd w:fill="1a3c6e" w:val="clear"/>
            <w:tcMar>
              <w:top w:type="dxa" w:w="80"/>
              <w:left w:type="dxa" w:w="120"/>
              <w:bottom w:type="dxa" w:w="80"/>
              <w:right w:type="dxa" w:w="120"/>
            </w:tcMar>
          </w:tcPr>
          <w:p>
            <w:pPr>
              <w:jc w:val="center"/>
            </w:pPr>
            <w:r>
              <w:rPr>
                <w:b/>
                <w:bCs/>
                <w:color w:val="ffffff"/>
                <w:sz w:val="20"/>
                <w:szCs w:val="20"/>
              </w:rPr>
              <w:t xml:space="preserve">Concepto</w:t>
            </w:r>
          </w:p>
        </w:tc>
        <w:tc>
          <w:tcPr>
            <w:shd w:fill="1a3c6e" w:val="clear"/>
            <w:tcMar>
              <w:top w:type="dxa" w:w="80"/>
              <w:left w:type="dxa" w:w="120"/>
              <w:bottom w:type="dxa" w:w="80"/>
              <w:right w:type="dxa" w:w="120"/>
            </w:tcMar>
          </w:tcPr>
          <w:p>
            <w:pPr>
              <w:jc w:val="center"/>
            </w:pPr>
            <w:r>
              <w:rPr>
                <w:b/>
                <w:bCs/>
                <w:color w:val="ffffff"/>
                <w:sz w:val="20"/>
                <w:szCs w:val="20"/>
              </w:rPr>
              <w:t xml:space="preserve">Valor/Condición 2026</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Salario Mínimo Legal Mensual (SMLMV)</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Verificar decreto de inicio de año — ajuste anual por inflación</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Auxilio de Transporte</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Verificar decreto — solo para salarios ≤ 2 SMLMV</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Jornada Laboral Máxima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42 horas semanales (desde 15 jul 2026 — Ley 2101 de 2021)</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Jornada diurna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6:00 AM – 9:00 PM</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Hora Nocturna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9:01 PM – 6:00 AM (recargo 35% adicional)</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Horas Extras Diurnas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Hasta 25% adicional sobre hora ordinaria</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Horas Extras Nocturnas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75% adicional sobre hora ordinaria</w:t>
            </w:r>
          </w:p>
        </w:tc>
      </w:tr>
    </w:tbl>
    <w:p>
      <w:pPr>
        <w:spacing w:after="200"/>
      </w:pPr>
    </w:p>
    <w:p>
      <w:pPr>
        <w:pBdr>
          <w:left w:val="single" w:color="c8102e" w:sz="16"/>
        </w:pBdr>
        <w:shd w:fill="fff3f3" w:val="clear"/>
        <w:spacing w:after="120" w:before="120"/>
        <w:ind w:left="400"/>
      </w:pPr>
      <w:r>
        <w:rPr>
          <w:b/>
          <w:bCs/>
          <w:color w:val="c8102e"/>
          <w:sz w:val="22"/>
          <w:szCs w:val="22"/>
        </w:rPr>
        <w:t xml:space="preserve">⚠️ NUEVO — Ley 2101 de 2021: </w:t>
      </w:r>
      <w:r>
        <w:rPr>
          <w:color w:val="2c2c2c"/>
          <w:sz w:val="22"/>
          <w:szCs w:val="22"/>
        </w:rPr>
        <w:t xml:space="preserve">La jornada de 42 horas semanales entra en plena vigencia el 15 de julio de 2026. Antes de esa fecha (primer semestre 2026) continúa la jornada de 44 horas. Los empleadores deben adaptar contratos, turnos y nóminas.</w:t>
      </w:r>
    </w:p>
    <w:p>
      <w:pPr>
        <w:pStyle w:val="Heading2"/>
        <w:spacing w:after="120" w:before="320"/>
      </w:pPr>
      <w:r>
        <w:t xml:space="preserve">8.2 Prestaciones Sociales Obligatorias</w:t>
      </w:r>
    </w:p>
    <w:tbl>
      <w:tblPr>
        <w:tblW w:type="dxa" w:w="8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200"/>
        <w:gridCol w:w="2400"/>
      </w:tblGrid>
      <w:tr>
        <w:trPr>
          <w:tblHeader/>
        </w:trPr>
        <w:tc>
          <w:tcPr>
            <w:shd w:fill="1a3c6e" w:val="clear"/>
            <w:tcMar>
              <w:top w:type="dxa" w:w="80"/>
              <w:left w:type="dxa" w:w="120"/>
              <w:bottom w:type="dxa" w:w="80"/>
              <w:right w:type="dxa" w:w="120"/>
            </w:tcMar>
          </w:tcPr>
          <w:p>
            <w:pPr>
              <w:jc w:val="center"/>
            </w:pPr>
            <w:r>
              <w:rPr>
                <w:b/>
                <w:bCs/>
                <w:color w:val="ffffff"/>
                <w:sz w:val="20"/>
                <w:szCs w:val="20"/>
              </w:rPr>
              <w:t xml:space="preserve">Prestación</w:t>
            </w:r>
          </w:p>
        </w:tc>
        <w:tc>
          <w:tcPr>
            <w:shd w:fill="1a3c6e" w:val="clear"/>
            <w:tcMar>
              <w:top w:type="dxa" w:w="80"/>
              <w:left w:type="dxa" w:w="120"/>
              <w:bottom w:type="dxa" w:w="80"/>
              <w:right w:type="dxa" w:w="120"/>
            </w:tcMar>
          </w:tcPr>
          <w:p>
            <w:pPr>
              <w:jc w:val="center"/>
            </w:pPr>
            <w:r>
              <w:rPr>
                <w:b/>
                <w:bCs/>
                <w:color w:val="ffffff"/>
                <w:sz w:val="20"/>
                <w:szCs w:val="20"/>
              </w:rPr>
              <w:t xml:space="preserve">Tarifa / Valor</w:t>
            </w:r>
          </w:p>
        </w:tc>
        <w:tc>
          <w:tcPr>
            <w:shd w:fill="1a3c6e" w:val="clear"/>
            <w:tcMar>
              <w:top w:type="dxa" w:w="80"/>
              <w:left w:type="dxa" w:w="120"/>
              <w:bottom w:type="dxa" w:w="80"/>
              <w:right w:type="dxa" w:w="120"/>
            </w:tcMar>
          </w:tcPr>
          <w:p>
            <w:pPr>
              <w:jc w:val="center"/>
            </w:pPr>
            <w:r>
              <w:rPr>
                <w:b/>
                <w:bCs/>
                <w:color w:val="ffffff"/>
                <w:sz w:val="20"/>
                <w:szCs w:val="20"/>
              </w:rPr>
              <w:t xml:space="preserve">Periodicidad de Pago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Cesantías (1 mes de salario por año)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8.33% del salario mensual</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Anual (31 de enero al fondo)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Intereses sobre Cesantías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12% anual sobre cesantías acumuladas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Anual (31 de enero)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Prima de Servicios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15 días de salario en junio + 15 en diciembre</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Semestral</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Vacaciones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15 días hábiles por año de trabajo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Al cumplir el año o por acuerdo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Dotación</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Tres elementos de calzado y vestido/año (salario ≤ 2 SMLMV)</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Abril, agosto, diciembre</w:t>
            </w:r>
          </w:p>
        </w:tc>
      </w:tr>
    </w:tbl>
    <w:p>
      <w:pPr>
        <w:spacing w:after="200"/>
      </w:pPr>
    </w:p>
    <w:p>
      <w:pPr>
        <w:pStyle w:val="Heading2"/>
        <w:spacing w:after="120" w:before="320"/>
      </w:pPr>
      <w:r>
        <w:t xml:space="preserve">8.3 Aportes a Seguridad Social (Nómina)</w:t>
      </w:r>
    </w:p>
    <w:p>
      <w:pPr>
        <w:spacing w:after="120"/>
        <w:jc w:val="both"/>
      </w:pPr>
      <w:r>
        <w:rPr>
          <w:color w:val="2c2c2c"/>
          <w:sz w:val="22"/>
          <w:szCs w:val="22"/>
        </w:rPr>
        <w:t xml:space="preserve">Los aportes a seguridad social son obligatorios para todos los trabajadores dependientes e independientes. El porcentaje se calcula sobre el Ingreso Base de Cotización (IBC):</w:t>
      </w: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000"/>
        <w:gridCol w:w="2000"/>
        <w:gridCol w:w="1600"/>
      </w:tblGrid>
      <w:tr>
        <w:trPr>
          <w:tblHeader/>
        </w:trPr>
        <w:tc>
          <w:tcPr>
            <w:shd w:fill="1a3c6e" w:val="clear"/>
            <w:tcMar>
              <w:top w:type="dxa" w:w="80"/>
              <w:left w:type="dxa" w:w="120"/>
              <w:bottom w:type="dxa" w:w="80"/>
              <w:right w:type="dxa" w:w="120"/>
            </w:tcMar>
          </w:tcPr>
          <w:p>
            <w:pPr>
              <w:jc w:val="center"/>
            </w:pPr>
            <w:r>
              <w:rPr>
                <w:b/>
                <w:bCs/>
                <w:color w:val="ffffff"/>
                <w:sz w:val="20"/>
                <w:szCs w:val="20"/>
              </w:rPr>
              <w:t xml:space="preserve">Concepto</w:t>
            </w:r>
          </w:p>
        </w:tc>
        <w:tc>
          <w:tcPr>
            <w:shd w:fill="1a3c6e" w:val="clear"/>
            <w:tcMar>
              <w:top w:type="dxa" w:w="80"/>
              <w:left w:type="dxa" w:w="120"/>
              <w:bottom w:type="dxa" w:w="80"/>
              <w:right w:type="dxa" w:w="120"/>
            </w:tcMar>
          </w:tcPr>
          <w:p>
            <w:pPr>
              <w:jc w:val="center"/>
            </w:pPr>
            <w:r>
              <w:rPr>
                <w:b/>
                <w:bCs/>
                <w:color w:val="ffffff"/>
                <w:sz w:val="20"/>
                <w:szCs w:val="20"/>
              </w:rPr>
              <w:t xml:space="preserve">Empleador</w:t>
            </w:r>
          </w:p>
        </w:tc>
        <w:tc>
          <w:tcPr>
            <w:shd w:fill="1a3c6e" w:val="clear"/>
            <w:tcMar>
              <w:top w:type="dxa" w:w="80"/>
              <w:left w:type="dxa" w:w="120"/>
              <w:bottom w:type="dxa" w:w="80"/>
              <w:right w:type="dxa" w:w="120"/>
            </w:tcMar>
          </w:tcPr>
          <w:p>
            <w:pPr>
              <w:jc w:val="center"/>
            </w:pPr>
            <w:r>
              <w:rPr>
                <w:b/>
                <w:bCs/>
                <w:color w:val="ffffff"/>
                <w:sz w:val="20"/>
                <w:szCs w:val="20"/>
              </w:rPr>
              <w:t xml:space="preserve">Trabajador</w:t>
            </w:r>
          </w:p>
        </w:tc>
        <w:tc>
          <w:tcPr>
            <w:shd w:fill="1a3c6e" w:val="clear"/>
            <w:tcMar>
              <w:top w:type="dxa" w:w="80"/>
              <w:left w:type="dxa" w:w="120"/>
              <w:bottom w:type="dxa" w:w="80"/>
              <w:right w:type="dxa" w:w="120"/>
            </w:tcMar>
          </w:tcPr>
          <w:p>
            <w:pPr>
              <w:jc w:val="center"/>
            </w:pPr>
            <w:r>
              <w:rPr>
                <w:b/>
                <w:bCs/>
                <w:color w:val="ffffff"/>
                <w:sz w:val="20"/>
                <w:szCs w:val="20"/>
              </w:rPr>
              <w:t xml:space="preserve">Total</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Salud (EPS)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8.5%</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4%</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12.5%</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Pensión (AFP)</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12%</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4%</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16%</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ARL (Riesgo Laboral)</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0.348% – 8.7% (según riesgo)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0%</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Variable</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Caja de Compensación Familiar (PARAFISCAL)</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4%</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0%</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4%</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SENA (Parafiscal)</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2%</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0%</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2%</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ICBF (Parafiscal)</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3%</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0%</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3%</w:t>
            </w:r>
          </w:p>
        </w:tc>
      </w:tr>
    </w:tbl>
    <w:p>
      <w:pPr>
        <w:spacing w:after="200"/>
      </w:pPr>
    </w:p>
    <w:p>
      <w:pPr>
        <w:pBdr>
          <w:left w:val="single" w:color="1a3c6e" w:sz="16"/>
        </w:pBdr>
        <w:shd w:fill="f0f4ff" w:val="clear"/>
        <w:spacing w:after="120" w:before="120"/>
        <w:ind w:left="400"/>
      </w:pPr>
      <w:r>
        <w:rPr>
          <w:b/>
          <w:bCs/>
          <w:color w:val="1a3c6e"/>
          <w:sz w:val="22"/>
          <w:szCs w:val="22"/>
        </w:rPr>
        <w:t xml:space="preserve">ℹ️ Exención PYMES: </w:t>
      </w:r>
      <w:r>
        <w:rPr>
          <w:color w:val="2c2c2c"/>
          <w:sz w:val="22"/>
          <w:szCs w:val="22"/>
        </w:rPr>
        <w:t xml:space="preserve">Las microempresas y empresas con trabajadores que devengan hasta 10 SMLMV están exentas de los aportes al SENA e ICBF bajo ciertas condiciones de la Ley 1607 de 2012. Consulte si su empresa califica.</w:t>
      </w:r>
    </w:p>
    <w:p>
      <w:pPr>
        <w:pStyle w:val="Heading2"/>
        <w:spacing w:after="120" w:before="320"/>
      </w:pPr>
      <w:r>
        <w:t xml:space="preserve">8.4 Novedades de la Reforma Laboral — Ley 2466 de 2025</w:t>
      </w:r>
    </w:p>
    <w:p>
      <w:pPr>
        <w:pStyle w:val="ListParagraph"/>
        <w:numPr>
          <w:ilvl w:val="0"/>
          <w:numId w:val="1"/>
        </w:numPr>
        <w:spacing w:after="80"/>
      </w:pPr>
      <w:r>
        <w:rPr>
          <w:b w:val="false"/>
          <w:bCs w:val="false"/>
          <w:color w:val="2c2c2c"/>
          <w:sz w:val="22"/>
          <w:szCs w:val="22"/>
        </w:rPr>
        <w:t xml:space="preserve">Recargos dominicales y festivos aumentan del 75% al 100% del salario ordinario</w:t>
      </w:r>
    </w:p>
    <w:p>
      <w:pPr>
        <w:pStyle w:val="ListParagraph"/>
        <w:numPr>
          <w:ilvl w:val="0"/>
          <w:numId w:val="1"/>
        </w:numPr>
        <w:spacing w:after="80"/>
      </w:pPr>
      <w:r>
        <w:rPr>
          <w:b w:val="false"/>
          <w:bCs w:val="false"/>
          <w:color w:val="2c2c2c"/>
          <w:sz w:val="22"/>
          <w:szCs w:val="22"/>
        </w:rPr>
        <w:t xml:space="preserve">Contratos a término fijo: máximo 4 años acumulados (antes sin límite)</w:t>
      </w:r>
    </w:p>
    <w:p>
      <w:pPr>
        <w:pStyle w:val="ListParagraph"/>
        <w:numPr>
          <w:ilvl w:val="0"/>
          <w:numId w:val="1"/>
        </w:numPr>
        <w:spacing w:after="80"/>
      </w:pPr>
      <w:r>
        <w:rPr>
          <w:b w:val="false"/>
          <w:bCs w:val="false"/>
          <w:color w:val="2c2c2c"/>
          <w:sz w:val="22"/>
          <w:szCs w:val="22"/>
        </w:rPr>
        <w:t xml:space="preserve">Obligación de contratar personas con discapacidad: mínimo 2 por cada 100 trabajadores en empresas de hasta 500 empleados (desde julio 2026)</w:t>
      </w:r>
    </w:p>
    <w:p>
      <w:pPr>
        <w:pStyle w:val="ListParagraph"/>
        <w:numPr>
          <w:ilvl w:val="0"/>
          <w:numId w:val="1"/>
        </w:numPr>
        <w:spacing w:after="80"/>
      </w:pPr>
      <w:r>
        <w:rPr>
          <w:b w:val="false"/>
          <w:bCs w:val="false"/>
          <w:color w:val="2c2c2c"/>
          <w:sz w:val="22"/>
          <w:szCs w:val="22"/>
        </w:rPr>
        <w:t xml:space="preserve">Aprendices SENA: tienen derecho a afiliación completa al sistema de seguridad social</w:t>
      </w:r>
    </w:p>
    <w:p>
      <w:pPr>
        <w:pStyle w:val="ListParagraph"/>
        <w:numPr>
          <w:ilvl w:val="0"/>
          <w:numId w:val="1"/>
        </w:numPr>
        <w:spacing w:after="80"/>
      </w:pPr>
      <w:r>
        <w:rPr>
          <w:b w:val="false"/>
          <w:bCs w:val="false"/>
          <w:color w:val="2c2c2c"/>
          <w:sz w:val="22"/>
          <w:szCs w:val="22"/>
        </w:rPr>
        <w:t xml:space="preserve">Trabajadores migrantes: derechos laborales y de seguridad social independientemente del estatus migratorio</w:t>
      </w:r>
    </w:p>
    <w:p>
      <w:pPr>
        <w:pStyle w:val="ListParagraph"/>
        <w:numPr>
          <w:ilvl w:val="0"/>
          <w:numId w:val="1"/>
        </w:numPr>
        <w:spacing w:after="80"/>
      </w:pPr>
      <w:r>
        <w:rPr>
          <w:b w:val="false"/>
          <w:bCs w:val="false"/>
          <w:color w:val="2c2c2c"/>
          <w:sz w:val="22"/>
          <w:szCs w:val="22"/>
        </w:rPr>
        <w:t xml:space="preserve">Ley 2452 de 2025: los empleadores deben conservar contratos, comprobantes de nómina, registros de jornada y comunicaciones laborales</w:t>
      </w:r>
    </w:p>
    <w:p>
      <w:r>
        <w:br w:type="page"/>
      </w:r>
    </w:p>
    <w:p>
      <w:pPr>
        <w:pStyle w:val="Heading1"/>
        <w:pBdr>
          <w:bottom w:val="single" w:color="c8102e" w:sz="12" w:space="4"/>
        </w:pBdr>
        <w:spacing w:after="160" w:before="480"/>
      </w:pPr>
      <w:r>
        <w:t xml:space="preserve">9. NORMAS CONTABLES — NIIF EN COLOMBIA</w:t>
      </w:r>
    </w:p>
    <w:p>
      <w:pPr>
        <w:spacing w:after="120"/>
        <w:jc w:val="both"/>
      </w:pPr>
      <w:r>
        <w:rPr>
          <w:color w:val="2c2c2c"/>
          <w:sz w:val="22"/>
          <w:szCs w:val="22"/>
        </w:rPr>
        <w:t xml:space="preserve">Colombia adoptó las Normas Internacionales de Información Financiera (NIIF) mediante la Ley 1314 de 2009 y el Decreto 2420 de 2015. El Consejo Técnico de la Contaduría Pública (CTCP) emite la doctrina de aplicación. El Ministerio de Comercio publicó en 2025 el Anexo Técnico 2025 con enmiendas vigentes desde enero 2026.</w:t>
      </w:r>
    </w:p>
    <w:p>
      <w:pPr>
        <w:pStyle w:val="Heading2"/>
        <w:spacing w:after="120" w:before="320"/>
      </w:pPr>
      <w:r>
        <w:t xml:space="preserve">9.1 Grupos de Aplicación NIIF</w:t>
      </w:r>
    </w:p>
    <w:tbl>
      <w:tblPr>
        <w:tblW w:type="dxa" w:w="8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500"/>
        <w:gridCol w:w="3100"/>
      </w:tblGrid>
      <w:tr>
        <w:trPr>
          <w:tblHeader/>
        </w:trPr>
        <w:tc>
          <w:tcPr>
            <w:shd w:fill="1a3c6e" w:val="clear"/>
            <w:tcMar>
              <w:top w:type="dxa" w:w="80"/>
              <w:left w:type="dxa" w:w="120"/>
              <w:bottom w:type="dxa" w:w="80"/>
              <w:right w:type="dxa" w:w="120"/>
            </w:tcMar>
          </w:tcPr>
          <w:p>
            <w:pPr>
              <w:jc w:val="center"/>
            </w:pPr>
            <w:r>
              <w:rPr>
                <w:b/>
                <w:bCs/>
                <w:color w:val="ffffff"/>
                <w:sz w:val="20"/>
                <w:szCs w:val="20"/>
              </w:rPr>
              <w:t xml:space="preserve">Grupo</w:t>
            </w:r>
          </w:p>
        </w:tc>
        <w:tc>
          <w:tcPr>
            <w:shd w:fill="1a3c6e" w:val="clear"/>
            <w:tcMar>
              <w:top w:type="dxa" w:w="80"/>
              <w:left w:type="dxa" w:w="120"/>
              <w:bottom w:type="dxa" w:w="80"/>
              <w:right w:type="dxa" w:w="120"/>
            </w:tcMar>
          </w:tcPr>
          <w:p>
            <w:pPr>
              <w:jc w:val="center"/>
            </w:pPr>
            <w:r>
              <w:rPr>
                <w:b/>
                <w:bCs/>
                <w:color w:val="ffffff"/>
                <w:sz w:val="20"/>
                <w:szCs w:val="20"/>
              </w:rPr>
              <w:t xml:space="preserve">Tipo de Empresa</w:t>
            </w:r>
          </w:p>
        </w:tc>
        <w:tc>
          <w:tcPr>
            <w:shd w:fill="1a3c6e" w:val="clear"/>
            <w:tcMar>
              <w:top w:type="dxa" w:w="80"/>
              <w:left w:type="dxa" w:w="120"/>
              <w:bottom w:type="dxa" w:w="80"/>
              <w:right w:type="dxa" w:w="120"/>
            </w:tcMar>
          </w:tcPr>
          <w:p>
            <w:pPr>
              <w:jc w:val="center"/>
            </w:pPr>
            <w:r>
              <w:rPr>
                <w:b/>
                <w:bCs/>
                <w:color w:val="ffffff"/>
                <w:sz w:val="20"/>
                <w:szCs w:val="20"/>
              </w:rPr>
              <w:t xml:space="preserve">Marco Aplicable</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Grupo 1</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Empresas con más de 30.000 SMLMV en activos o que cotizan en bolsa o tienen más de 200 empleados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NIIF Plenas (NIC/NIIF completas)</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Grupo 2 (PYMES)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Empresas que no califican en Grupo 1 ni 3</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NIIF para PYMES (sección por sección)</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Grupo 3 (Microempresas)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Microempresas que no son de interés público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Contabilidad Simplificada (Decreto 2706)</w:t>
            </w:r>
          </w:p>
        </w:tc>
      </w:tr>
    </w:tbl>
    <w:p>
      <w:pPr>
        <w:spacing w:after="200"/>
      </w:pPr>
    </w:p>
    <w:p>
      <w:pPr>
        <w:pBdr>
          <w:left w:val="single" w:color="c8102e" w:sz="16"/>
        </w:pBdr>
        <w:shd w:fill="fff3f3" w:val="clear"/>
        <w:spacing w:after="120" w:before="120"/>
        <w:ind w:left="400"/>
      </w:pPr>
      <w:r>
        <w:rPr>
          <w:b/>
          <w:bCs/>
          <w:color w:val="c8102e"/>
          <w:sz w:val="22"/>
          <w:szCs w:val="22"/>
        </w:rPr>
        <w:t xml:space="preserve">⚠️ ERROR CRÍTICO COMÚN: </w:t>
      </w:r>
      <w:r>
        <w:rPr>
          <w:color w:val="2c2c2c"/>
          <w:sz w:val="22"/>
          <w:szCs w:val="22"/>
        </w:rPr>
        <w:t xml:space="preserve">Cuando una empresa del Grupo 2 supera los 30.000 SMLMV en activos, debe migrar al Grupo 1 (NIIF Plenas). No hacerlo invalida sus estados financieros ante la Supersociedades y la DIAN. Si bajara de ese umbral, puede volver al Grupo 2.</w:t>
      </w:r>
    </w:p>
    <w:p>
      <w:pPr>
        <w:pStyle w:val="Heading2"/>
        <w:spacing w:after="120" w:before="320"/>
      </w:pPr>
      <w:r>
        <w:t xml:space="preserve">9.2 Obligaciones Contables Claves</w:t>
      </w:r>
    </w:p>
    <w:p>
      <w:pPr>
        <w:pStyle w:val="ListParagraph"/>
        <w:numPr>
          <w:ilvl w:val="0"/>
          <w:numId w:val="1"/>
        </w:numPr>
        <w:spacing w:after="80"/>
      </w:pPr>
      <w:r>
        <w:rPr>
          <w:b w:val="false"/>
          <w:bCs w:val="false"/>
          <w:color w:val="2c2c2c"/>
          <w:sz w:val="22"/>
          <w:szCs w:val="22"/>
        </w:rPr>
        <w:t xml:space="preserve">Llevar contabilidad bajo el marco NIIF correspondiente</w:t>
      </w:r>
    </w:p>
    <w:p>
      <w:pPr>
        <w:pStyle w:val="ListParagraph"/>
        <w:numPr>
          <w:ilvl w:val="0"/>
          <w:numId w:val="1"/>
        </w:numPr>
        <w:spacing w:after="80"/>
      </w:pPr>
      <w:r>
        <w:rPr>
          <w:b w:val="false"/>
          <w:bCs w:val="false"/>
          <w:color w:val="2c2c2c"/>
          <w:sz w:val="22"/>
          <w:szCs w:val="22"/>
        </w:rPr>
        <w:t xml:space="preserve">Preparar estados financieros anuales: Balance General, Estado de Resultados, Flujo de Caja, Estado de Cambios en el Patrimonio y Notas</w:t>
      </w:r>
    </w:p>
    <w:p>
      <w:pPr>
        <w:pStyle w:val="ListParagraph"/>
        <w:numPr>
          <w:ilvl w:val="0"/>
          <w:numId w:val="1"/>
        </w:numPr>
        <w:spacing w:after="80"/>
      </w:pPr>
      <w:r>
        <w:rPr>
          <w:b w:val="false"/>
          <w:bCs w:val="false"/>
          <w:color w:val="2c2c2c"/>
          <w:sz w:val="22"/>
          <w:szCs w:val="22"/>
        </w:rPr>
        <w:t xml:space="preserve">Presentar estados financieros a la Supersociedades si la empresa está sujeta a su vigilancia</w:t>
      </w:r>
    </w:p>
    <w:p>
      <w:pPr>
        <w:pStyle w:val="ListParagraph"/>
        <w:numPr>
          <w:ilvl w:val="0"/>
          <w:numId w:val="1"/>
        </w:numPr>
        <w:spacing w:after="80"/>
      </w:pPr>
      <w:r>
        <w:rPr>
          <w:b w:val="false"/>
          <w:bCs w:val="false"/>
          <w:color w:val="2c2c2c"/>
          <w:sz w:val="22"/>
          <w:szCs w:val="22"/>
        </w:rPr>
        <w:t xml:space="preserve">Las empresas matrices deben presentar estados financieros consolidados (NIC 27 para Grupo 1 o Sección 9 NIIF PYMES para Grupo 2)</w:t>
      </w:r>
    </w:p>
    <w:p>
      <w:pPr>
        <w:pStyle w:val="ListParagraph"/>
        <w:numPr>
          <w:ilvl w:val="0"/>
          <w:numId w:val="1"/>
        </w:numPr>
        <w:spacing w:after="80"/>
      </w:pPr>
      <w:r>
        <w:rPr>
          <w:b w:val="false"/>
          <w:bCs w:val="false"/>
          <w:color w:val="2c2c2c"/>
          <w:sz w:val="22"/>
          <w:szCs w:val="22"/>
        </w:rPr>
        <w:t xml:space="preserve">Tener Revisor Fiscal si los activos superan 5.000 SMLMV o los ingresos superan 3.000 SMLMV (Art. 203 del Código de Comercio)</w:t>
      </w:r>
    </w:p>
    <w:p>
      <w:pPr>
        <w:pStyle w:val="Heading2"/>
        <w:spacing w:after="120" w:before="320"/>
      </w:pPr>
      <w:r>
        <w:t xml:space="preserve">9.3 Diferencias NIIF vs. Normas Fiscales</w:t>
      </w:r>
    </w:p>
    <w:p>
      <w:pPr>
        <w:spacing w:after="120"/>
        <w:jc w:val="both"/>
      </w:pPr>
      <w:r>
        <w:rPr>
          <w:color w:val="2c2c2c"/>
          <w:sz w:val="22"/>
          <w:szCs w:val="22"/>
        </w:rPr>
        <w:t xml:space="preserve">Es fundamental entender que la contabilidad bajo NIIF y la contabilidad fiscal son marcos DISTINTOS. Las NIIF rigen para los estados financieros que se presentan a socios, bancos y entidades regulatorias. Las normas del Estatuto Tributario rigen para el cálculo de los impuestos. Muchos empresarios cometen el error de calcular sus impuestos sobre la utilidad NIIF cuando deben calcularlos sobre la utilidad FISCAL.</w:t>
      </w:r>
    </w:p>
    <w:p>
      <w:pPr>
        <w:pBdr>
          <w:left w:val="single" w:color="1a3c6e" w:sz="16"/>
        </w:pBdr>
        <w:shd w:fill="f0f4ff" w:val="clear"/>
        <w:spacing w:after="120" w:before="120"/>
        <w:ind w:left="400"/>
      </w:pPr>
      <w:r>
        <w:rPr>
          <w:b/>
          <w:bCs/>
          <w:color w:val="1a3c6e"/>
          <w:sz w:val="22"/>
          <w:szCs w:val="22"/>
        </w:rPr>
        <w:t xml:space="preserve">ℹ️ Conciliación obligatoria: </w:t>
      </w:r>
      <w:r>
        <w:rPr>
          <w:color w:val="2c2c2c"/>
          <w:sz w:val="22"/>
          <w:szCs w:val="22"/>
        </w:rPr>
        <w:t xml:space="preserve">Toda empresa debe hacer una conciliación anual entre la utilidad contable (NIIF) y la utilidad fiscal (E.T.) para determinar correctamente el impuesto de renta. Las diferencias más comunes son: depreciación contable vs. fiscal, provisiones contables no deducibles fiscalmente y dividendos recibidos.</w:t>
      </w:r>
    </w:p>
    <w:p>
      <w:r>
        <w:br w:type="page"/>
      </w:r>
    </w:p>
    <w:p>
      <w:pPr>
        <w:pStyle w:val="Heading1"/>
        <w:pBdr>
          <w:bottom w:val="single" w:color="c8102e" w:sz="12" w:space="4"/>
        </w:pBdr>
        <w:spacing w:after="160" w:before="480"/>
      </w:pPr>
      <w:r>
        <w:t xml:space="preserve">10. OBLIGACIONES FORMALES ANTE LA DIAN Y SANCIONES</w:t>
      </w:r>
    </w:p>
    <w:p>
      <w:pPr>
        <w:pStyle w:val="Heading2"/>
        <w:spacing w:after="120" w:before="320"/>
      </w:pPr>
      <w:r>
        <w:t xml:space="preserve">10.1 RUT — Registro Único Tributario</w:t>
      </w:r>
    </w:p>
    <w:p>
      <w:pPr>
        <w:spacing w:after="120"/>
        <w:jc w:val="both"/>
      </w:pPr>
      <w:r>
        <w:rPr>
          <w:color w:val="2c2c2c"/>
          <w:sz w:val="22"/>
          <w:szCs w:val="22"/>
        </w:rPr>
        <w:t xml:space="preserve">El RUT es el mecanismo único para identificar, ubicar y clasificar a todos los contribuyentes en Colombia. Toda empresa y persona natural que desarrolle actividades económicas debe estar inscrita en el RUT. Es obligatorio actualizar el RUT cuando cambie el domicilio, la actividad económica, los socios, el representante legal o las responsabilidades tributarias.</w:t>
      </w:r>
    </w:p>
    <w:p>
      <w:pPr>
        <w:pStyle w:val="Heading2"/>
        <w:spacing w:after="120" w:before="320"/>
      </w:pPr>
      <w:r>
        <w:t xml:space="preserve">10.2 Facturación Electrónica</w:t>
      </w:r>
    </w:p>
    <w:p>
      <w:pPr>
        <w:spacing w:after="120"/>
        <w:jc w:val="both"/>
      </w:pPr>
      <w:r>
        <w:rPr>
          <w:color w:val="2c2c2c"/>
          <w:sz w:val="22"/>
          <w:szCs w:val="22"/>
        </w:rPr>
        <w:t xml:space="preserve">Desde 2019, Colombia implementó gradualmente la facturación electrónica obligatoria. A partir de 2021, prácticamente todas las empresas y personas naturales con actividades económicas están obligadas a usar factura electrónica de venta con validación previa de la DIAN.</w:t>
      </w:r>
    </w:p>
    <w:p>
      <w:pPr>
        <w:pStyle w:val="ListParagraph"/>
        <w:numPr>
          <w:ilvl w:val="0"/>
          <w:numId w:val="1"/>
        </w:numPr>
        <w:spacing w:after="80"/>
      </w:pPr>
      <w:r>
        <w:rPr>
          <w:b w:val="false"/>
          <w:bCs w:val="false"/>
          <w:color w:val="2c2c2c"/>
          <w:sz w:val="22"/>
          <w:szCs w:val="22"/>
        </w:rPr>
        <w:t xml:space="preserve">La DIAN ofrece el sistema de facturación gratuito en su portal (www.dian.gov.co)</w:t>
      </w:r>
    </w:p>
    <w:p>
      <w:pPr>
        <w:pStyle w:val="ListParagraph"/>
        <w:numPr>
          <w:ilvl w:val="0"/>
          <w:numId w:val="1"/>
        </w:numPr>
        <w:spacing w:after="80"/>
      </w:pPr>
      <w:r>
        <w:rPr>
          <w:b w:val="false"/>
          <w:bCs w:val="false"/>
          <w:color w:val="2c2c2c"/>
          <w:sz w:val="22"/>
          <w:szCs w:val="22"/>
        </w:rPr>
        <w:t xml:space="preserve">Existen también proveedores tecnológicos autorizados (Siigo, Alegra, World Office, entre otros)</w:t>
      </w:r>
    </w:p>
    <w:p>
      <w:pPr>
        <w:pStyle w:val="ListParagraph"/>
        <w:numPr>
          <w:ilvl w:val="0"/>
          <w:numId w:val="1"/>
        </w:numPr>
        <w:spacing w:after="80"/>
      </w:pPr>
      <w:r>
        <w:rPr>
          <w:b w:val="false"/>
          <w:bCs w:val="false"/>
          <w:color w:val="2c2c2c"/>
          <w:sz w:val="22"/>
          <w:szCs w:val="22"/>
        </w:rPr>
        <w:t xml:space="preserve">Facturar sin factura electrónica válida impide deducir el gasto para quien paga</w:t>
      </w:r>
    </w:p>
    <w:p>
      <w:pPr>
        <w:pStyle w:val="ListParagraph"/>
        <w:numPr>
          <w:ilvl w:val="0"/>
          <w:numId w:val="1"/>
        </w:numPr>
        <w:spacing w:after="80"/>
      </w:pPr>
      <w:r>
        <w:rPr>
          <w:b w:val="false"/>
          <w:bCs w:val="false"/>
          <w:color w:val="2c2c2c"/>
          <w:sz w:val="22"/>
          <w:szCs w:val="22"/>
        </w:rPr>
        <w:t xml:space="preserve">La DIAN puede sancionar con cierre temporal del establecimiento a quienes no facturen electrónicamente</w:t>
      </w:r>
    </w:p>
    <w:p>
      <w:pPr>
        <w:pStyle w:val="Heading2"/>
        <w:spacing w:after="120" w:before="320"/>
      </w:pPr>
      <w:r>
        <w:t xml:space="preserve">10.3 Información Exógena (Medios Magnéticos)</w:t>
      </w:r>
    </w:p>
    <w:p>
      <w:pPr>
        <w:spacing w:after="120"/>
        <w:jc w:val="both"/>
      </w:pPr>
      <w:r>
        <w:rPr>
          <w:color w:val="2c2c2c"/>
          <w:sz w:val="22"/>
          <w:szCs w:val="22"/>
        </w:rPr>
        <w:t xml:space="preserve">La información exógena es el reporte anual que deben presentar a la DIAN las empresas y personas con ciertas características, informando sobre pagos realizados, ingresos recibidos, retenciones practicadas, IVA y otros conceptos. Es utilizada por la DIAN para cruces de información y detección de inconsistencias.</w:t>
      </w:r>
    </w:p>
    <w:p>
      <w:pPr>
        <w:pStyle w:val="ListParagraph"/>
        <w:numPr>
          <w:ilvl w:val="0"/>
          <w:numId w:val="1"/>
        </w:numPr>
        <w:spacing w:after="80"/>
      </w:pPr>
      <w:r>
        <w:rPr>
          <w:b w:val="false"/>
          <w:bCs w:val="false"/>
          <w:color w:val="2c2c2c"/>
          <w:sz w:val="22"/>
          <w:szCs w:val="22"/>
        </w:rPr>
        <w:t xml:space="preserve">Los plazos de presentación se extienden de mayo a junio del año siguiente al gravable</w:t>
      </w:r>
    </w:p>
    <w:p>
      <w:pPr>
        <w:pStyle w:val="ListParagraph"/>
        <w:numPr>
          <w:ilvl w:val="0"/>
          <w:numId w:val="1"/>
        </w:numPr>
        <w:spacing w:after="80"/>
      </w:pPr>
      <w:r>
        <w:rPr>
          <w:b w:val="false"/>
          <w:bCs w:val="false"/>
          <w:color w:val="2c2c2c"/>
          <w:sz w:val="22"/>
          <w:szCs w:val="22"/>
        </w:rPr>
        <w:t xml:space="preserve">Quien no reporta o reporta con errores puede recibir sanción del 5% de los valores no reportados</w:t>
      </w:r>
    </w:p>
    <w:p>
      <w:pPr>
        <w:pStyle w:val="ListParagraph"/>
        <w:numPr>
          <w:ilvl w:val="0"/>
          <w:numId w:val="1"/>
        </w:numPr>
        <w:spacing w:after="80"/>
      </w:pPr>
      <w:r>
        <w:rPr>
          <w:b w:val="false"/>
          <w:bCs w:val="false"/>
          <w:color w:val="2c2c2c"/>
          <w:sz w:val="22"/>
          <w:szCs w:val="22"/>
        </w:rPr>
        <w:t xml:space="preserve">La información debe coincidir con lo declarado en renta, IVA y retención</w:t>
      </w:r>
    </w:p>
    <w:p>
      <w:pPr>
        <w:pStyle w:val="Heading2"/>
        <w:spacing w:after="120" w:before="320"/>
      </w:pPr>
      <w:r>
        <w:t xml:space="preserve">10.4 Principales Sanciones Tributarias</w:t>
      </w:r>
    </w:p>
    <w:tbl>
      <w:tblPr>
        <w:tblW w:type="dxa" w:w="8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2300"/>
      </w:tblGrid>
      <w:tr>
        <w:trPr>
          <w:tblHeader/>
        </w:trPr>
        <w:tc>
          <w:tcPr>
            <w:shd w:fill="1a3c6e" w:val="clear"/>
            <w:tcMar>
              <w:top w:type="dxa" w:w="80"/>
              <w:left w:type="dxa" w:w="120"/>
              <w:bottom w:type="dxa" w:w="80"/>
              <w:right w:type="dxa" w:w="120"/>
            </w:tcMar>
          </w:tcPr>
          <w:p>
            <w:pPr>
              <w:jc w:val="center"/>
            </w:pPr>
            <w:r>
              <w:rPr>
                <w:b/>
                <w:bCs/>
                <w:color w:val="ffffff"/>
                <w:sz w:val="20"/>
                <w:szCs w:val="20"/>
              </w:rPr>
              <w:t xml:space="preserve">Tipo de Sanción</w:t>
            </w:r>
          </w:p>
        </w:tc>
        <w:tc>
          <w:tcPr>
            <w:shd w:fill="1a3c6e" w:val="clear"/>
            <w:tcMar>
              <w:top w:type="dxa" w:w="80"/>
              <w:left w:type="dxa" w:w="120"/>
              <w:bottom w:type="dxa" w:w="80"/>
              <w:right w:type="dxa" w:w="120"/>
            </w:tcMar>
          </w:tcPr>
          <w:p>
            <w:pPr>
              <w:jc w:val="center"/>
            </w:pPr>
            <w:r>
              <w:rPr>
                <w:b/>
                <w:bCs/>
                <w:color w:val="ffffff"/>
                <w:sz w:val="20"/>
                <w:szCs w:val="20"/>
              </w:rPr>
              <w:t xml:space="preserve">Monto</w:t>
            </w:r>
          </w:p>
        </w:tc>
        <w:tc>
          <w:tcPr>
            <w:shd w:fill="1a3c6e" w:val="clear"/>
            <w:tcMar>
              <w:top w:type="dxa" w:w="80"/>
              <w:left w:type="dxa" w:w="120"/>
              <w:bottom w:type="dxa" w:w="80"/>
              <w:right w:type="dxa" w:w="120"/>
            </w:tcMar>
          </w:tcPr>
          <w:p>
            <w:pPr>
              <w:jc w:val="center"/>
            </w:pPr>
            <w:r>
              <w:rPr>
                <w:b/>
                <w:bCs/>
                <w:color w:val="ffffff"/>
                <w:sz w:val="20"/>
                <w:szCs w:val="20"/>
              </w:rPr>
              <w:t xml:space="preserve">Artículo E.T.</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Extemporaneidad en declaraciones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5% del impuesto por mes o fracción (máx. 100%)</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Art. 641</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No declarar (omisión)</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10% de los ingresos del período no declarado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Art. 643</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Inexactitud en declaraciones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100% de la diferencia entre lo declarado y lo correcto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Art. 647</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No practicar retención</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10% de los valores no retenidos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Art. 667</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No facturar electrónicamente</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1% de los ingresos del mes (máx. 10 SMLMV por año)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Art. 652</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No actualizar RUT</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Hasta 30 UVT</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Art. 658-3</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Mora en el pago de impuestos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Intereses del 1.5 veces la tasa de usura mensual (~2.45%/mes)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Art. 634</w:t>
            </w:r>
          </w:p>
        </w:tc>
      </w:tr>
    </w:tbl>
    <w:p>
      <w:pPr>
        <w:spacing w:after="200"/>
      </w:pPr>
    </w:p>
    <w:p>
      <w:pPr>
        <w:pBdr>
          <w:left w:val="single" w:color="1a3c6e" w:sz="16"/>
        </w:pBdr>
        <w:shd w:fill="f0f4ff" w:val="clear"/>
        <w:spacing w:after="120" w:before="120"/>
        <w:ind w:left="400"/>
      </w:pPr>
      <w:r>
        <w:rPr>
          <w:b/>
          <w:bCs/>
          <w:color w:val="1a3c6e"/>
          <w:sz w:val="22"/>
          <w:szCs w:val="22"/>
        </w:rPr>
        <w:t xml:space="preserve">ℹ️ Conciliación tributaria 2026: </w:t>
      </w:r>
      <w:r>
        <w:rPr>
          <w:color w:val="2c2c2c"/>
          <w:sz w:val="22"/>
          <w:szCs w:val="22"/>
        </w:rPr>
        <w:t xml:space="preserve">El Decreto de Emergencia Económica de enero 2026 introdujo un mecanismo de conciliación: quienes tengan procesos ante la jurisdicción contencioso-administrativa con demandas presentadas antes del 31 de diciembre de 2025 podrán solicitar conciliación del 15% de las sanciones e intereses si pagan el 100% del impuesto en discusión (hasta el 31 de mayo de 2026).</w:t>
      </w:r>
    </w:p>
    <w:p>
      <w:r>
        <w:br w:type="page"/>
      </w:r>
    </w:p>
    <w:p>
      <w:pPr>
        <w:pStyle w:val="Heading1"/>
        <w:pBdr>
          <w:bottom w:val="single" w:color="c8102e" w:sz="12" w:space="4"/>
        </w:pBdr>
        <w:spacing w:after="160" w:before="480"/>
      </w:pPr>
      <w:r>
        <w:t xml:space="preserve">11. PLANEACIÓN TRIBUTARIA — ESTRATEGIAS LEGALES</w:t>
      </w:r>
    </w:p>
    <w:p>
      <w:pPr>
        <w:spacing w:after="120"/>
        <w:jc w:val="both"/>
      </w:pPr>
      <w:r>
        <w:rPr>
          <w:color w:val="2c2c2c"/>
          <w:sz w:val="22"/>
          <w:szCs w:val="22"/>
        </w:rPr>
        <w:t xml:space="preserve">La planeación tributaria es el conjunto de decisiones legales que toma una empresa para minimizar su carga fiscal dentro del marco permitido por la ley. No se debe confundir con evasión (ilegal) ni con elusión agresiva. Las siguientes son estrategias permitidas y documentadas:</w:t>
      </w:r>
    </w:p>
    <w:p>
      <w:pPr>
        <w:pStyle w:val="Heading2"/>
        <w:spacing w:after="120" w:before="320"/>
      </w:pPr>
      <w:r>
        <w:t xml:space="preserve">11.1 Estrategias para Personas Jurídicas</w:t>
      </w:r>
    </w:p>
    <w:p>
      <w:pPr>
        <w:pStyle w:val="ListParagraph"/>
        <w:numPr>
          <w:ilvl w:val="0"/>
          <w:numId w:val="1"/>
        </w:numPr>
        <w:spacing w:after="80"/>
      </w:pPr>
      <w:r>
        <w:rPr>
          <w:b w:val="false"/>
          <w:bCs w:val="false"/>
          <w:color w:val="2c2c2c"/>
          <w:sz w:val="22"/>
          <w:szCs w:val="22"/>
        </w:rPr>
        <w:t xml:space="preserve">Evaluar si conviene el Régimen Simple vs. Régimen Ordinario según nivel y tipo de ingresos</w:t>
      </w:r>
    </w:p>
    <w:p>
      <w:pPr>
        <w:pStyle w:val="ListParagraph"/>
        <w:numPr>
          <w:ilvl w:val="0"/>
          <w:numId w:val="1"/>
        </w:numPr>
        <w:spacing w:after="80"/>
      </w:pPr>
      <w:r>
        <w:rPr>
          <w:b w:val="false"/>
          <w:bCs w:val="false"/>
          <w:color w:val="2c2c2c"/>
          <w:sz w:val="22"/>
          <w:szCs w:val="22"/>
        </w:rPr>
        <w:t xml:space="preserve">Maximizar deducciones permitidas: inversión en ciencia y tecnología (descuento del 30%), donaciones a RTE, gastos de personal formal</w:t>
      </w:r>
    </w:p>
    <w:p>
      <w:pPr>
        <w:pStyle w:val="ListParagraph"/>
        <w:numPr>
          <w:ilvl w:val="0"/>
          <w:numId w:val="1"/>
        </w:numPr>
        <w:spacing w:after="80"/>
      </w:pPr>
      <w:r>
        <w:rPr>
          <w:b w:val="false"/>
          <w:bCs w:val="false"/>
          <w:color w:val="2c2c2c"/>
          <w:sz w:val="22"/>
          <w:szCs w:val="22"/>
        </w:rPr>
        <w:t xml:space="preserve">Controlar el momento de reconocimiento de ingresos y gastos (devengado vs. recibido)</w:t>
      </w:r>
    </w:p>
    <w:p>
      <w:pPr>
        <w:pStyle w:val="ListParagraph"/>
        <w:numPr>
          <w:ilvl w:val="0"/>
          <w:numId w:val="1"/>
        </w:numPr>
        <w:spacing w:after="80"/>
      </w:pPr>
      <w:r>
        <w:rPr>
          <w:b w:val="false"/>
          <w:bCs w:val="false"/>
          <w:color w:val="2c2c2c"/>
          <w:sz w:val="22"/>
          <w:szCs w:val="22"/>
        </w:rPr>
        <w:t xml:space="preserve">Estructurar correctamente los contratos con empleados vs. contratistas independientes para optimizar costos</w:t>
      </w:r>
    </w:p>
    <w:p>
      <w:pPr>
        <w:pStyle w:val="ListParagraph"/>
        <w:numPr>
          <w:ilvl w:val="0"/>
          <w:numId w:val="1"/>
        </w:numPr>
        <w:spacing w:after="80"/>
      </w:pPr>
      <w:r>
        <w:rPr>
          <w:b w:val="false"/>
          <w:bCs w:val="false"/>
          <w:color w:val="2c2c2c"/>
          <w:sz w:val="22"/>
          <w:szCs w:val="22"/>
        </w:rPr>
        <w:t xml:space="preserve">Evaluar si aplica la Tasa Mínima de Tributación del 15% antes de planear beneficios</w:t>
      </w:r>
    </w:p>
    <w:p>
      <w:pPr>
        <w:pStyle w:val="ListParagraph"/>
        <w:numPr>
          <w:ilvl w:val="0"/>
          <w:numId w:val="1"/>
        </w:numPr>
        <w:spacing w:after="80"/>
      </w:pPr>
      <w:r>
        <w:rPr>
          <w:b w:val="false"/>
          <w:bCs w:val="false"/>
          <w:color w:val="2c2c2c"/>
          <w:sz w:val="22"/>
          <w:szCs w:val="22"/>
        </w:rPr>
        <w:t xml:space="preserve">Utilizar la deducción del ICA pagado como gasto en renta</w:t>
      </w:r>
    </w:p>
    <w:p>
      <w:pPr>
        <w:pStyle w:val="ListParagraph"/>
        <w:numPr>
          <w:ilvl w:val="0"/>
          <w:numId w:val="1"/>
        </w:numPr>
        <w:spacing w:after="80"/>
      </w:pPr>
      <w:r>
        <w:rPr>
          <w:b w:val="false"/>
          <w:bCs w:val="false"/>
          <w:color w:val="2c2c2c"/>
          <w:sz w:val="22"/>
          <w:szCs w:val="22"/>
        </w:rPr>
        <w:t xml:space="preserve">Controlar el 4×1000 canalizando pagos por la cuenta exenta</w:t>
      </w:r>
    </w:p>
    <w:p>
      <w:pPr>
        <w:pStyle w:val="Heading2"/>
        <w:spacing w:after="120" w:before="320"/>
      </w:pPr>
      <w:r>
        <w:t xml:space="preserve">11.2 Zona Franca como Estrategia</w:t>
      </w:r>
    </w:p>
    <w:p>
      <w:pPr>
        <w:spacing w:after="120"/>
        <w:jc w:val="both"/>
      </w:pPr>
      <w:r>
        <w:rPr>
          <w:color w:val="2c2c2c"/>
          <w:sz w:val="22"/>
          <w:szCs w:val="22"/>
        </w:rPr>
        <w:t xml:space="preserve">Las zonas francas son áreas geográficas delimitadas donde se aplican condiciones especiales de comercio y tributación. Los usuarios industriales de Zonas Francas pagan impuesto de renta del 20% (vs. 35% general) y están exentos de IVA en importaciones de bienes para el proceso productivo.</w:t>
      </w:r>
    </w:p>
    <w:p>
      <w:pPr>
        <w:pStyle w:val="Heading2"/>
        <w:spacing w:after="120" w:before="320"/>
      </w:pPr>
      <w:r>
        <w:t xml:space="preserve">11.3 Diferencia entre Planeación, Evasión y Elusión</w:t>
      </w:r>
    </w:p>
    <w:tbl>
      <w:tblPr>
        <w:tblW w:type="dxa" w:w="8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000"/>
        <w:gridCol w:w="1400"/>
        <w:gridCol w:w="1800"/>
      </w:tblGrid>
      <w:tr>
        <w:trPr>
          <w:tblHeader/>
        </w:trPr>
        <w:tc>
          <w:tcPr>
            <w:shd w:fill="1a3c6e" w:val="clear"/>
            <w:tcMar>
              <w:top w:type="dxa" w:w="80"/>
              <w:left w:type="dxa" w:w="120"/>
              <w:bottom w:type="dxa" w:w="80"/>
              <w:right w:type="dxa" w:w="120"/>
            </w:tcMar>
          </w:tcPr>
          <w:p>
            <w:pPr>
              <w:jc w:val="center"/>
            </w:pPr>
            <w:r>
              <w:rPr>
                <w:b/>
                <w:bCs/>
                <w:color w:val="ffffff"/>
                <w:sz w:val="20"/>
                <w:szCs w:val="20"/>
              </w:rPr>
              <w:t xml:space="preserve">Concepto</w:t>
            </w:r>
          </w:p>
        </w:tc>
        <w:tc>
          <w:tcPr>
            <w:shd w:fill="1a3c6e" w:val="clear"/>
            <w:tcMar>
              <w:top w:type="dxa" w:w="80"/>
              <w:left w:type="dxa" w:w="120"/>
              <w:bottom w:type="dxa" w:w="80"/>
              <w:right w:type="dxa" w:w="120"/>
            </w:tcMar>
          </w:tcPr>
          <w:p>
            <w:pPr>
              <w:jc w:val="center"/>
            </w:pPr>
            <w:r>
              <w:rPr>
                <w:b/>
                <w:bCs/>
                <w:color w:val="ffffff"/>
                <w:sz w:val="20"/>
                <w:szCs w:val="20"/>
              </w:rPr>
              <w:t xml:space="preserve">Definición</w:t>
            </w:r>
          </w:p>
        </w:tc>
        <w:tc>
          <w:tcPr>
            <w:shd w:fill="1a3c6e" w:val="clear"/>
            <w:tcMar>
              <w:top w:type="dxa" w:w="80"/>
              <w:left w:type="dxa" w:w="120"/>
              <w:bottom w:type="dxa" w:w="80"/>
              <w:right w:type="dxa" w:w="120"/>
            </w:tcMar>
          </w:tcPr>
          <w:p>
            <w:pPr>
              <w:jc w:val="center"/>
            </w:pPr>
            <w:r>
              <w:rPr>
                <w:b/>
                <w:bCs/>
                <w:color w:val="ffffff"/>
                <w:sz w:val="20"/>
                <w:szCs w:val="20"/>
              </w:rPr>
              <w:t xml:space="preserve">¿Legal?</w:t>
            </w:r>
          </w:p>
        </w:tc>
        <w:tc>
          <w:tcPr>
            <w:shd w:fill="1a3c6e" w:val="clear"/>
            <w:tcMar>
              <w:top w:type="dxa" w:w="80"/>
              <w:left w:type="dxa" w:w="120"/>
              <w:bottom w:type="dxa" w:w="80"/>
              <w:right w:type="dxa" w:w="120"/>
            </w:tcMar>
          </w:tcPr>
          <w:p>
            <w:pPr>
              <w:jc w:val="center"/>
            </w:pPr>
            <w:r>
              <w:rPr>
                <w:b/>
                <w:bCs/>
                <w:color w:val="ffffff"/>
                <w:sz w:val="20"/>
                <w:szCs w:val="20"/>
              </w:rPr>
              <w:t xml:space="preserve">Consecuencia</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Planeación Tributaria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Usar las normas para pagar lo mínimo legal</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 Sí</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Ninguna (es un derecho)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Elusión Tributaria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Uso artificial de normas para evitar impuestos sin sustancia económica real</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 Zona gris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DIAN puede recaracterizar la operación y cobrar diferencias</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Evasión Tributaria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Ocultamiento de ingresos, doble contabilidad, facturas falsas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 No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Sanciones + intereses + proceso penal (Art. 434A Código Penal)</w:t>
            </w:r>
          </w:p>
        </w:tc>
      </w:tr>
    </w:tbl>
    <w:p>
      <w:pPr>
        <w:spacing w:after="200"/>
      </w:pPr>
    </w:p>
    <w:p>
      <w:pPr>
        <w:pBdr>
          <w:left w:val="single" w:color="c8102e" w:sz="16"/>
        </w:pBdr>
        <w:shd w:fill="fff3f3" w:val="clear"/>
        <w:spacing w:after="120" w:before="120"/>
        <w:ind w:left="400"/>
      </w:pPr>
      <w:r>
        <w:rPr>
          <w:b/>
          <w:bCs/>
          <w:color w:val="c8102e"/>
          <w:sz w:val="22"/>
          <w:szCs w:val="22"/>
        </w:rPr>
        <w:t xml:space="preserve">⚠️ NORMA ANTIEVASIÓN: </w:t>
      </w:r>
      <w:r>
        <w:rPr>
          <w:color w:val="2c2c2c"/>
          <w:sz w:val="22"/>
          <w:szCs w:val="22"/>
        </w:rPr>
        <w:t xml:space="preserve">La Cláusula Antiabuso del Estatuto Tributario (Art. 869) permite a la DIAN desconocer los efectos de actos o contratos que no tengan sustancia económica real y cuyo único propósito sea obtener beneficios tributarios. Toda planeación debe tener propósito de negocio real.</w:t>
      </w:r>
    </w:p>
    <w:p>
      <w:r>
        <w:br w:type="page"/>
      </w:r>
    </w:p>
    <w:p>
      <w:pPr>
        <w:pStyle w:val="Heading1"/>
        <w:pBdr>
          <w:bottom w:val="single" w:color="c8102e" w:sz="12" w:space="4"/>
        </w:pBdr>
        <w:spacing w:after="160" w:before="480"/>
      </w:pPr>
      <w:r>
        <w:t xml:space="preserve">12. DERECHO COMERCIAL — LO ESENCIAL PARA EL EMPRESARIO</w:t>
      </w:r>
    </w:p>
    <w:p>
      <w:pPr>
        <w:pStyle w:val="Heading2"/>
        <w:spacing w:after="120" w:before="320"/>
      </w:pPr>
      <w:r>
        <w:t xml:space="preserve">12.1 El Código de Comercio (Decreto 410 de 1971)</w:t>
      </w:r>
    </w:p>
    <w:p>
      <w:pPr>
        <w:spacing w:after="120"/>
        <w:jc w:val="both"/>
      </w:pPr>
      <w:r>
        <w:rPr>
          <w:color w:val="2c2c2c"/>
          <w:sz w:val="22"/>
          <w:szCs w:val="22"/>
        </w:rPr>
        <w:t xml:space="preserve">El Código de Comercio colombiano rige todas las relaciones mercantiles. Los empresarios deben conocer sus disposiciones clave sobre: contratos mercantiles, títulos valores, sociedades comerciales, contabilidad mercantil y procesos de insolvencia.</w:t>
      </w:r>
    </w:p>
    <w:p>
      <w:pPr>
        <w:pStyle w:val="Heading2"/>
        <w:spacing w:after="120" w:before="320"/>
      </w:pPr>
      <w:r>
        <w:t xml:space="preserve">12.2 Contratos Comerciales Fundamentales</w:t>
      </w:r>
    </w:p>
    <w:p>
      <w:pPr>
        <w:pStyle w:val="ListParagraph"/>
        <w:numPr>
          <w:ilvl w:val="0"/>
          <w:numId w:val="1"/>
        </w:numPr>
        <w:spacing w:after="80"/>
      </w:pPr>
      <w:r>
        <w:rPr>
          <w:b w:val="false"/>
          <w:bCs w:val="false"/>
          <w:color w:val="2c2c2c"/>
          <w:sz w:val="22"/>
          <w:szCs w:val="22"/>
        </w:rPr>
        <w:t xml:space="preserve">Contrato de compraventa mercantil: regula la transferencia de mercancías entre comerciantes</w:t>
      </w:r>
    </w:p>
    <w:p>
      <w:pPr>
        <w:pStyle w:val="ListParagraph"/>
        <w:numPr>
          <w:ilvl w:val="0"/>
          <w:numId w:val="1"/>
        </w:numPr>
        <w:spacing w:after="80"/>
      </w:pPr>
      <w:r>
        <w:rPr>
          <w:b w:val="false"/>
          <w:bCs w:val="false"/>
          <w:color w:val="2c2c2c"/>
          <w:sz w:val="22"/>
          <w:szCs w:val="22"/>
        </w:rPr>
        <w:t xml:space="preserve">Contrato de suministro: prestación periódica de bienes o servicios</w:t>
      </w:r>
    </w:p>
    <w:p>
      <w:pPr>
        <w:pStyle w:val="ListParagraph"/>
        <w:numPr>
          <w:ilvl w:val="0"/>
          <w:numId w:val="1"/>
        </w:numPr>
        <w:spacing w:after="80"/>
      </w:pPr>
      <w:r>
        <w:rPr>
          <w:b w:val="false"/>
          <w:bCs w:val="false"/>
          <w:color w:val="2c2c2c"/>
          <w:sz w:val="22"/>
          <w:szCs w:val="22"/>
        </w:rPr>
        <w:t xml:space="preserve">Contrato de mandato / agencia comercial: representación de una empresa por otra en operaciones de compraventa</w:t>
      </w:r>
    </w:p>
    <w:p>
      <w:pPr>
        <w:pStyle w:val="ListParagraph"/>
        <w:numPr>
          <w:ilvl w:val="0"/>
          <w:numId w:val="1"/>
        </w:numPr>
        <w:spacing w:after="80"/>
      </w:pPr>
      <w:r>
        <w:rPr>
          <w:b w:val="false"/>
          <w:bCs w:val="false"/>
          <w:color w:val="2c2c2c"/>
          <w:sz w:val="22"/>
          <w:szCs w:val="22"/>
        </w:rPr>
        <w:t xml:space="preserve">Contrato de franquicia: cesión del uso de una marca y modelo de negocio con estándares</w:t>
      </w:r>
    </w:p>
    <w:p>
      <w:pPr>
        <w:pStyle w:val="ListParagraph"/>
        <w:numPr>
          <w:ilvl w:val="0"/>
          <w:numId w:val="1"/>
        </w:numPr>
        <w:spacing w:after="80"/>
      </w:pPr>
      <w:r>
        <w:rPr>
          <w:b w:val="false"/>
          <w:bCs w:val="false"/>
          <w:color w:val="2c2c2c"/>
          <w:sz w:val="22"/>
          <w:szCs w:val="22"/>
        </w:rPr>
        <w:t xml:space="preserve">Contrato de leasing (arrendamiento financiero): uso de un bien a cambio de cánones, con opción de compra</w:t>
      </w:r>
    </w:p>
    <w:p>
      <w:pPr>
        <w:pStyle w:val="ListParagraph"/>
        <w:numPr>
          <w:ilvl w:val="0"/>
          <w:numId w:val="1"/>
        </w:numPr>
        <w:spacing w:after="80"/>
      </w:pPr>
      <w:r>
        <w:rPr>
          <w:b w:val="false"/>
          <w:bCs w:val="false"/>
          <w:color w:val="2c2c2c"/>
          <w:sz w:val="22"/>
          <w:szCs w:val="22"/>
        </w:rPr>
        <w:t xml:space="preserve">Contrato de factoring: venta de cartera (facturas) a una entidad financiera con descuento</w:t>
      </w:r>
    </w:p>
    <w:p>
      <w:pPr>
        <w:pStyle w:val="ListParagraph"/>
        <w:numPr>
          <w:ilvl w:val="0"/>
          <w:numId w:val="1"/>
        </w:numPr>
        <w:spacing w:after="80"/>
      </w:pPr>
      <w:r>
        <w:rPr>
          <w:b w:val="false"/>
          <w:bCs w:val="false"/>
          <w:color w:val="2c2c2c"/>
          <w:sz w:val="22"/>
          <w:szCs w:val="22"/>
        </w:rPr>
        <w:t xml:space="preserve">Contrato de fiducia mercantil: transferencia de bienes a un fiduciario para fines específicos</w:t>
      </w:r>
    </w:p>
    <w:p>
      <w:pPr>
        <w:pStyle w:val="Heading2"/>
        <w:spacing w:after="120" w:before="320"/>
      </w:pPr>
      <w:r>
        <w:t xml:space="preserve">12.3 Títulos Valores Esenciales</w:t>
      </w:r>
    </w:p>
    <w:p>
      <w:pPr>
        <w:spacing w:after="120"/>
        <w:jc w:val="both"/>
      </w:pPr>
      <w:r>
        <w:rPr>
          <w:color w:val="2c2c2c"/>
          <w:sz w:val="22"/>
          <w:szCs w:val="22"/>
        </w:rPr>
        <w:t xml:space="preserve">Los títulos valores son documentos que incorporan derechos de contenido económico. Los más utilizados en el mundo empresarial colombiano:</w:t>
      </w:r>
    </w:p>
    <w:p>
      <w:pPr>
        <w:pStyle w:val="ListParagraph"/>
        <w:numPr>
          <w:ilvl w:val="0"/>
          <w:numId w:val="1"/>
        </w:numPr>
        <w:spacing w:after="80"/>
      </w:pPr>
      <w:r>
        <w:rPr>
          <w:b w:val="false"/>
          <w:bCs w:val="false"/>
          <w:color w:val="2c2c2c"/>
          <w:sz w:val="22"/>
          <w:szCs w:val="22"/>
        </w:rPr>
        <w:t xml:space="preserve">Pagaré: promesa de pago de una suma de dinero en una fecha determinada — el más usado en préstamos</w:t>
      </w:r>
    </w:p>
    <w:p>
      <w:pPr>
        <w:pStyle w:val="ListParagraph"/>
        <w:numPr>
          <w:ilvl w:val="0"/>
          <w:numId w:val="1"/>
        </w:numPr>
        <w:spacing w:after="80"/>
      </w:pPr>
      <w:r>
        <w:rPr>
          <w:b w:val="false"/>
          <w:bCs w:val="false"/>
          <w:color w:val="2c2c2c"/>
          <w:sz w:val="22"/>
          <w:szCs w:val="22"/>
        </w:rPr>
        <w:t xml:space="preserve">Letra de cambio: orden de pago girada por una persona a otra a favor de un tercero</w:t>
      </w:r>
    </w:p>
    <w:p>
      <w:pPr>
        <w:pStyle w:val="ListParagraph"/>
        <w:numPr>
          <w:ilvl w:val="0"/>
          <w:numId w:val="1"/>
        </w:numPr>
        <w:spacing w:after="80"/>
      </w:pPr>
      <w:r>
        <w:rPr>
          <w:b w:val="false"/>
          <w:bCs w:val="false"/>
          <w:color w:val="2c2c2c"/>
          <w:sz w:val="22"/>
          <w:szCs w:val="22"/>
        </w:rPr>
        <w:t xml:space="preserve">Cheque: orden de pago contra una cuenta bancaria — solo válido si hay fondos</w:t>
      </w:r>
    </w:p>
    <w:p>
      <w:pPr>
        <w:pStyle w:val="ListParagraph"/>
        <w:numPr>
          <w:ilvl w:val="0"/>
          <w:numId w:val="1"/>
        </w:numPr>
        <w:spacing w:after="80"/>
      </w:pPr>
      <w:r>
        <w:rPr>
          <w:b w:val="false"/>
          <w:bCs w:val="false"/>
          <w:color w:val="2c2c2c"/>
          <w:sz w:val="22"/>
          <w:szCs w:val="22"/>
        </w:rPr>
        <w:t xml:space="preserve">Factura Cambiaria de Compraventa: título valor derivado de una compraventa de mercancías con plazo</w:t>
      </w:r>
    </w:p>
    <w:p>
      <w:pPr>
        <w:pStyle w:val="ListParagraph"/>
        <w:numPr>
          <w:ilvl w:val="0"/>
          <w:numId w:val="1"/>
        </w:numPr>
        <w:spacing w:after="80"/>
      </w:pPr>
      <w:r>
        <w:rPr>
          <w:b w:val="false"/>
          <w:bCs w:val="false"/>
          <w:color w:val="2c2c2c"/>
          <w:sz w:val="22"/>
          <w:szCs w:val="22"/>
        </w:rPr>
        <w:t xml:space="preserve">Bono: título de crédito emitido por empresas o entidades para captar financiación del público</w:t>
      </w:r>
    </w:p>
    <w:p>
      <w:pPr>
        <w:pStyle w:val="Heading2"/>
        <w:spacing w:after="120" w:before="320"/>
      </w:pPr>
      <w:r>
        <w:t xml:space="preserve">12.4 Ley de Insolvencia Empresarial — Ley 1116 de 2006</w:t>
      </w:r>
    </w:p>
    <w:p>
      <w:pPr>
        <w:spacing w:after="120"/>
        <w:jc w:val="both"/>
      </w:pPr>
      <w:r>
        <w:rPr>
          <w:color w:val="2c2c2c"/>
          <w:sz w:val="22"/>
          <w:szCs w:val="22"/>
        </w:rPr>
        <w:t xml:space="preserve">Cuando una empresa enfrenta dificultades financieras graves, la Ley 1116 de 2006 (Régimen de Insolvencia Empresarial) ofrece dos mecanismos principales supervisados por la Supersociedades:</w:t>
      </w:r>
    </w:p>
    <w:p>
      <w:pPr>
        <w:pStyle w:val="ListParagraph"/>
        <w:numPr>
          <w:ilvl w:val="0"/>
          <w:numId w:val="1"/>
        </w:numPr>
        <w:spacing w:after="80"/>
      </w:pPr>
      <w:r>
        <w:rPr>
          <w:b w:val="false"/>
          <w:bCs w:val="false"/>
          <w:color w:val="2c2c2c"/>
          <w:sz w:val="22"/>
          <w:szCs w:val="22"/>
        </w:rPr>
        <w:t xml:space="preserve">Reorganización Empresarial: proceso para renegociar deudas con los acreedores y sanear la empresa — permite a la empresa continuar operando</w:t>
      </w:r>
    </w:p>
    <w:p>
      <w:pPr>
        <w:pStyle w:val="ListParagraph"/>
        <w:numPr>
          <w:ilvl w:val="0"/>
          <w:numId w:val="1"/>
        </w:numPr>
        <w:spacing w:after="80"/>
      </w:pPr>
      <w:r>
        <w:rPr>
          <w:b w:val="false"/>
          <w:bCs w:val="false"/>
          <w:color w:val="2c2c2c"/>
          <w:sz w:val="22"/>
          <w:szCs w:val="22"/>
        </w:rPr>
        <w:t xml:space="preserve">Liquidación Judicial: para empresas que no pueden salir de la crisis y deben liquidarse ordenadamente para pagar acreedores</w:t>
      </w:r>
    </w:p>
    <w:p>
      <w:pPr>
        <w:pBdr>
          <w:left w:val="single" w:color="1a3c6e" w:sz="16"/>
        </w:pBdr>
        <w:shd w:fill="f0f4ff" w:val="clear"/>
        <w:spacing w:after="120" w:before="120"/>
        <w:ind w:left="400"/>
      </w:pPr>
      <w:r>
        <w:rPr>
          <w:b/>
          <w:bCs/>
          <w:color w:val="1a3c6e"/>
          <w:sz w:val="22"/>
          <w:szCs w:val="22"/>
        </w:rPr>
        <w:t xml:space="preserve">ℹ️ Cuándo acudir a la Supersociedades: </w:t>
      </w:r>
      <w:r>
        <w:rPr>
          <w:color w:val="2c2c2c"/>
          <w:sz w:val="22"/>
          <w:szCs w:val="22"/>
        </w:rPr>
        <w:t xml:space="preserve">Si su empresa tiene más de 500 SMLMV en activos y está en cesación de pagos o tiene amenaza de cesación, puede acogerse voluntariamente al proceso de reorganización ante la Supersociedades. Es preferible actuar antes que los acreedores inicien cobros coactivos.</w:t>
      </w:r>
    </w:p>
    <w:p>
      <w:pPr>
        <w:pStyle w:val="Heading2"/>
        <w:spacing w:after="120" w:before="320"/>
      </w:pPr>
      <w:r>
        <w:t xml:space="preserve">12.5 Protección de Datos Personales — Ley 1581 de 2012</w:t>
      </w:r>
    </w:p>
    <w:p>
      <w:pPr>
        <w:spacing w:after="120"/>
        <w:jc w:val="both"/>
      </w:pPr>
      <w:r>
        <w:rPr>
          <w:color w:val="2c2c2c"/>
          <w:sz w:val="22"/>
          <w:szCs w:val="22"/>
        </w:rPr>
        <w:t xml:space="preserve">Toda empresa que recolecte, almacene o procese datos personales de clientes, empleados o proveedores debe cumplir la Ley 1581 de 2012 y el Decreto 1377 de 2013:</w:t>
      </w:r>
    </w:p>
    <w:p>
      <w:pPr>
        <w:pStyle w:val="ListParagraph"/>
        <w:numPr>
          <w:ilvl w:val="0"/>
          <w:numId w:val="1"/>
        </w:numPr>
        <w:spacing w:after="80"/>
      </w:pPr>
      <w:r>
        <w:rPr>
          <w:b w:val="false"/>
          <w:bCs w:val="false"/>
          <w:color w:val="2c2c2c"/>
          <w:sz w:val="22"/>
          <w:szCs w:val="22"/>
        </w:rPr>
        <w:t xml:space="preserve">Contar con una Política de Tratamiento de Datos Personales publicada</w:t>
      </w:r>
    </w:p>
    <w:p>
      <w:pPr>
        <w:pStyle w:val="ListParagraph"/>
        <w:numPr>
          <w:ilvl w:val="0"/>
          <w:numId w:val="1"/>
        </w:numPr>
        <w:spacing w:after="80"/>
      </w:pPr>
      <w:r>
        <w:rPr>
          <w:b w:val="false"/>
          <w:bCs w:val="false"/>
          <w:color w:val="2c2c2c"/>
          <w:sz w:val="22"/>
          <w:szCs w:val="22"/>
        </w:rPr>
        <w:t xml:space="preserve">Obtener autorización previa, expresa e informada de los titulares de los datos</w:t>
      </w:r>
    </w:p>
    <w:p>
      <w:pPr>
        <w:pStyle w:val="ListParagraph"/>
        <w:numPr>
          <w:ilvl w:val="0"/>
          <w:numId w:val="1"/>
        </w:numPr>
        <w:spacing w:after="80"/>
      </w:pPr>
      <w:r>
        <w:rPr>
          <w:b w:val="false"/>
          <w:bCs w:val="false"/>
          <w:color w:val="2c2c2c"/>
          <w:sz w:val="22"/>
          <w:szCs w:val="22"/>
        </w:rPr>
        <w:t xml:space="preserve">Registrar las bases de datos ante la Superintendencia de Industria y Comercio (SIC)</w:t>
      </w:r>
    </w:p>
    <w:p>
      <w:pPr>
        <w:pStyle w:val="ListParagraph"/>
        <w:numPr>
          <w:ilvl w:val="0"/>
          <w:numId w:val="1"/>
        </w:numPr>
        <w:spacing w:after="80"/>
      </w:pPr>
      <w:r>
        <w:rPr>
          <w:b w:val="false"/>
          <w:bCs w:val="false"/>
          <w:color w:val="2c2c2c"/>
          <w:sz w:val="22"/>
          <w:szCs w:val="22"/>
        </w:rPr>
        <w:t xml:space="preserve">Atender oportunamente las solicitudes de acceso, corrección y supresión de datos</w:t>
      </w:r>
    </w:p>
    <w:p>
      <w:pPr>
        <w:pStyle w:val="ListParagraph"/>
        <w:numPr>
          <w:ilvl w:val="0"/>
          <w:numId w:val="1"/>
        </w:numPr>
        <w:spacing w:after="80"/>
      </w:pPr>
      <w:r>
        <w:rPr>
          <w:b w:val="false"/>
          <w:bCs w:val="false"/>
          <w:color w:val="2c2c2c"/>
          <w:sz w:val="22"/>
          <w:szCs w:val="22"/>
        </w:rPr>
        <w:t xml:space="preserve">Sanciones por incumplimiento: hasta 2.000 SMLMV por la SIC</w:t>
      </w:r>
    </w:p>
    <w:p>
      <w:r>
        <w:br w:type="page"/>
      </w:r>
    </w:p>
    <w:p>
      <w:pPr>
        <w:pStyle w:val="Heading1"/>
        <w:pBdr>
          <w:bottom w:val="single" w:color="c8102e" w:sz="12" w:space="4"/>
        </w:pBdr>
        <w:spacing w:after="160" w:before="480"/>
      </w:pPr>
      <w:r>
        <w:t xml:space="preserve">13. CONVENIOS PARA EVITAR LA DOBLE IMPOSICIÓN</w:t>
      </w:r>
    </w:p>
    <w:p>
      <w:pPr>
        <w:spacing w:after="120"/>
        <w:jc w:val="both"/>
      </w:pPr>
      <w:r>
        <w:rPr>
          <w:color w:val="2c2c2c"/>
          <w:sz w:val="22"/>
          <w:szCs w:val="22"/>
        </w:rPr>
        <w:t xml:space="preserve">Colombia ha suscrito convenios para evitar la doble imposición (CDI) con varios países, bajo el Modelo OCDE. Estos convenios establecen en qué país se tributa cuando una persona o empresa tiene renta en dos jurisdicciones distintas.</w:t>
      </w:r>
    </w:p>
    <w:tbl>
      <w:tblPr>
        <w:tblW w:type="dxa" w:w="8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000"/>
        <w:gridCol w:w="4000"/>
      </w:tblGrid>
      <w:tr>
        <w:trPr>
          <w:tblHeader/>
        </w:trPr>
        <w:tc>
          <w:tcPr>
            <w:shd w:fill="1a3c6e" w:val="clear"/>
            <w:tcMar>
              <w:top w:type="dxa" w:w="80"/>
              <w:left w:type="dxa" w:w="120"/>
              <w:bottom w:type="dxa" w:w="80"/>
              <w:right w:type="dxa" w:w="120"/>
            </w:tcMar>
          </w:tcPr>
          <w:p>
            <w:pPr>
              <w:jc w:val="center"/>
            </w:pPr>
            <w:r>
              <w:rPr>
                <w:b/>
                <w:bCs/>
                <w:color w:val="ffffff"/>
                <w:sz w:val="20"/>
                <w:szCs w:val="20"/>
              </w:rPr>
              <w:t xml:space="preserve">País con CDI Vigente</w:t>
            </w:r>
          </w:p>
        </w:tc>
        <w:tc>
          <w:tcPr>
            <w:shd w:fill="1a3c6e" w:val="clear"/>
            <w:tcMar>
              <w:top w:type="dxa" w:w="80"/>
              <w:left w:type="dxa" w:w="120"/>
              <w:bottom w:type="dxa" w:w="80"/>
              <w:right w:type="dxa" w:w="120"/>
            </w:tcMar>
          </w:tcPr>
          <w:p>
            <w:pPr>
              <w:jc w:val="center"/>
            </w:pPr>
            <w:r>
              <w:rPr>
                <w:b/>
                <w:bCs/>
                <w:color w:val="ffffff"/>
                <w:sz w:val="20"/>
                <w:szCs w:val="20"/>
              </w:rPr>
              <w:t xml:space="preserve">Norma</w:t>
            </w:r>
          </w:p>
        </w:tc>
        <w:tc>
          <w:tcPr>
            <w:shd w:fill="1a3c6e" w:val="clear"/>
            <w:tcMar>
              <w:top w:type="dxa" w:w="80"/>
              <w:left w:type="dxa" w:w="120"/>
              <w:bottom w:type="dxa" w:w="80"/>
              <w:right w:type="dxa" w:w="120"/>
            </w:tcMar>
          </w:tcPr>
          <w:p>
            <w:pPr>
              <w:jc w:val="center"/>
            </w:pPr>
            <w:r>
              <w:rPr>
                <w:b/>
                <w:bCs/>
                <w:color w:val="ffffff"/>
                <w:sz w:val="20"/>
                <w:szCs w:val="20"/>
              </w:rPr>
              <w:t xml:space="preserve">Aspectos Clave</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España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Ley 1082 de 2006</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Reduce retención en dividendos a 0% o 5%, intereses a 10%</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Chile</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Ley 1261 de 2008</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Reduce retención en dividendos al 5% o 15%</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Suiza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Ley 1344 de 2009</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Reduce retención en intereses al 10%</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Canadá</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Ley 1459 de 2011</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Facilita tributación de cánones y regalías</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México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Ley 1568 de 2012</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Favorece inversión bilateral</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Corea del Sur</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Ley 1667 de 2013</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Reduce retenciones en operaciones entre los dos países</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India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Ley 1668 de 2013</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Regula tributación de servicios técnicos</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Portugal</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Ley 1692 de 2013</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Reduce retención en dividendos al 10%</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República Checa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Ley 1690 de 2013</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Facilita flujos comerciales</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Reino Unido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Ley 1939 de 2018</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Reduce retenciones, cánones al 10%</w:t>
            </w:r>
          </w:p>
        </w:tc>
      </w:tr>
    </w:tbl>
    <w:p>
      <w:pPr>
        <w:spacing w:after="200"/>
      </w:pPr>
    </w:p>
    <w:p>
      <w:pPr>
        <w:pBdr>
          <w:left w:val="single" w:color="1a3c6e" w:sz="16"/>
        </w:pBdr>
        <w:shd w:fill="f0f4ff" w:val="clear"/>
        <w:spacing w:after="120" w:before="120"/>
        <w:ind w:left="400"/>
      </w:pPr>
      <w:r>
        <w:rPr>
          <w:b/>
          <w:bCs/>
          <w:color w:val="1a3c6e"/>
          <w:sz w:val="22"/>
          <w:szCs w:val="22"/>
        </w:rPr>
        <w:t xml:space="preserve">ℹ️ Presencia Económica Significativa (SEA): </w:t>
      </w:r>
      <w:r>
        <w:rPr>
          <w:color w:val="2c2c2c"/>
          <w:sz w:val="22"/>
          <w:szCs w:val="22"/>
        </w:rPr>
        <w:t xml:space="preserve">Desde 2024, Colombia aplica el concepto de Presencia Económica Significativa. Las empresas extranjeras que vendan bienes o servicios digitales a usuarios colombianos y superen ciertos umbrales de ingresos deben declarar y pagar impuesto de renta en Colombia, aunque no tengan establecimiento físico en el país.</w:t>
      </w:r>
    </w:p>
    <w:p>
      <w:r>
        <w:br w:type="page"/>
      </w:r>
    </w:p>
    <w:p>
      <w:pPr>
        <w:pStyle w:val="Heading1"/>
        <w:pBdr>
          <w:bottom w:val="single" w:color="c8102e" w:sz="12" w:space="4"/>
        </w:pBdr>
        <w:spacing w:after="160" w:before="480"/>
      </w:pPr>
      <w:r>
        <w:t xml:space="preserve">14. CALENDARIO TRIBUTARIO 2026 — FECHAS CRÍTICAS</w:t>
      </w:r>
    </w:p>
    <w:p>
      <w:pPr>
        <w:spacing w:after="120"/>
        <w:jc w:val="both"/>
      </w:pPr>
      <w:r>
        <w:rPr>
          <w:color w:val="2c2c2c"/>
          <w:sz w:val="22"/>
          <w:szCs w:val="22"/>
        </w:rPr>
        <w:t xml:space="preserve">Los plazos tributarios varían según el último dígito del NIT. A continuación se presentan las ventanas generales de cada obligación para facilitar la planeación:</w:t>
      </w:r>
    </w:p>
    <w:tbl>
      <w:tblPr>
        <w:tblW w:type="dxa" w:w="8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600"/>
        <w:gridCol w:w="2500"/>
      </w:tblGrid>
      <w:tr>
        <w:trPr>
          <w:tblHeader/>
        </w:trPr>
        <w:tc>
          <w:tcPr>
            <w:shd w:fill="1a3c6e" w:val="clear"/>
            <w:tcMar>
              <w:top w:type="dxa" w:w="80"/>
              <w:left w:type="dxa" w:w="120"/>
              <w:bottom w:type="dxa" w:w="80"/>
              <w:right w:type="dxa" w:w="120"/>
            </w:tcMar>
          </w:tcPr>
          <w:p>
            <w:pPr>
              <w:jc w:val="center"/>
            </w:pPr>
            <w:r>
              <w:rPr>
                <w:b/>
                <w:bCs/>
                <w:color w:val="ffffff"/>
                <w:sz w:val="20"/>
                <w:szCs w:val="20"/>
              </w:rPr>
              <w:t xml:space="preserve">Obligación</w:t>
            </w:r>
          </w:p>
        </w:tc>
        <w:tc>
          <w:tcPr>
            <w:shd w:fill="1a3c6e" w:val="clear"/>
            <w:tcMar>
              <w:top w:type="dxa" w:w="80"/>
              <w:left w:type="dxa" w:w="120"/>
              <w:bottom w:type="dxa" w:w="80"/>
              <w:right w:type="dxa" w:w="120"/>
            </w:tcMar>
          </w:tcPr>
          <w:p>
            <w:pPr>
              <w:jc w:val="center"/>
            </w:pPr>
            <w:r>
              <w:rPr>
                <w:b/>
                <w:bCs/>
                <w:color w:val="ffffff"/>
                <w:sz w:val="20"/>
                <w:szCs w:val="20"/>
              </w:rPr>
              <w:t xml:space="preserve">Mes(es) Aproximados 2026</w:t>
            </w:r>
          </w:p>
        </w:tc>
        <w:tc>
          <w:tcPr>
            <w:shd w:fill="1a3c6e" w:val="clear"/>
            <w:tcMar>
              <w:top w:type="dxa" w:w="80"/>
              <w:left w:type="dxa" w:w="120"/>
              <w:bottom w:type="dxa" w:w="80"/>
              <w:right w:type="dxa" w:w="120"/>
            </w:tcMar>
          </w:tcPr>
          <w:p>
            <w:pPr>
              <w:jc w:val="center"/>
            </w:pPr>
            <w:r>
              <w:rPr>
                <w:b/>
                <w:bCs/>
                <w:color w:val="ffffff"/>
                <w:sz w:val="20"/>
                <w:szCs w:val="20"/>
              </w:rPr>
              <w:t xml:space="preserve">Formulario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Intereses de Cesantías (empleados)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Enero (límite: 31 de enero)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Pago directo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Retención en la fuente — declaración mensual</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Cada mes (9 al 25 según NIT)</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Formulario 350</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IVA bimestral (ene-feb)</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Marzo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Formulario 300</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Declaración Anual RST 2025</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Antes del 16 de marzo de 2026</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Formulario 260</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IVA bimestral (mar-abr)</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Mayo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Formulario 300</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Declaración de Renta AG 2025 — Grandes Contribuyentes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Abril – Mayo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Formulario 110</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Declaración de Renta AG 2025 — Demás contribuyentes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Mayo – Junio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Formulario 110</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Impuesto al Patrimonio (1ra cuota)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Mayo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Formulario 420</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Información Exógena (Medios Magnéticos) AG 2025</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Mayo – Junio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Varios (DIAN)</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IVA bimestral (may-jun)</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Julio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Formulario 300</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Impuesto al Patrimonio (2da cuota)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Septiembre</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Formulario 420</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IVA cuatrimestral (ene-abr)</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Mayo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Formulario 300</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IVA cuatrimestral (may-ago)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Septiembre</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Formulario 300</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IVA cuatrimestral (sep-dic)</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Enero 2027</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Formulario 300</w:t>
            </w:r>
          </w:p>
        </w:tc>
      </w:tr>
    </w:tbl>
    <w:p>
      <w:pPr>
        <w:spacing w:after="200"/>
      </w:pPr>
    </w:p>
    <w:p>
      <w:pPr>
        <w:pBdr>
          <w:left w:val="single" w:color="c8102e" w:sz="16"/>
        </w:pBdr>
        <w:shd w:fill="fff3f3" w:val="clear"/>
        <w:spacing w:after="120" w:before="120"/>
        <w:ind w:left="400"/>
      </w:pPr>
      <w:r>
        <w:rPr>
          <w:b/>
          <w:bCs/>
          <w:color w:val="c8102e"/>
          <w:sz w:val="22"/>
          <w:szCs w:val="22"/>
        </w:rPr>
        <w:t xml:space="preserve">⚠️ VERIFIQUE SIEMPRE: </w:t>
      </w:r>
      <w:r>
        <w:rPr>
          <w:color w:val="2c2c2c"/>
          <w:sz w:val="22"/>
          <w:szCs w:val="22"/>
        </w:rPr>
        <w:t xml:space="preserve">Los plazos exactos (día y mes) se fijan en los Decretos de Plazos emitidos por el Ministerio de Hacienda. Consulte siempre el calendario oficial en www.dian.gov.co porque varían cada año y pueden cambiar por decretos de emergencia.</w:t>
      </w:r>
    </w:p>
    <w:p>
      <w:r>
        <w:br w:type="page"/>
      </w:r>
    </w:p>
    <w:p>
      <w:pPr>
        <w:pStyle w:val="Heading1"/>
        <w:pBdr>
          <w:bottom w:val="single" w:color="c8102e" w:sz="12" w:space="4"/>
        </w:pBdr>
        <w:spacing w:after="160" w:before="480"/>
      </w:pPr>
      <w:r>
        <w:t xml:space="preserve">15. FUENTES OFICIALES Y RECURSOS DE CONSULTA</w:t>
      </w:r>
    </w:p>
    <w:p>
      <w:pPr>
        <w:spacing w:after="120"/>
        <w:jc w:val="both"/>
      </w:pPr>
      <w:r>
        <w:rPr>
          <w:color w:val="2c2c2c"/>
          <w:sz w:val="22"/>
          <w:szCs w:val="22"/>
        </w:rPr>
        <w:t xml:space="preserve">Para mantenerse actualizado en materia tributaria y jurídica en Colombia, el empresario debe consultar directamente las fuentes oficiales. A continuación, los organismos y sus portales:</w:t>
      </w:r>
    </w:p>
    <w:tbl>
      <w:tblPr>
        <w:tblW w:type="dxa" w:w="8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800"/>
        <w:gridCol w:w="2900"/>
      </w:tblGrid>
      <w:tr>
        <w:trPr>
          <w:tblHeader/>
        </w:trPr>
        <w:tc>
          <w:tcPr>
            <w:shd w:fill="1a3c6e" w:val="clear"/>
            <w:tcMar>
              <w:top w:type="dxa" w:w="80"/>
              <w:left w:type="dxa" w:w="120"/>
              <w:bottom w:type="dxa" w:w="80"/>
              <w:right w:type="dxa" w:w="120"/>
            </w:tcMar>
          </w:tcPr>
          <w:p>
            <w:pPr>
              <w:jc w:val="center"/>
            </w:pPr>
            <w:r>
              <w:rPr>
                <w:b/>
                <w:bCs/>
                <w:color w:val="ffffff"/>
                <w:sz w:val="20"/>
                <w:szCs w:val="20"/>
              </w:rPr>
              <w:t xml:space="preserve">Entidad</w:t>
            </w:r>
          </w:p>
        </w:tc>
        <w:tc>
          <w:tcPr>
            <w:shd w:fill="1a3c6e" w:val="clear"/>
            <w:tcMar>
              <w:top w:type="dxa" w:w="80"/>
              <w:left w:type="dxa" w:w="120"/>
              <w:bottom w:type="dxa" w:w="80"/>
              <w:right w:type="dxa" w:w="120"/>
            </w:tcMar>
          </w:tcPr>
          <w:p>
            <w:pPr>
              <w:jc w:val="center"/>
            </w:pPr>
            <w:r>
              <w:rPr>
                <w:b/>
                <w:bCs/>
                <w:color w:val="ffffff"/>
                <w:sz w:val="20"/>
                <w:szCs w:val="20"/>
              </w:rPr>
              <w:t xml:space="preserve">Competencia</w:t>
            </w:r>
          </w:p>
        </w:tc>
        <w:tc>
          <w:tcPr>
            <w:shd w:fill="1a3c6e" w:val="clear"/>
            <w:tcMar>
              <w:top w:type="dxa" w:w="80"/>
              <w:left w:type="dxa" w:w="120"/>
              <w:bottom w:type="dxa" w:w="80"/>
              <w:right w:type="dxa" w:w="120"/>
            </w:tcMar>
          </w:tcPr>
          <w:p>
            <w:pPr>
              <w:jc w:val="center"/>
            </w:pPr>
            <w:r>
              <w:rPr>
                <w:b/>
                <w:bCs/>
                <w:color w:val="ffffff"/>
                <w:sz w:val="20"/>
                <w:szCs w:val="20"/>
              </w:rPr>
              <w:t xml:space="preserve">Portal Web</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DIAN</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Administra impuestos nacionales, aduanas, cambiario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www.dian.gov.co — MUISCA</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Ministerio de Hacienda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Política fiscal, decretos reglamentarios tributarios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www.minhacienda.gov.co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Supersociedades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Vigilancia y control de sociedades comerciales, insolvencia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www.supersociedades.gov.co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Cámara de Comercio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Registro mercantil, matrícula, certificados de existencia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www.ccb.org.co (Bogotá)</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Secretaría del Senado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Estatuto Tributario, Código de Comercio, todas las leyes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www.secretariasenado.gov.co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Función Pública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Normas vigentes, actos administrativos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www.funcionpublica.gov.co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Corte Constitucional</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Constitucionalidad de leyes tributarias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www.corteconstitucional.gov.co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Consejo de Estado</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Jurisprudencia contencioso-administrativa tributaria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www.consejodeestado.gov.co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Superintendencia de Industria y Comercio (SIC)</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Protección de datos, propiedad intelectual, competencia</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www.sic.gov.co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UGPP</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Fiscalización de aportes parafiscales y seguridad social</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www.ugpp.gov.co</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Actualícese</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Actualización tributaria especializada (privada, confiable)</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www.actualicese.com</w:t>
            </w:r>
          </w:p>
        </w:tc>
      </w:tr>
      <w:tr>
        <w:tc>
          <w:tcPr>
            <w:shd w:fill="ffffff" w:val="clear"/>
            <w:tcMar>
              <w:top w:type="dxa" w:w="80"/>
              <w:left w:type="dxa" w:w="120"/>
              <w:bottom w:type="dxa" w:w="80"/>
              <w:right w:type="dxa" w:w="120"/>
            </w:tcMar>
          </w:tcPr>
          <w:p>
            <w:pPr>
              <w:jc w:val="center"/>
            </w:pPr>
            <w:r>
              <w:rPr>
                <w:b w:val="false"/>
                <w:bCs w:val="false"/>
                <w:color w:val="2c2c2c"/>
                <w:sz w:val="20"/>
                <w:szCs w:val="20"/>
              </w:rPr>
              <w:t xml:space="preserve">CTCP</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Normas contables NIIF, conceptos contables</w:t>
            </w:r>
          </w:p>
        </w:tc>
        <w:tc>
          <w:tcPr>
            <w:shd w:fill="ffffff" w:val="clear"/>
            <w:tcMar>
              <w:top w:type="dxa" w:w="80"/>
              <w:left w:type="dxa" w:w="120"/>
              <w:bottom w:type="dxa" w:w="80"/>
              <w:right w:type="dxa" w:w="120"/>
            </w:tcMar>
          </w:tcPr>
          <w:p>
            <w:pPr>
              <w:jc w:val="center"/>
            </w:pPr>
            <w:r>
              <w:rPr>
                <w:b w:val="false"/>
                <w:bCs w:val="false"/>
                <w:color w:val="2c2c2c"/>
                <w:sz w:val="20"/>
                <w:szCs w:val="20"/>
              </w:rPr>
              <w:t xml:space="preserve">www.ctcp.gov.co</w:t>
            </w:r>
          </w:p>
        </w:tc>
      </w:tr>
    </w:tbl>
    <w:p>
      <w:pPr>
        <w:spacing w:after="200"/>
      </w:pPr>
    </w:p>
    <w:p>
      <w:r>
        <w:br w:type="page"/>
      </w:r>
    </w:p>
    <w:p>
      <w:pPr>
        <w:pStyle w:val="Heading1"/>
        <w:pBdr>
          <w:bottom w:val="single" w:color="c8102e" w:sz="12" w:space="4"/>
        </w:pBdr>
        <w:spacing w:after="160" w:before="480"/>
      </w:pPr>
      <w:r>
        <w:t xml:space="preserve">CONCLUSIONES Y RECOMENDACIONES FINALES</w:t>
      </w:r>
    </w:p>
    <w:p>
      <w:pPr>
        <w:spacing w:after="120"/>
        <w:jc w:val="both"/>
      </w:pPr>
      <w:r>
        <w:rPr>
          <w:color w:val="2c2c2c"/>
          <w:sz w:val="22"/>
          <w:szCs w:val="22"/>
        </w:rPr>
        <w:t xml:space="preserve">El entorno tributario y jurídico colombiano es complejo y cambia frecuentemente. Para el empresario que desea operar con seguridad y eficiencia, estas son las prioridades:</w:t>
      </w:r>
    </w:p>
    <w:p>
      <w:pPr>
        <w:spacing w:after="120"/>
      </w:pPr>
    </w:p>
    <w:p>
      <w:pPr>
        <w:pStyle w:val="ListParagraph"/>
        <w:numPr>
          <w:ilvl w:val="0"/>
          <w:numId w:val="1"/>
        </w:numPr>
        <w:spacing w:after="80"/>
      </w:pPr>
      <w:r>
        <w:rPr>
          <w:b/>
          <w:bCs/>
          <w:color w:val="2c2c2c"/>
          <w:sz w:val="22"/>
          <w:szCs w:val="22"/>
        </w:rPr>
        <w:t xml:space="preserve">1. REGISTRARSE CORRECTAMENTE: RUT actualizado, matrícula mercantil vigente, responsabilidades tributarias correctamente asignadas en el RUT son la base de todo.</w:t>
      </w:r>
    </w:p>
    <w:p>
      <w:pPr>
        <w:pStyle w:val="ListParagraph"/>
        <w:numPr>
          <w:ilvl w:val="0"/>
          <w:numId w:val="1"/>
        </w:numPr>
        <w:spacing w:after="80"/>
      </w:pPr>
      <w:r>
        <w:rPr>
          <w:b/>
          <w:bCs/>
          <w:color w:val="2c2c2c"/>
          <w:sz w:val="22"/>
          <w:szCs w:val="22"/>
        </w:rPr>
        <w:t xml:space="preserve">2. ELEGIR EL RÉGIMEN ADECUADO: Evalúe cada año si el Régimen Ordinario o el RST es más conveniente según su nivel de ingresos y tipo de actividad.</w:t>
      </w:r>
    </w:p>
    <w:p>
      <w:pPr>
        <w:pStyle w:val="ListParagraph"/>
        <w:numPr>
          <w:ilvl w:val="0"/>
          <w:numId w:val="1"/>
        </w:numPr>
        <w:spacing w:after="80"/>
      </w:pPr>
      <w:r>
        <w:rPr>
          <w:b/>
          <w:bCs/>
          <w:color w:val="2c2c2c"/>
          <w:sz w:val="22"/>
          <w:szCs w:val="22"/>
        </w:rPr>
        <w:t xml:space="preserve">3. FACTURAR ELECTRÓNICAMENTE SIEMPRE: Sin factura electrónica válida, su cliente no puede deducir el gasto. Perderá negocios.</w:t>
      </w:r>
    </w:p>
    <w:p>
      <w:pPr>
        <w:pStyle w:val="ListParagraph"/>
        <w:numPr>
          <w:ilvl w:val="0"/>
          <w:numId w:val="1"/>
        </w:numPr>
        <w:spacing w:after="80"/>
      </w:pPr>
      <w:r>
        <w:rPr>
          <w:b/>
          <w:bCs/>
          <w:color w:val="2c2c2c"/>
          <w:sz w:val="22"/>
          <w:szCs w:val="22"/>
        </w:rPr>
        <w:t xml:space="preserve">4. RESPETAR LOS PLAZOS: Las sanciones por extemporaneidad son costosas (5% por mes). Marque en el calendario todas las fechas clave.</w:t>
      </w:r>
    </w:p>
    <w:p>
      <w:pPr>
        <w:pStyle w:val="ListParagraph"/>
        <w:numPr>
          <w:ilvl w:val="0"/>
          <w:numId w:val="1"/>
        </w:numPr>
        <w:spacing w:after="80"/>
      </w:pPr>
      <w:r>
        <w:rPr>
          <w:b/>
          <w:bCs/>
          <w:color w:val="2c2c2c"/>
          <w:sz w:val="22"/>
          <w:szCs w:val="22"/>
        </w:rPr>
        <w:t xml:space="preserve">5. LLEVAR CONTABILIDAD BAJO NIIF: Es su espejo financiero ante socios, bancos y el Estado. Distinguir la contabilidad fiscal de la NIIF evita errores de renta.</w:t>
      </w:r>
    </w:p>
    <w:p>
      <w:pPr>
        <w:pStyle w:val="ListParagraph"/>
        <w:numPr>
          <w:ilvl w:val="0"/>
          <w:numId w:val="1"/>
        </w:numPr>
        <w:spacing w:after="80"/>
      </w:pPr>
      <w:r>
        <w:rPr>
          <w:b/>
          <w:bCs/>
          <w:color w:val="2c2c2c"/>
          <w:sz w:val="22"/>
          <w:szCs w:val="22"/>
        </w:rPr>
        <w:t xml:space="preserve">6. CONOCER SUS OBLIGACIONES LABORALES: La Reforma Laboral 2025 (Ley 2466) cambió recargos, jornadas y obligaciones. Incumplir es costoso.</w:t>
      </w:r>
    </w:p>
    <w:p>
      <w:pPr>
        <w:pStyle w:val="ListParagraph"/>
        <w:numPr>
          <w:ilvl w:val="0"/>
          <w:numId w:val="1"/>
        </w:numPr>
        <w:spacing w:after="80"/>
      </w:pPr>
      <w:r>
        <w:rPr>
          <w:b/>
          <w:bCs/>
          <w:color w:val="2c2c2c"/>
          <w:sz w:val="22"/>
          <w:szCs w:val="22"/>
        </w:rPr>
        <w:t xml:space="preserve">7. HACER PLANEACIÓN TRIBUTARIA LEGAL: Minimizar impuestos de manera legal es un derecho y una obligación de todo buen administrador. Hágalo con soporte documental.</w:t>
      </w:r>
    </w:p>
    <w:p>
      <w:pPr>
        <w:pStyle w:val="ListParagraph"/>
        <w:numPr>
          <w:ilvl w:val="0"/>
          <w:numId w:val="1"/>
        </w:numPr>
        <w:spacing w:after="80"/>
      </w:pPr>
      <w:r>
        <w:rPr>
          <w:b/>
          <w:bCs/>
          <w:color w:val="2c2c2c"/>
          <w:sz w:val="22"/>
          <w:szCs w:val="22"/>
        </w:rPr>
        <w:t xml:space="preserve">8. CONTAR CON ASESORÍA PROFESIONAL: La complejidad del sistema tributario colombiano hace indispensable el acompañamiento de un contador público y un abogado tributarista.</w:t>
      </w:r>
    </w:p>
    <w:p>
      <w:pPr>
        <w:spacing w:after="320"/>
      </w:pPr>
    </w:p>
    <w:p>
      <w:pPr>
        <w:shd w:fill="fff8f8" w:val="clear"/>
        <w:spacing w:after="240" w:before="240"/>
        <w:ind w:left="200" w:right="200"/>
      </w:pPr>
      <w:r>
        <w:rPr>
          <w:b/>
          <w:bCs/>
          <w:color w:val="c8102e"/>
          <w:sz w:val="22"/>
          <w:szCs w:val="22"/>
        </w:rPr>
        <w:t xml:space="preserve">⚠️ AVISO LEGAL: </w:t>
      </w:r>
      <w:r>
        <w:rPr>
          <w:i/>
          <w:iCs/>
          <w:color w:val="555555"/>
          <w:sz w:val="20"/>
          <w:szCs w:val="20"/>
        </w:rPr>
        <w:t xml:space="preserve">Este informe tiene carácter informativo y fue elaborado con base en fuentes oficiales colombianas (DIAN, Ministerio de Hacienda, Estatuto Tributario, Leyes vigentes) actualizadas a agosto de 2026. No constituye asesoría jurídica ni tributaria. Para situaciones específicas de su empresa, consulte siempre con un contador público certificado (tarjeta profesional JUNTA CENTRAL DE CONTADORES) y/o un abogado tributarista.</w:t>
      </w:r>
    </w:p>
    <w:p>
      <w:pPr>
        <w:spacing w:before="400"/>
        <w:jc w:val="center"/>
      </w:pPr>
      <w:r>
        <w:rPr>
          <w:i/>
          <w:iCs/>
          <w:color w:val="888888"/>
          <w:sz w:val="20"/>
          <w:szCs w:val="20"/>
        </w:rPr>
        <w:t xml:space="preserve">🇨🇴 Colombia — Guía actualizada a agosto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rPr>
      <w:rFonts w:ascii="Calibri" w:cs="Calibri" w:eastAsia="Calibri" w:hAnsi="Calibri"/>
      <w:b/>
      <w:bCs/>
      <w:color w:val="1a3c6e"/>
      <w:sz w:val="36"/>
      <w:szCs w:val="36"/>
    </w:rPr>
  </w:style>
  <w:style w:type="paragraph" w:styleId="Heading2">
    <w:name w:val="Heading 2"/>
    <w:basedOn w:val="Normal"/>
    <w:rPr>
      <w:rFonts w:ascii="Calibri" w:cs="Calibri" w:eastAsia="Calibri" w:hAnsi="Calibri"/>
      <w:b/>
      <w:bCs/>
      <w:color w:val="1a3c6e"/>
      <w:sz w:val="28"/>
      <w:szCs w:val="28"/>
    </w:rPr>
  </w:style>
  <w:style w:type="paragraph" w:styleId="Heading3">
    <w:name w:val="Heading 3"/>
    <w:basedOn w:val="Normal"/>
    <w:rPr>
      <w:rFonts w:ascii="Calibri" w:cs="Calibri" w:eastAsia="Calibri" w:hAnsi="Calibri"/>
      <w:b/>
      <w:bCs/>
      <w:color w:val="c8102e"/>
      <w:sz w:val="24"/>
      <w:szCs w:val="24"/>
    </w:rPr>
  </w:style>
  <w:style w:type="paragraph" w:styleId="Normal">
    <w:name w:val="Normal"/>
    <w:pPr>
      <w:spacing w:line="276"/>
    </w:pPr>
    <w:rPr>
      <w:rFonts w:ascii="Calibri" w:cs="Calibri" w:eastAsia="Calibri" w:hAnsi="Calibri"/>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Tributaria y Jurídica Empresarial Colombia 2025–2026</dc:title>
  <dc:creator>Informe Tributario Empresarial Colombia</dc:creator>
  <cp:lastModifiedBy>Un-named</cp:lastModifiedBy>
  <cp:revision>1</cp:revision>
  <dcterms:created xsi:type="dcterms:W3CDTF">2026-08-19T23:54:31.267Z</dcterms:created>
  <dcterms:modified xsi:type="dcterms:W3CDTF">2026-08-19T23:54:31.279Z</dcterms:modified>
</cp:coreProperties>
</file>

<file path=docProps/custom.xml><?xml version="1.0" encoding="utf-8"?>
<Properties xmlns="http://schemas.openxmlformats.org/officeDocument/2006/custom-properties" xmlns:vt="http://schemas.openxmlformats.org/officeDocument/2006/docPropsVTypes"/>
</file>