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E7662" w14:textId="727A92C8" w:rsidR="004A1BFA" w:rsidRDefault="004B030C">
      <w:r>
        <w:t>MACD : simple différence entre deux moyennes exponentielles rapides et lentes (12 et 26 généralement)</w:t>
      </w:r>
    </w:p>
    <w:p w14:paraId="3397CB53" w14:textId="73FC4FA1" w:rsidR="00132284" w:rsidRDefault="00132284" w:rsidP="00132284">
      <w:r>
        <w:t>Awesome osxillator : simple différence entre deux moyennes simple rapides et lentes (5 et 34 généralement)</w:t>
      </w:r>
    </w:p>
    <w:p w14:paraId="5947BA70" w14:textId="09642687" w:rsidR="00132284" w:rsidRDefault="00132284" w:rsidP="00132284">
      <w:r>
        <w:t xml:space="preserve">ADX </w:t>
      </w:r>
      <w:r w:rsidR="00A43247">
        <w:t xml:space="preserve"> par defaut window = 14</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05"/>
        <w:gridCol w:w="2904"/>
      </w:tblGrid>
      <w:tr w:rsidR="00132284" w:rsidRPr="00132284" w14:paraId="7A8074B2" w14:textId="77777777" w:rsidTr="00132284">
        <w:tc>
          <w:tcPr>
            <w:tcW w:w="0" w:type="auto"/>
            <w:tcBorders>
              <w:top w:val="nil"/>
              <w:bottom w:val="nil"/>
              <w:right w:val="single" w:sz="6" w:space="0" w:color="D4D4D4"/>
            </w:tcBorders>
            <w:shd w:val="clear" w:color="auto" w:fill="F5F5F6"/>
            <w:vAlign w:val="center"/>
            <w:hideMark/>
          </w:tcPr>
          <w:p w14:paraId="2FC836B3" w14:textId="77777777" w:rsidR="00132284" w:rsidRPr="00132284" w:rsidRDefault="00132284" w:rsidP="00132284">
            <w:pPr>
              <w:spacing w:after="0" w:line="240" w:lineRule="auto"/>
              <w:rPr>
                <w:rFonts w:ascii="Arial" w:eastAsia="Times New Roman" w:hAnsi="Arial" w:cs="Arial"/>
                <w:color w:val="111111"/>
                <w:spacing w:val="1"/>
                <w:sz w:val="27"/>
                <w:szCs w:val="27"/>
              </w:rPr>
            </w:pPr>
            <w:r w:rsidRPr="00132284">
              <w:rPr>
                <w:rFonts w:ascii="Arial" w:eastAsia="Times New Roman" w:hAnsi="Arial" w:cs="Arial"/>
                <w:b/>
                <w:bCs/>
                <w:color w:val="111111"/>
                <w:spacing w:val="1"/>
                <w:sz w:val="27"/>
                <w:szCs w:val="27"/>
              </w:rPr>
              <w:t>ADX Value</w:t>
            </w:r>
          </w:p>
        </w:tc>
        <w:tc>
          <w:tcPr>
            <w:tcW w:w="0" w:type="auto"/>
            <w:tcBorders>
              <w:top w:val="nil"/>
              <w:bottom w:val="nil"/>
              <w:right w:val="nil"/>
            </w:tcBorders>
            <w:shd w:val="clear" w:color="auto" w:fill="F5F5F6"/>
            <w:vAlign w:val="center"/>
            <w:hideMark/>
          </w:tcPr>
          <w:p w14:paraId="2EE74CF7" w14:textId="77777777" w:rsidR="00132284" w:rsidRPr="00132284" w:rsidRDefault="00132284" w:rsidP="00132284">
            <w:pPr>
              <w:spacing w:after="0" w:line="240" w:lineRule="auto"/>
              <w:rPr>
                <w:rFonts w:ascii="Arial" w:eastAsia="Times New Roman" w:hAnsi="Arial" w:cs="Arial"/>
                <w:color w:val="111111"/>
                <w:spacing w:val="1"/>
                <w:sz w:val="27"/>
                <w:szCs w:val="27"/>
              </w:rPr>
            </w:pPr>
            <w:r w:rsidRPr="00132284">
              <w:rPr>
                <w:rFonts w:ascii="Arial" w:eastAsia="Times New Roman" w:hAnsi="Arial" w:cs="Arial"/>
                <w:b/>
                <w:bCs/>
                <w:color w:val="111111"/>
                <w:spacing w:val="1"/>
                <w:sz w:val="27"/>
                <w:szCs w:val="27"/>
              </w:rPr>
              <w:t>Trend Strength</w:t>
            </w:r>
          </w:p>
        </w:tc>
      </w:tr>
      <w:tr w:rsidR="00132284" w:rsidRPr="00132284" w14:paraId="4EA22E24" w14:textId="77777777" w:rsidTr="00132284">
        <w:tc>
          <w:tcPr>
            <w:tcW w:w="0" w:type="auto"/>
            <w:tcBorders>
              <w:top w:val="nil"/>
              <w:bottom w:val="nil"/>
              <w:right w:val="single" w:sz="6" w:space="0" w:color="D4D4D4"/>
            </w:tcBorders>
            <w:shd w:val="clear" w:color="auto" w:fill="FFFFFF"/>
            <w:vAlign w:val="center"/>
            <w:hideMark/>
          </w:tcPr>
          <w:p w14:paraId="2D09D01E" w14:textId="77777777" w:rsidR="00132284" w:rsidRPr="00132284" w:rsidRDefault="00132284" w:rsidP="00132284">
            <w:pPr>
              <w:spacing w:after="0" w:line="240" w:lineRule="auto"/>
              <w:rPr>
                <w:rFonts w:ascii="Arial" w:eastAsia="Times New Roman" w:hAnsi="Arial" w:cs="Arial"/>
                <w:color w:val="111111"/>
                <w:spacing w:val="1"/>
                <w:sz w:val="27"/>
                <w:szCs w:val="27"/>
              </w:rPr>
            </w:pPr>
            <w:r w:rsidRPr="00132284">
              <w:rPr>
                <w:rFonts w:ascii="Arial" w:eastAsia="Times New Roman" w:hAnsi="Arial" w:cs="Arial"/>
                <w:color w:val="111111"/>
                <w:spacing w:val="1"/>
                <w:sz w:val="27"/>
                <w:szCs w:val="27"/>
              </w:rPr>
              <w:t>0-25</w:t>
            </w:r>
          </w:p>
        </w:tc>
        <w:tc>
          <w:tcPr>
            <w:tcW w:w="0" w:type="auto"/>
            <w:tcBorders>
              <w:top w:val="nil"/>
              <w:bottom w:val="nil"/>
              <w:right w:val="nil"/>
            </w:tcBorders>
            <w:shd w:val="clear" w:color="auto" w:fill="FFFFFF"/>
            <w:vAlign w:val="center"/>
            <w:hideMark/>
          </w:tcPr>
          <w:p w14:paraId="6C81E7B0" w14:textId="77777777" w:rsidR="00132284" w:rsidRPr="00132284" w:rsidRDefault="00132284" w:rsidP="00132284">
            <w:pPr>
              <w:spacing w:after="0" w:line="240" w:lineRule="auto"/>
              <w:rPr>
                <w:rFonts w:ascii="Arial" w:eastAsia="Times New Roman" w:hAnsi="Arial" w:cs="Arial"/>
                <w:color w:val="111111"/>
                <w:spacing w:val="1"/>
                <w:sz w:val="27"/>
                <w:szCs w:val="27"/>
              </w:rPr>
            </w:pPr>
            <w:r w:rsidRPr="00132284">
              <w:rPr>
                <w:rFonts w:ascii="Arial" w:eastAsia="Times New Roman" w:hAnsi="Arial" w:cs="Arial"/>
                <w:color w:val="111111"/>
                <w:spacing w:val="1"/>
                <w:sz w:val="27"/>
                <w:szCs w:val="27"/>
              </w:rPr>
              <w:t>Absent or Weak Trend</w:t>
            </w:r>
          </w:p>
        </w:tc>
      </w:tr>
      <w:tr w:rsidR="00132284" w:rsidRPr="00132284" w14:paraId="4C5B94D5" w14:textId="77777777" w:rsidTr="00132284">
        <w:tc>
          <w:tcPr>
            <w:tcW w:w="0" w:type="auto"/>
            <w:tcBorders>
              <w:top w:val="nil"/>
              <w:bottom w:val="nil"/>
              <w:right w:val="single" w:sz="6" w:space="0" w:color="D4D4D4"/>
            </w:tcBorders>
            <w:shd w:val="clear" w:color="auto" w:fill="F5F5F6"/>
            <w:vAlign w:val="center"/>
            <w:hideMark/>
          </w:tcPr>
          <w:p w14:paraId="3ED107CD" w14:textId="77777777" w:rsidR="00132284" w:rsidRPr="00132284" w:rsidRDefault="00132284" w:rsidP="00132284">
            <w:pPr>
              <w:spacing w:after="0" w:line="240" w:lineRule="auto"/>
              <w:rPr>
                <w:rFonts w:ascii="Arial" w:eastAsia="Times New Roman" w:hAnsi="Arial" w:cs="Arial"/>
                <w:color w:val="111111"/>
                <w:spacing w:val="1"/>
                <w:sz w:val="27"/>
                <w:szCs w:val="27"/>
              </w:rPr>
            </w:pPr>
            <w:r w:rsidRPr="00132284">
              <w:rPr>
                <w:rFonts w:ascii="Arial" w:eastAsia="Times New Roman" w:hAnsi="Arial" w:cs="Arial"/>
                <w:color w:val="111111"/>
                <w:spacing w:val="1"/>
                <w:sz w:val="27"/>
                <w:szCs w:val="27"/>
              </w:rPr>
              <w:t>25-50</w:t>
            </w:r>
          </w:p>
        </w:tc>
        <w:tc>
          <w:tcPr>
            <w:tcW w:w="0" w:type="auto"/>
            <w:tcBorders>
              <w:top w:val="nil"/>
              <w:bottom w:val="nil"/>
              <w:right w:val="nil"/>
            </w:tcBorders>
            <w:shd w:val="clear" w:color="auto" w:fill="F5F5F6"/>
            <w:vAlign w:val="center"/>
            <w:hideMark/>
          </w:tcPr>
          <w:p w14:paraId="74250C73" w14:textId="77777777" w:rsidR="00132284" w:rsidRPr="00132284" w:rsidRDefault="00132284" w:rsidP="00132284">
            <w:pPr>
              <w:spacing w:after="0" w:line="240" w:lineRule="auto"/>
              <w:rPr>
                <w:rFonts w:ascii="Arial" w:eastAsia="Times New Roman" w:hAnsi="Arial" w:cs="Arial"/>
                <w:color w:val="111111"/>
                <w:spacing w:val="1"/>
                <w:sz w:val="27"/>
                <w:szCs w:val="27"/>
              </w:rPr>
            </w:pPr>
            <w:r w:rsidRPr="00132284">
              <w:rPr>
                <w:rFonts w:ascii="Arial" w:eastAsia="Times New Roman" w:hAnsi="Arial" w:cs="Arial"/>
                <w:color w:val="111111"/>
                <w:spacing w:val="1"/>
                <w:sz w:val="27"/>
                <w:szCs w:val="27"/>
              </w:rPr>
              <w:t>Strong Trend</w:t>
            </w:r>
          </w:p>
        </w:tc>
      </w:tr>
      <w:tr w:rsidR="00132284" w:rsidRPr="00132284" w14:paraId="4E558CE0" w14:textId="77777777" w:rsidTr="00132284">
        <w:tc>
          <w:tcPr>
            <w:tcW w:w="0" w:type="auto"/>
            <w:tcBorders>
              <w:top w:val="nil"/>
              <w:bottom w:val="nil"/>
              <w:right w:val="single" w:sz="6" w:space="0" w:color="D4D4D4"/>
            </w:tcBorders>
            <w:shd w:val="clear" w:color="auto" w:fill="FFFFFF"/>
            <w:vAlign w:val="center"/>
            <w:hideMark/>
          </w:tcPr>
          <w:p w14:paraId="70698F5C" w14:textId="77777777" w:rsidR="00132284" w:rsidRPr="00132284" w:rsidRDefault="00132284" w:rsidP="00132284">
            <w:pPr>
              <w:spacing w:after="0" w:line="240" w:lineRule="auto"/>
              <w:rPr>
                <w:rFonts w:ascii="Arial" w:eastAsia="Times New Roman" w:hAnsi="Arial" w:cs="Arial"/>
                <w:color w:val="111111"/>
                <w:spacing w:val="1"/>
                <w:sz w:val="27"/>
                <w:szCs w:val="27"/>
              </w:rPr>
            </w:pPr>
            <w:r w:rsidRPr="00132284">
              <w:rPr>
                <w:rFonts w:ascii="Arial" w:eastAsia="Times New Roman" w:hAnsi="Arial" w:cs="Arial"/>
                <w:color w:val="111111"/>
                <w:spacing w:val="1"/>
                <w:sz w:val="27"/>
                <w:szCs w:val="27"/>
              </w:rPr>
              <w:t>50-75</w:t>
            </w:r>
          </w:p>
        </w:tc>
        <w:tc>
          <w:tcPr>
            <w:tcW w:w="0" w:type="auto"/>
            <w:tcBorders>
              <w:top w:val="nil"/>
              <w:bottom w:val="nil"/>
              <w:right w:val="nil"/>
            </w:tcBorders>
            <w:shd w:val="clear" w:color="auto" w:fill="FFFFFF"/>
            <w:vAlign w:val="center"/>
            <w:hideMark/>
          </w:tcPr>
          <w:p w14:paraId="1CADB06A" w14:textId="77777777" w:rsidR="00132284" w:rsidRPr="00132284" w:rsidRDefault="00132284" w:rsidP="00132284">
            <w:pPr>
              <w:spacing w:after="0" w:line="240" w:lineRule="auto"/>
              <w:rPr>
                <w:rFonts w:ascii="Arial" w:eastAsia="Times New Roman" w:hAnsi="Arial" w:cs="Arial"/>
                <w:color w:val="111111"/>
                <w:spacing w:val="1"/>
                <w:sz w:val="27"/>
                <w:szCs w:val="27"/>
              </w:rPr>
            </w:pPr>
            <w:r w:rsidRPr="00132284">
              <w:rPr>
                <w:rFonts w:ascii="Arial" w:eastAsia="Times New Roman" w:hAnsi="Arial" w:cs="Arial"/>
                <w:color w:val="111111"/>
                <w:spacing w:val="1"/>
                <w:sz w:val="27"/>
                <w:szCs w:val="27"/>
              </w:rPr>
              <w:t>Very Strong Trend</w:t>
            </w:r>
          </w:p>
        </w:tc>
      </w:tr>
      <w:tr w:rsidR="00132284" w:rsidRPr="00132284" w14:paraId="1CA68C2E" w14:textId="77777777" w:rsidTr="00132284">
        <w:tc>
          <w:tcPr>
            <w:tcW w:w="0" w:type="auto"/>
            <w:tcBorders>
              <w:top w:val="nil"/>
              <w:bottom w:val="nil"/>
              <w:right w:val="single" w:sz="6" w:space="0" w:color="D4D4D4"/>
            </w:tcBorders>
            <w:shd w:val="clear" w:color="auto" w:fill="F5F5F6"/>
            <w:vAlign w:val="center"/>
            <w:hideMark/>
          </w:tcPr>
          <w:p w14:paraId="430A5A52" w14:textId="77777777" w:rsidR="00132284" w:rsidRPr="00132284" w:rsidRDefault="00132284" w:rsidP="00132284">
            <w:pPr>
              <w:spacing w:after="0" w:line="240" w:lineRule="auto"/>
              <w:rPr>
                <w:rFonts w:ascii="Arial" w:eastAsia="Times New Roman" w:hAnsi="Arial" w:cs="Arial"/>
                <w:color w:val="111111"/>
                <w:spacing w:val="1"/>
                <w:sz w:val="27"/>
                <w:szCs w:val="27"/>
              </w:rPr>
            </w:pPr>
            <w:r w:rsidRPr="00132284">
              <w:rPr>
                <w:rFonts w:ascii="Arial" w:eastAsia="Times New Roman" w:hAnsi="Arial" w:cs="Arial"/>
                <w:color w:val="111111"/>
                <w:spacing w:val="1"/>
                <w:sz w:val="27"/>
                <w:szCs w:val="27"/>
              </w:rPr>
              <w:t>75-100</w:t>
            </w:r>
          </w:p>
        </w:tc>
        <w:tc>
          <w:tcPr>
            <w:tcW w:w="0" w:type="auto"/>
            <w:tcBorders>
              <w:top w:val="nil"/>
              <w:bottom w:val="nil"/>
              <w:right w:val="nil"/>
            </w:tcBorders>
            <w:shd w:val="clear" w:color="auto" w:fill="F5F5F6"/>
            <w:vAlign w:val="center"/>
            <w:hideMark/>
          </w:tcPr>
          <w:p w14:paraId="7F37D9AC" w14:textId="77777777" w:rsidR="00132284" w:rsidRPr="00132284" w:rsidRDefault="00132284" w:rsidP="00132284">
            <w:pPr>
              <w:spacing w:after="0" w:line="240" w:lineRule="auto"/>
              <w:rPr>
                <w:rFonts w:ascii="Arial" w:eastAsia="Times New Roman" w:hAnsi="Arial" w:cs="Arial"/>
                <w:color w:val="111111"/>
                <w:spacing w:val="1"/>
                <w:sz w:val="27"/>
                <w:szCs w:val="27"/>
              </w:rPr>
            </w:pPr>
            <w:r w:rsidRPr="00132284">
              <w:rPr>
                <w:rFonts w:ascii="Arial" w:eastAsia="Times New Roman" w:hAnsi="Arial" w:cs="Arial"/>
                <w:color w:val="111111"/>
                <w:spacing w:val="1"/>
                <w:sz w:val="27"/>
                <w:szCs w:val="27"/>
              </w:rPr>
              <w:t>Extremely Strong Trend</w:t>
            </w:r>
          </w:p>
        </w:tc>
      </w:tr>
      <w:tr w:rsidR="00D960EA" w:rsidRPr="00132284" w14:paraId="7FA26E04" w14:textId="77777777" w:rsidTr="00132284">
        <w:tc>
          <w:tcPr>
            <w:tcW w:w="0" w:type="auto"/>
            <w:tcBorders>
              <w:top w:val="nil"/>
              <w:bottom w:val="nil"/>
              <w:right w:val="single" w:sz="6" w:space="0" w:color="D4D4D4"/>
            </w:tcBorders>
            <w:shd w:val="clear" w:color="auto" w:fill="F5F5F6"/>
            <w:vAlign w:val="center"/>
          </w:tcPr>
          <w:p w14:paraId="3B666AAA" w14:textId="00A945F3" w:rsidR="00D960EA" w:rsidRPr="00132284" w:rsidRDefault="00D960EA" w:rsidP="00132284">
            <w:pPr>
              <w:spacing w:after="0" w:line="240" w:lineRule="auto"/>
              <w:rPr>
                <w:rFonts w:ascii="Arial" w:eastAsia="Times New Roman" w:hAnsi="Arial" w:cs="Arial"/>
                <w:color w:val="111111"/>
                <w:spacing w:val="1"/>
                <w:sz w:val="27"/>
                <w:szCs w:val="27"/>
              </w:rPr>
            </w:pPr>
          </w:p>
        </w:tc>
        <w:tc>
          <w:tcPr>
            <w:tcW w:w="0" w:type="auto"/>
            <w:tcBorders>
              <w:top w:val="nil"/>
              <w:bottom w:val="nil"/>
              <w:right w:val="nil"/>
            </w:tcBorders>
            <w:shd w:val="clear" w:color="auto" w:fill="F5F5F6"/>
            <w:vAlign w:val="center"/>
          </w:tcPr>
          <w:p w14:paraId="6316E029" w14:textId="77777777" w:rsidR="00D960EA" w:rsidRPr="00132284" w:rsidRDefault="00D960EA" w:rsidP="00132284">
            <w:pPr>
              <w:spacing w:after="0" w:line="240" w:lineRule="auto"/>
              <w:rPr>
                <w:rFonts w:ascii="Arial" w:eastAsia="Times New Roman" w:hAnsi="Arial" w:cs="Arial"/>
                <w:color w:val="111111"/>
                <w:spacing w:val="1"/>
                <w:sz w:val="27"/>
                <w:szCs w:val="27"/>
              </w:rPr>
            </w:pPr>
          </w:p>
        </w:tc>
      </w:tr>
    </w:tbl>
    <w:p w14:paraId="39A80814" w14:textId="023C7620" w:rsidR="00132284" w:rsidRDefault="00D960EA" w:rsidP="00132284">
      <w:r>
        <w:t>On considère &lt;20 comme peu volatile et &gt;25 comme volatile</w:t>
      </w:r>
    </w:p>
    <w:p w14:paraId="648C58D4" w14:textId="62183971" w:rsidR="00A43247" w:rsidRDefault="00A43247" w:rsidP="00132284">
      <w:r>
        <w:t>Qd on augmente la window, devient plus selectif, moins de points sont considérés comme vo :;latiles</w:t>
      </w:r>
    </w:p>
    <w:p w14:paraId="332EFDD5" w14:textId="7CEBDBAB" w:rsidR="00EC1DDE" w:rsidRDefault="001007E9" w:rsidP="00132284">
      <w:r>
        <w:t>RSI 20 80 les limites, oscillateur de force d’achat et  de vente</w:t>
      </w:r>
    </w:p>
    <w:p w14:paraId="7F5738FC" w14:textId="18B706F6" w:rsidR="00D10B34" w:rsidRDefault="00D10B34" w:rsidP="00132284">
      <w:r>
        <w:t>Stoch rsi 0.2 et 0.8</w:t>
      </w:r>
    </w:p>
    <w:p w14:paraId="4092DAF1" w14:textId="3B9A10CB" w:rsidR="00D10B34" w:rsidRDefault="00D10B34" w:rsidP="00132284">
      <w:r w:rsidRPr="00D10B34">
        <w:t>Williams R -80 oversold et -20 overbought a quel pourcentage du pr</w:t>
      </w:r>
      <w:r>
        <w:t>ix</w:t>
      </w:r>
    </w:p>
    <w:p w14:paraId="208301BB" w14:textId="60A126D3" w:rsidR="000E0A7B" w:rsidRDefault="000E0A7B" w:rsidP="00132284">
      <w:pPr>
        <w:rPr>
          <w:rFonts w:ascii="Segoe UI" w:hAnsi="Segoe UI" w:cs="Segoe UI"/>
          <w:color w:val="000000"/>
          <w:sz w:val="23"/>
          <w:szCs w:val="23"/>
          <w:shd w:val="clear" w:color="auto" w:fill="FFFFFF"/>
        </w:rPr>
      </w:pPr>
      <w:r>
        <w:rPr>
          <w:rFonts w:ascii="Segoe UI" w:hAnsi="Segoe UI" w:cs="Segoe UI"/>
          <w:color w:val="000000"/>
          <w:sz w:val="23"/>
          <w:szCs w:val="23"/>
          <w:shd w:val="clear" w:color="auto" w:fill="FFFFFF"/>
        </w:rPr>
        <w:t>L'indicateur indique au trader où le prix actuel est par rapport au plus haut des 14 dernières période</w:t>
      </w:r>
    </w:p>
    <w:p w14:paraId="215B4D63" w14:textId="1EA1B0E1" w:rsidR="005B16CD" w:rsidRDefault="005B16CD" w:rsidP="00132284">
      <w:pPr>
        <w:rPr>
          <w:rFonts w:ascii="Segoe UI" w:hAnsi="Segoe UI" w:cs="Segoe UI"/>
          <w:color w:val="000000"/>
          <w:sz w:val="23"/>
          <w:szCs w:val="23"/>
          <w:shd w:val="clear" w:color="auto" w:fill="FFFFFF"/>
        </w:rPr>
      </w:pPr>
      <w:r>
        <w:rPr>
          <w:rFonts w:ascii="Segoe UI" w:hAnsi="Segoe UI" w:cs="Segoe UI"/>
          <w:color w:val="000000"/>
          <w:sz w:val="23"/>
          <w:szCs w:val="23"/>
          <w:shd w:val="clear" w:color="auto" w:fill="FFFFFF"/>
        </w:rPr>
        <w:t xml:space="preserve">CCI </w:t>
      </w:r>
    </w:p>
    <w:p w14:paraId="3C0B694D" w14:textId="09802BE1" w:rsidR="008720A5" w:rsidRDefault="008720A5" w:rsidP="00132284">
      <w:pPr>
        <w:rPr>
          <w:rFonts w:ascii="Lato" w:hAnsi="Lato"/>
          <w:color w:val="212529"/>
          <w:shd w:val="clear" w:color="auto" w:fill="FFFFFF"/>
        </w:rPr>
      </w:pPr>
      <w:r>
        <w:rPr>
          <w:rFonts w:ascii="Lato" w:hAnsi="Lato"/>
          <w:color w:val="212529"/>
          <w:shd w:val="clear" w:color="auto" w:fill="FFFFFF"/>
        </w:rPr>
        <w:t>Le CCI repose sur le principe que le cours d’une valeur évolue selon deux configurations distinctes : les zones de tendance et les zones de congestion.</w:t>
      </w:r>
      <w:r>
        <w:rPr>
          <w:rFonts w:ascii="Lato" w:hAnsi="Lato"/>
          <w:color w:val="212529"/>
        </w:rPr>
        <w:br/>
      </w:r>
      <w:r>
        <w:rPr>
          <w:rFonts w:ascii="Lato" w:hAnsi="Lato"/>
          <w:color w:val="212529"/>
          <w:shd w:val="clear" w:color="auto" w:fill="FFFFFF"/>
        </w:rPr>
        <w:t>Généralement on assiste à une augmentation de la volatilité lorsqu’une valeur sort d’une zone de congestion et entame un mouvement directionnel (tendance). Cette hausse de volatilité peut être mesurée par un éloignement des cours par rapport à leur moyenne mobile.</w:t>
      </w:r>
    </w:p>
    <w:p w14:paraId="152019CD" w14:textId="57656854" w:rsidR="008720A5" w:rsidRDefault="008720A5" w:rsidP="00132284">
      <w:pPr>
        <w:rPr>
          <w:rFonts w:ascii="Lato" w:hAnsi="Lato"/>
          <w:color w:val="212529"/>
          <w:shd w:val="clear" w:color="auto" w:fill="FFFFFF"/>
        </w:rPr>
      </w:pPr>
      <w:r>
        <w:rPr>
          <w:rFonts w:ascii="Lato" w:hAnsi="Lato"/>
          <w:color w:val="212529"/>
          <w:shd w:val="clear" w:color="auto" w:fill="FFFFFF"/>
        </w:rPr>
        <w:t>Lorsque l’indicateur fluctue entre +100 et -100, nous sommes dans une phase de congestion. Lorsque l’indicateur évolue dans sa zone d’achat (au dessus de +100), nous sommes en présence d’une tendance haussière sur la valeur.</w:t>
      </w:r>
      <w:r>
        <w:rPr>
          <w:rFonts w:ascii="Lato" w:hAnsi="Lato"/>
          <w:color w:val="212529"/>
        </w:rPr>
        <w:br/>
      </w:r>
      <w:r>
        <w:rPr>
          <w:rFonts w:ascii="Lato" w:hAnsi="Lato"/>
          <w:color w:val="212529"/>
          <w:shd w:val="clear" w:color="auto" w:fill="FFFFFF"/>
        </w:rPr>
        <w:t>Inversement nous sommes en présence d’une tendance baissière, lorsque les cours évoluent dans sa zone de vente (en dessous de -100).</w:t>
      </w:r>
    </w:p>
    <w:p w14:paraId="686045C4" w14:textId="169D85BE" w:rsidR="003F6093" w:rsidRDefault="003F6093" w:rsidP="00132284">
      <w:pPr>
        <w:rPr>
          <w:rFonts w:ascii="Segoe UI" w:hAnsi="Segoe UI" w:cs="Segoe UI"/>
          <w:color w:val="000000"/>
          <w:sz w:val="23"/>
          <w:szCs w:val="23"/>
          <w:shd w:val="clear" w:color="auto" w:fill="FFFFFF"/>
        </w:rPr>
      </w:pPr>
      <w:r>
        <w:rPr>
          <w:rFonts w:ascii="Lato" w:hAnsi="Lato"/>
          <w:color w:val="212529"/>
          <w:shd w:val="clear" w:color="auto" w:fill="FFFFFF"/>
        </w:rPr>
        <w:t>Pvo comme macd mais suyr le volume</w:t>
      </w:r>
    </w:p>
    <w:p w14:paraId="74AC9E29" w14:textId="394C7DC6" w:rsidR="003F6093" w:rsidRDefault="005B16CD" w:rsidP="00132284">
      <w:pPr>
        <w:rPr>
          <w:rFonts w:ascii="Segoe UI" w:hAnsi="Segoe UI" w:cs="Segoe UI"/>
          <w:color w:val="000000"/>
          <w:sz w:val="23"/>
          <w:szCs w:val="23"/>
          <w:shd w:val="clear" w:color="auto" w:fill="FFFFFF"/>
        </w:rPr>
      </w:pPr>
      <w:r>
        <w:rPr>
          <w:rFonts w:ascii="Segoe UI" w:hAnsi="Segoe UI" w:cs="Segoe UI"/>
          <w:color w:val="000000"/>
          <w:sz w:val="23"/>
          <w:szCs w:val="23"/>
          <w:shd w:val="clear" w:color="auto" w:fill="FFFFFF"/>
        </w:rPr>
        <w:t xml:space="preserve">Ajouter </w:t>
      </w:r>
      <w:r w:rsidR="003F6093">
        <w:rPr>
          <w:rFonts w:ascii="Segoe UI" w:hAnsi="Segoe UI" w:cs="Segoe UI"/>
          <w:color w:val="000000"/>
          <w:sz w:val="23"/>
          <w:szCs w:val="23"/>
          <w:shd w:val="clear" w:color="auto" w:fill="FFFFFF"/>
        </w:rPr>
        <w:t>supertrend, vix</w:t>
      </w:r>
    </w:p>
    <w:p w14:paraId="4681E148" w14:textId="5A14C08B" w:rsidR="00A06E85" w:rsidRDefault="005F4BD5" w:rsidP="00132284">
      <w:pPr>
        <w:rPr>
          <w:rFonts w:ascii="Segoe UI" w:hAnsi="Segoe UI" w:cs="Segoe UI"/>
          <w:color w:val="000000"/>
          <w:sz w:val="23"/>
          <w:szCs w:val="23"/>
          <w:shd w:val="clear" w:color="auto" w:fill="FFFFFF"/>
        </w:rPr>
      </w:pPr>
      <w:hyperlink r:id="rId4" w:history="1">
        <w:r w:rsidRPr="00746098">
          <w:rPr>
            <w:rStyle w:val="Lienhypertexte"/>
            <w:rFonts w:ascii="Segoe UI" w:hAnsi="Segoe UI" w:cs="Segoe UI"/>
            <w:sz w:val="23"/>
            <w:szCs w:val="23"/>
            <w:shd w:val="clear" w:color="auto" w:fill="FFFFFF"/>
          </w:rPr>
          <w:t>https://pythonrepo.com/repo/bukosabino-ta-python-finance</w:t>
        </w:r>
      </w:hyperlink>
    </w:p>
    <w:p w14:paraId="692B730E" w14:textId="3D1B2A33" w:rsidR="005F4BD5" w:rsidRDefault="005F4BD5" w:rsidP="00132284">
      <w:pPr>
        <w:rPr>
          <w:rFonts w:ascii="Segoe UI" w:hAnsi="Segoe UI" w:cs="Segoe UI"/>
          <w:color w:val="000000"/>
          <w:sz w:val="23"/>
          <w:szCs w:val="23"/>
          <w:shd w:val="clear" w:color="auto" w:fill="FFFFFF"/>
        </w:rPr>
      </w:pPr>
      <w:r>
        <w:rPr>
          <w:rFonts w:ascii="Segoe UI" w:hAnsi="Segoe UI" w:cs="Segoe UI"/>
          <w:color w:val="000000"/>
          <w:sz w:val="23"/>
          <w:szCs w:val="23"/>
          <w:shd w:val="clear" w:color="auto" w:fill="FFFFFF"/>
        </w:rPr>
        <w:t>formulaic alphas </w:t>
      </w:r>
    </w:p>
    <w:p w14:paraId="6356EAA8" w14:textId="18754DC9" w:rsidR="005F4BD5" w:rsidRDefault="005F4BD5" w:rsidP="00132284">
      <w:pPr>
        <w:rPr>
          <w:rFonts w:ascii="Segoe UI" w:hAnsi="Segoe UI" w:cs="Segoe UI"/>
          <w:color w:val="000000"/>
          <w:sz w:val="23"/>
          <w:szCs w:val="23"/>
          <w:shd w:val="clear" w:color="auto" w:fill="FFFFFF"/>
        </w:rPr>
      </w:pPr>
      <w:hyperlink r:id="rId5" w:history="1">
        <w:r w:rsidRPr="00746098">
          <w:rPr>
            <w:rStyle w:val="Lienhypertexte"/>
            <w:rFonts w:ascii="Segoe UI" w:hAnsi="Segoe UI" w:cs="Segoe UI"/>
            <w:sz w:val="23"/>
            <w:szCs w:val="23"/>
            <w:shd w:val="clear" w:color="auto" w:fill="FFFFFF"/>
          </w:rPr>
          <w:t>https://arxiv.org/ftp/arxiv/papers/1601/1601.00991.pdf</w:t>
        </w:r>
      </w:hyperlink>
    </w:p>
    <w:p w14:paraId="5951D66F" w14:textId="7F261834" w:rsidR="005F4BD5" w:rsidRDefault="005F4BD5" w:rsidP="00132284">
      <w:pPr>
        <w:rPr>
          <w:rFonts w:ascii="Segoe UI" w:hAnsi="Segoe UI" w:cs="Segoe UI"/>
          <w:color w:val="000000"/>
          <w:sz w:val="23"/>
          <w:szCs w:val="23"/>
          <w:shd w:val="clear" w:color="auto" w:fill="FFFFFF"/>
        </w:rPr>
      </w:pPr>
    </w:p>
    <w:p w14:paraId="737B79CD" w14:textId="38411F2A" w:rsidR="005F4BD5" w:rsidRDefault="005F4BD5" w:rsidP="00132284">
      <w:pPr>
        <w:rPr>
          <w:rFonts w:ascii="Segoe UI" w:hAnsi="Segoe UI" w:cs="Segoe UI"/>
          <w:color w:val="000000"/>
          <w:sz w:val="23"/>
          <w:szCs w:val="23"/>
          <w:shd w:val="clear" w:color="auto" w:fill="FFFFFF"/>
        </w:rPr>
      </w:pPr>
      <w:r>
        <w:rPr>
          <w:rFonts w:ascii="Segoe UI" w:hAnsi="Segoe UI" w:cs="Segoe UI"/>
          <w:color w:val="000000"/>
          <w:sz w:val="23"/>
          <w:szCs w:val="23"/>
          <w:shd w:val="clear" w:color="auto" w:fill="FFFFFF"/>
        </w:rPr>
        <w:t>outliers</w:t>
      </w:r>
    </w:p>
    <w:p w14:paraId="78416D0F" w14:textId="77777777" w:rsidR="005F4BD5" w:rsidRPr="003F6093" w:rsidRDefault="005F4BD5" w:rsidP="005F4BD5">
      <w:pPr>
        <w:rPr>
          <w:rFonts w:ascii="Segoe UI" w:hAnsi="Segoe UI" w:cs="Segoe UI"/>
          <w:color w:val="000000"/>
          <w:sz w:val="23"/>
          <w:szCs w:val="23"/>
          <w:shd w:val="clear" w:color="auto" w:fill="FFFFFF"/>
        </w:rPr>
      </w:pPr>
      <w:r w:rsidRPr="005F4BD5">
        <w:rPr>
          <w:rFonts w:ascii="Segoe UI" w:hAnsi="Segoe UI" w:cs="Segoe UI"/>
          <w:color w:val="000000"/>
          <w:sz w:val="23"/>
          <w:szCs w:val="23"/>
          <w:shd w:val="clear" w:color="auto" w:fill="FFFFFF"/>
        </w:rPr>
        <w:t>https://github.com/stefan-jansen/machine-learning-for-trading/blob/main/24_alpha_factor_library/01_sample_selection.ipynb</w:t>
      </w:r>
    </w:p>
    <w:p w14:paraId="635E03D5" w14:textId="0101C71F" w:rsidR="00132284" w:rsidRDefault="00132284"/>
    <w:p w14:paraId="3C40AEAD" w14:textId="187A0874" w:rsidR="005F4BD5" w:rsidRDefault="005F4BD5"/>
    <w:p w14:paraId="1CA314C6" w14:textId="2358DF56" w:rsidR="005F4BD5" w:rsidRPr="00D10B34" w:rsidRDefault="005F4BD5">
      <w:r>
        <w:t>faire des tests avec adj close aussi</w:t>
      </w:r>
    </w:p>
    <w:sectPr w:rsidR="005F4BD5" w:rsidRPr="00D10B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Segoe UI"/>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0"/>
  </w:compat>
  <w:rsids>
    <w:rsidRoot w:val="001F32A8"/>
    <w:rsid w:val="000E0A7B"/>
    <w:rsid w:val="001007E9"/>
    <w:rsid w:val="00132284"/>
    <w:rsid w:val="001F32A8"/>
    <w:rsid w:val="003F6093"/>
    <w:rsid w:val="004A1BFA"/>
    <w:rsid w:val="004B030C"/>
    <w:rsid w:val="005B16CD"/>
    <w:rsid w:val="005F4BD5"/>
    <w:rsid w:val="008720A5"/>
    <w:rsid w:val="00A06E85"/>
    <w:rsid w:val="00A43247"/>
    <w:rsid w:val="00B91AF7"/>
    <w:rsid w:val="00D10B34"/>
    <w:rsid w:val="00D960EA"/>
    <w:rsid w:val="00EC1DDE"/>
    <w:rsid w:val="00F31B8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F7539"/>
  <w15:chartTrackingRefBased/>
  <w15:docId w15:val="{A3989895-E4F5-4459-865A-F73881744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132284"/>
    <w:rPr>
      <w:b/>
      <w:bCs/>
    </w:rPr>
  </w:style>
  <w:style w:type="character" w:styleId="Lienhypertexte">
    <w:name w:val="Hyperlink"/>
    <w:basedOn w:val="Policepardfaut"/>
    <w:uiPriority w:val="99"/>
    <w:unhideWhenUsed/>
    <w:rsid w:val="005F4BD5"/>
    <w:rPr>
      <w:color w:val="0000FF" w:themeColor="hyperlink"/>
      <w:u w:val="single"/>
    </w:rPr>
  </w:style>
  <w:style w:type="character" w:styleId="Mentionnonrsolue">
    <w:name w:val="Unresolved Mention"/>
    <w:basedOn w:val="Policepardfaut"/>
    <w:uiPriority w:val="99"/>
    <w:semiHidden/>
    <w:unhideWhenUsed/>
    <w:rsid w:val="005F4B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20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xiv.org/ftp/arxiv/papers/1601/1601.00991.pdf" TargetMode="External"/><Relationship Id="rId4" Type="http://schemas.openxmlformats.org/officeDocument/2006/relationships/hyperlink" Target="https://pythonrepo.com/repo/bukosabino-ta-python-financ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1</Pages>
  <Words>318</Words>
  <Characters>1751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Rémi CAZORLA</dc:creator>
  <cp:keywords/>
  <dc:description/>
  <cp:lastModifiedBy>Rémi CAZORLA</cp:lastModifiedBy>
  <cp:revision>5</cp:revision>
  <dcterms:created xsi:type="dcterms:W3CDTF">2022-11-22T13:40:00Z</dcterms:created>
  <dcterms:modified xsi:type="dcterms:W3CDTF">2022-11-22T17:43:00Z</dcterms:modified>
</cp:coreProperties>
</file>