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Style w:val="Heading2"/>
        <w:contextualSpacing w:val="0"/>
        <w:jc w:val="center"/>
        <w:rPr/>
      </w:pPr>
      <w:bookmarkStart w:colFirst="0" w:colLast="0" w:name="_pzqr4n1utzqm" w:id="0"/>
      <w:bookmarkEnd w:id="0"/>
      <w:r w:rsidDel="00000000" w:rsidR="00000000" w:rsidRPr="00000000">
        <w:rPr>
          <w:rtl w:val="0"/>
        </w:rPr>
        <w:t xml:space="preserve">General hints for Review-Thon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For each mentor it will be 3-4 mock interviews depending of total number of participants.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We are going to split all participants in two levels and that's how you'll know from which level you should pick a problem.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Usually it's 1 problem per session however it all depends on you: you may ask smth very simple to write a clean code(~5mins) and then spend the rest time on 2nd problem. We encourage you to not just discuss a solution, but target for implementation of at least any naive idea.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You may ask any problem - from your favorites or from our lists (some of problems are well known by members), however it doesn't mean that they are able to write solution in 20 mins : ) Just like in a real interview. So it's totally up to you - pick another problem if interviewee tells that she knows the problem or insist on implementation and test cases.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Please, give a feedback after each mock interview (what went well, what is the thing to improve and work on more).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