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1017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355"/>
        <w:gridCol w:w="4815"/>
        <w:tblGridChange w:id="0">
          <w:tblGrid>
            <w:gridCol w:w="5355"/>
            <w:gridCol w:w="4815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0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40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40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40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before="0" w:lineRule="auto"/>
              <w:ind w:left="405" w:firstLine="0"/>
              <w:contextualSpacing w:val="1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315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315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15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 0-1 Normal</w:t>
              <w:tab/>
              <w:t xml:space="preserve"> 2-3 Advanced</w:t>
            </w:r>
          </w:p>
          <w:p w:rsidR="00000000" w:rsidDel="00000000" w:rsidP="00000000" w:rsidRDefault="00000000" w:rsidRPr="00000000">
            <w:pPr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Graph is given as an adjacency matrix.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 a number of edges.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 if a given graph is a tree.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270" w:firstLine="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Print a shortest path(by number of edges) from vertex A to vertex B if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left="27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27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275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35"/>
        <w:gridCol w:w="4740"/>
        <w:tblGridChange w:id="0">
          <w:tblGrid>
            <w:gridCol w:w="5535"/>
            <w:gridCol w:w="474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>
            <w:pPr>
              <w:ind w:left="0" w:right="975" w:firstLine="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0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