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Texture of the Barbarous Name</w:t>
      </w:r>
    </w:p>
    <w:bookmarkStart w:id="34" w:name="the-texture-of-the-barbarous-name"/>
    <w:p>
      <w:pPr>
        <w:pStyle w:val="Heading1"/>
      </w:pPr>
      <w:r>
        <w:t xml:space="preserve">The Texture of the Barbarous Name</w:t>
      </w:r>
    </w:p>
    <w:bookmarkStart w:id="20" w:name="X39d3b8a4612ecd12eff588ed46a372db669b6c7"/>
    <w:p>
      <w:pPr>
        <w:pStyle w:val="Heading3"/>
      </w:pPr>
      <w:r>
        <w:t xml:space="preserve">A Cross-Family Study of the Voces Magicae: A Form-Processor Recognizes Them on Sight — the Recognition Is Surface (Real, General), Not Aboutness; and the Deep</w:t>
      </w:r>
      <w:r>
        <w:t xml:space="preserve"> </w:t>
      </w:r>
      <w:r>
        <w:t xml:space="preserve">“</w:t>
      </w:r>
      <w:r>
        <w:t xml:space="preserve">Greek</w:t>
      </w:r>
      <w:r>
        <w:t xml:space="preserve">”</w:t>
      </w:r>
      <w:r>
        <w:t xml:space="preserve"> </w:t>
      </w:r>
      <w:r>
        <w:t xml:space="preserve">Effect Was the Tokenizer, Not the Spell</w:t>
      </w:r>
    </w:p>
    <w:p>
      <w:pPr>
        <w:pStyle w:val="FirstParagraph"/>
      </w:pPr>
      <w:r>
        <w:rPr>
          <w:iCs/>
          <w:i/>
        </w:rPr>
        <w:t xml:space="preserve">Self-published preprint,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iteration 2</w:t>
      </w:r>
      <w:r>
        <w:rPr>
          <w:iCs/>
          <w:i/>
        </w:rPr>
        <w:t xml:space="preserve"> </w:t>
      </w:r>
      <w:r>
        <w:rPr>
          <w:iCs/>
          <w:i/>
        </w:rPr>
        <w:t xml:space="preserve">(cross-family); non-peer-reviewed working draft.</w:t>
      </w:r>
      <w:r>
        <w:t xml:space="preserve"> </w:t>
      </w:r>
      <w:r>
        <w:rPr>
          <w:iCs/>
          <w:i/>
        </w:rPr>
        <w:t xml:space="preserve">Author: Tomás Pavan. Designed and analyzed in dialogue with two Claude Opus 4.8 instances (claude.ai —</w:t>
      </w:r>
      <w:r>
        <w:rPr>
          <w:iCs/>
          <w:i/>
        </w:rPr>
        <w:t xml:space="preserve"> </w:t>
      </w:r>
      <w:r>
        <w:rPr>
          <w:iCs/>
          <w:i/>
        </w:rPr>
        <w:t xml:space="preserve">design; Claude Code — build &amp; analysis). See CONTRIBUTIONS.md and git history.</w:t>
      </w:r>
    </w:p>
    <w:p>
      <w:pPr>
        <w:pStyle w:val="BlockText"/>
      </w:pPr>
      <w:r>
        <w:rPr>
          <w:bCs/>
          <w:b/>
        </w:rPr>
        <w:t xml:space="preserve">WORKING DRAFT.</w:t>
      </w:r>
      <w:r>
        <w:t xml:space="preserve"> </w:t>
      </w:r>
      <w:r>
        <w:t xml:space="preserve">Three of four models in (Qwen2.5-3B, Gemma-2-9B, Mistral-7B-v0.3); Llama-3.1-8B is the</w:t>
      </w:r>
      <w:r>
        <w:t xml:space="preserve"> </w:t>
      </w:r>
      <w:r>
        <w:t xml:space="preserve">pending 4th tokenizer point (Meta’s gate). The cross-model fragmentation relationship is a 3-point correlation</w:t>
      </w:r>
      <w:r>
        <w:t xml:space="preserve"> </w:t>
      </w:r>
      <w:r>
        <w:t xml:space="preserve">that co-varies with family and vocab size (§3.3); the</w:t>
      </w:r>
      <w:r>
        <w:t xml:space="preserve"> </w:t>
      </w:r>
      <w:r>
        <w:rPr>
          <w:bCs/>
          <w:b/>
        </w:rPr>
        <w:t xml:space="preserve">within-model factorial</w:t>
      </w:r>
      <w:r>
        <w:t xml:space="preserve"> </w:t>
      </w:r>
      <w:r>
        <w:t xml:space="preserve">(§3.4, the v2 falsifier with</w:t>
      </w:r>
      <w:r>
        <w:t xml:space="preserve"> </w:t>
      </w:r>
      <w:r>
        <w:t xml:space="preserve">bootstrap CIs) is single-model (Mistral) but decisive on what it tests. All three of the study’s own headline</w:t>
      </w:r>
      <w:r>
        <w:t xml:space="preserve"> </w:t>
      </w:r>
      <w:r>
        <w:t xml:space="preserve">predictions were falsified along the way — that record, including a falsifier we first built confounded and</w:t>
      </w:r>
      <w:r>
        <w:t xml:space="preserve"> </w:t>
      </w:r>
      <w:r>
        <w:t xml:space="preserve">then rebuilt matched, is §6.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iCs/>
          <w:i/>
        </w:rPr>
        <w:t xml:space="preserve">A barbarous name is simultaneously a 2nd-century ritual object, a philological puzzle, a tokenization</w:t>
      </w:r>
      <w:r>
        <w:rPr>
          <w:iCs/>
          <w:i/>
        </w:rPr>
        <w:t xml:space="preserve"> </w:t>
      </w:r>
      <w:r>
        <w:rPr>
          <w:iCs/>
          <w:i/>
        </w:rPr>
        <w:t xml:space="preserve">edge-case, a vector in a high-dimensional space, a fragment of the occult revival, and a little linear-algebra</w:t>
      </w:r>
      <w:r>
        <w:rPr>
          <w:iCs/>
          <w:i/>
        </w:rPr>
        <w:t xml:space="preserve"> </w:t>
      </w:r>
      <w:r>
        <w:rPr>
          <w:iCs/>
          <w:i/>
        </w:rPr>
        <w:t xml:space="preserve">question about cosine and depth. This study reads it only in the last two registers — but it is worth keeping</w:t>
      </w:r>
      <w:r>
        <w:rPr>
          <w:iCs/>
          <w:i/>
        </w:rPr>
        <w:t xml:space="preserve"> </w:t>
      </w:r>
      <w:r>
        <w:rPr>
          <w:iCs/>
          <w:i/>
        </w:rPr>
        <w:t xml:space="preserve">the other four in view, because the whole method rests on choosing an object that is genuinely all six.</w:t>
      </w:r>
    </w:p>
    <w:bookmarkEnd w:id="20"/>
    <w:bookmarkStart w:id="2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Cs/>
          <w:i/>
        </w:rPr>
        <w:t xml:space="preserve">voces magicae</w:t>
      </w:r>
      <w:r>
        <w:t xml:space="preserve"> </w:t>
      </w:r>
      <w:r>
        <w:t xml:space="preserve">— the</w:t>
      </w:r>
      <w:r>
        <w:t xml:space="preserve"> </w:t>
      </w:r>
      <w:r>
        <w:t xml:space="preserve">“</w:t>
      </w:r>
      <w:r>
        <w:t xml:space="preserve">barbarous names</w:t>
      </w:r>
      <w:r>
        <w:t xml:space="preserve">”</w:t>
      </w:r>
      <w:r>
        <w:t xml:space="preserve"> </w:t>
      </w:r>
      <w:r>
        <w:t xml:space="preserve">of the Greek Magical Papyri — are language built to be efficacious</w:t>
      </w:r>
      <w:r>
        <w:t xml:space="preserve"> </w:t>
      </w:r>
      <w:r>
        <w:t xml:space="preserve">through</w:t>
      </w:r>
      <w:r>
        <w:t xml:space="preserve"> </w:t>
      </w:r>
      <w:r>
        <w:rPr>
          <w:iCs/>
          <w:i/>
        </w:rPr>
        <w:t xml:space="preserve">form</w:t>
      </w:r>
      <w:r>
        <w:t xml:space="preserve"> </w:t>
      </w:r>
      <w:r>
        <w:t xml:space="preserve">rather than meaning: strings whose tradition locates their power in their shape, not their</w:t>
      </w:r>
      <w:r>
        <w:t xml:space="preserve"> </w:t>
      </w:r>
      <w:r>
        <w:t xml:space="preserve">reference. That premise is unexpectedly testable. A transformer processes the</w:t>
      </w:r>
      <w:r>
        <w:t xml:space="preserve"> </w:t>
      </w:r>
      <w:r>
        <w:rPr>
          <w:iCs/>
          <w:i/>
        </w:rPr>
        <w:t xml:space="preserve">form</w:t>
      </w:r>
      <w:r>
        <w:t xml:space="preserve"> </w:t>
      </w:r>
      <w:r>
        <w:t xml:space="preserve">of tokens with no native</w:t>
      </w:r>
      <w:r>
        <w:t xml:space="preserve"> </w:t>
      </w:r>
      <w:r>
        <w:t xml:space="preserve">semantics, so it is exactly the instrument for the question this study actually asks:</w:t>
      </w:r>
      <w:r>
        <w:t xml:space="preserve"> </w:t>
      </w:r>
      <w:r>
        <w:rPr>
          <w:bCs/>
          <w:b/>
        </w:rPr>
        <w:t xml:space="preserve">is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barbarous-name-ness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 real perceptual category to a pure form-processor — can a model recognize the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texture</w:t>
      </w:r>
      <w:r>
        <w:rPr>
          <w:bCs/>
          <w:b/>
        </w:rPr>
        <w:t xml:space="preserve"> </w:t>
      </w:r>
      <w:r>
        <w:rPr>
          <w:bCs/>
          <w:b/>
        </w:rPr>
        <w:t xml:space="preserve">of a barbarous name?</w:t>
      </w:r>
    </w:p>
    <w:p>
      <w:pPr>
        <w:pStyle w:val="BodyText"/>
      </w:pPr>
      <w:r>
        <w:rPr>
          <w:bCs/>
          <w:b/>
        </w:rPr>
        <w:t xml:space="preserve">The answer is yes, and it is robust.</w:t>
      </w:r>
      <w:r>
        <w:t xml:space="preserve"> </w:t>
      </w:r>
      <w:r>
        <w:t xml:space="preserve">A model separates barbarous names from token-matched nonsense cleanly,</w:t>
      </w:r>
      <w:r>
        <w:t xml:space="preserve"> </w:t>
      </w:r>
      <w:r>
        <w:t xml:space="preserve">at the early layers, far above a frequency baseline (</w:t>
      </w:r>
      <w:r>
        <w:rPr>
          <w:bCs/>
          <w:b/>
        </w:rPr>
        <w:t xml:space="preserve">H1</w:t>
      </w:r>
      <w:r>
        <w:t xml:space="preserve">), and this</w:t>
      </w:r>
      <w:r>
        <w:t xml:space="preserve"> </w:t>
      </w:r>
      <w:r>
        <w:rPr>
          <w:bCs/>
          <w:b/>
        </w:rPr>
        <w:t xml:space="preserve">replicates across three tokenizer</w:t>
      </w:r>
      <w:r>
        <w:rPr>
          <w:bCs/>
          <w:b/>
        </w:rPr>
        <w:t xml:space="preserve"> </w:t>
      </w:r>
      <w:r>
        <w:rPr>
          <w:bCs/>
          <w:b/>
        </w:rPr>
        <w:t xml:space="preserve">families</w:t>
      </w:r>
      <w:r>
        <w:t xml:space="preserve"> </w:t>
      </w:r>
      <w:r>
        <w:t xml:space="preserve">— Qwen (BPE, 152k), Gemma-2 (SentencePiece, 256k), Mistral (SentencePiece, 32k); peaks 0.89–0.96 —</w:t>
      </w:r>
      <w:r>
        <w:t xml:space="preserve"> </w:t>
      </w:r>
      <w:r>
        <w:t xml:space="preserve">holding even where the model finds the voces</w:t>
      </w:r>
      <w:r>
        <w:t xml:space="preserve"> </w:t>
      </w:r>
      <w:r>
        <w:rPr>
          <w:iCs/>
          <w:i/>
        </w:rPr>
        <w:t xml:space="preserve">more</w:t>
      </w:r>
      <w:r>
        <w:t xml:space="preserve"> </w:t>
      </w:r>
      <w:r>
        <w:t xml:space="preserve">surprising than their controls. Texture-recognition is a</w:t>
      </w:r>
      <w:r>
        <w:t xml:space="preserve"> </w:t>
      </w:r>
      <w:r>
        <w:t xml:space="preserve">transformer property, not a single-tokenizer artifact.</w:t>
      </w:r>
      <w:r>
        <w:t xml:space="preserve"> </w:t>
      </w:r>
      <w:r>
        <w:rPr>
          <w:bCs/>
          <w:b/>
        </w:rPr>
        <w:t xml:space="preserve">The form the magicians cared about is a real,</w:t>
      </w:r>
      <w:r>
        <w:rPr>
          <w:bCs/>
          <w:b/>
        </w:rPr>
        <w:t xml:space="preserve"> </w:t>
      </w:r>
      <w:r>
        <w:rPr>
          <w:bCs/>
          <w:b/>
        </w:rPr>
        <w:t xml:space="preserve">detectable thing, and a form-machine detects it on sight.</w:t>
      </w:r>
      <w:r>
        <w:t xml:space="preserve"> </w:t>
      </w:r>
      <w:r>
        <w:t xml:space="preserve">This is the finding; everything else</w:t>
      </w:r>
      <w:r>
        <w:t xml:space="preserve"> </w:t>
      </w:r>
      <w:r>
        <w:rPr>
          <w:iCs/>
          <w:i/>
        </w:rPr>
        <w:t xml:space="preserve">bounds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How surface is that recognition, and is there anything underneath?</w:t>
      </w:r>
      <w:r>
        <w:t xml:space="preserve"> </w:t>
      </w:r>
      <w:r>
        <w:rPr>
          <w:bCs/>
          <w:b/>
        </w:rPr>
        <w:t xml:space="preserve">The recognition is surface — it does not</w:t>
      </w:r>
      <w:r>
        <w:rPr>
          <w:bCs/>
          <w:b/>
        </w:rPr>
        <w:t xml:space="preserve"> </w:t>
      </w:r>
      <w:r>
        <w:rPr>
          <w:bCs/>
          <w:b/>
        </w:rPr>
        <w:t xml:space="preserve">deepen into a representation of the voces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as names</w:t>
      </w:r>
      <w:r>
        <w:rPr>
          <w:bCs/>
          <w:b/>
        </w:rPr>
        <w:t xml:space="preserve">.</w:t>
      </w:r>
      <w:r>
        <w:t xml:space="preserve"> </w:t>
      </w:r>
      <w:r>
        <w:t xml:space="preserve">The voces-vs-control decider is null in two of three</w:t>
      </w:r>
      <w:r>
        <w:t xml:space="preserve"> </w:t>
      </w:r>
      <w:r>
        <w:t xml:space="preserve">families (the lone Gemma exception is unreplicated and 4-bit-unstable). And the one place name-adjacency</w:t>
      </w:r>
      <w:r>
        <w:t xml:space="preserve"> </w:t>
      </w:r>
      <w:r>
        <w:rPr>
          <w:iCs/>
          <w:i/>
        </w:rPr>
        <w:t xml:space="preserve">seemed</w:t>
      </w:r>
      <w:r>
        <w:t xml:space="preserve"> </w:t>
      </w:r>
      <w:r>
        <w:t xml:space="preserve">to persist deep — iteration 1’s</w:t>
      </w:r>
      <w:r>
        <w:t xml:space="preserve"> </w:t>
      </w:r>
      <w:r>
        <w:t xml:space="preserve">“</w:t>
      </w:r>
      <w:r>
        <w:t xml:space="preserve">the grain runs deeper in Greek</w:t>
      </w:r>
      <w:r>
        <w:t xml:space="preserve">”</w:t>
      </w:r>
      <w:r>
        <w:t xml:space="preserve"> </w:t>
      </w:r>
      <w:r>
        <w:t xml:space="preserve">side-finding — turns out to be the</w:t>
      </w:r>
      <w:r>
        <w:t xml:space="preserve"> </w:t>
      </w:r>
      <w:r>
        <w:rPr>
          <w:bCs/>
          <w:b/>
        </w:rPr>
        <w:t xml:space="preserve">tokenizer</w:t>
      </w:r>
      <w:r>
        <w:t xml:space="preserve">, not the spell: across the three models its magnitude tracks how badly the tokenizer byte-fragments</w:t>
      </w:r>
      <w:r>
        <w:t xml:space="preserve"> </w:t>
      </w:r>
      <w:r>
        <w:t xml:space="preserve">Greek (Mistral 10.76 tok/vox, +0.051 &gt; Qwen 9.63, +0.016 &gt; Gemma 7.69, ~0.000), and a matched-cohort factorial</w:t>
      </w:r>
      <w:r>
        <w:t xml:space="preserve"> </w:t>
      </w:r>
      <w:r>
        <w:t xml:space="preserve">(Mistral, replicated on Gemma) decomposes it into</w:t>
      </w:r>
      <w:r>
        <w:t xml:space="preserve"> </w:t>
      </w:r>
      <w:r>
        <w:rPr>
          <w:bCs/>
          <w:b/>
        </w:rPr>
        <w:t xml:space="preserve">fragmentation + meaninglessness</w:t>
      </w:r>
      <w:r>
        <w:t xml:space="preserve"> </w:t>
      </w:r>
      <w:r>
        <w:t xml:space="preserve">— frequency and</w:t>
      </w:r>
      <w:r>
        <w:t xml:space="preserve"> </w:t>
      </w:r>
      <w:r>
        <w:t xml:space="preserve">familiarity</w:t>
      </w:r>
      <w:r>
        <w:t xml:space="preserve"> </w:t>
      </w:r>
      <w:r>
        <w:rPr>
          <w:iCs/>
          <w:i/>
        </w:rPr>
        <w:t xml:space="preserve">ruled out</w:t>
      </w:r>
      <w:r>
        <w:t xml:space="preserve"> </w:t>
      </w:r>
      <w:r>
        <w:t xml:space="preserve">by a surprisal-controlled split in both models — with</w:t>
      </w:r>
      <w:r>
        <w:t xml:space="preserve"> </w:t>
      </w:r>
      <w:r>
        <w:rPr>
          <w:iCs/>
          <w:i/>
        </w:rPr>
        <w:t xml:space="preserve">namehood</w:t>
      </w:r>
      <w:r>
        <w:t xml:space="preserve"> </w:t>
      </w:r>
      <w:r>
        <w:t xml:space="preserve">absent, indeed slightly</w:t>
      </w:r>
      <w:r>
        <w:t xml:space="preserve"> </w:t>
      </w:r>
      <w:r>
        <w:t xml:space="preserve">reversed (the voces persist</w:t>
      </w:r>
      <w:r>
        <w:t xml:space="preserve"> </w:t>
      </w:r>
      <w:r>
        <w:rPr>
          <w:iCs/>
          <w:i/>
        </w:rPr>
        <w:t xml:space="preserve">less</w:t>
      </w:r>
      <w:r>
        <w:t xml:space="preserve"> </w:t>
      </w:r>
      <w:r>
        <w:t xml:space="preserve">deep than fragmentation-matched noise, precisely because they are a</w:t>
      </w:r>
      <w:r>
        <w:t xml:space="preserve"> </w:t>
      </w:r>
      <w:r>
        <w:t xml:space="preserve">recognizable genre).</w:t>
      </w:r>
    </w:p>
    <w:p>
      <w:pPr>
        <w:pStyle w:val="BodyText"/>
      </w:pPr>
      <w:r>
        <w:t xml:space="preserve">So the headline is affirmative and the bound is sharp.</w:t>
      </w:r>
      <w:r>
        <w:t xml:space="preserve"> </w:t>
      </w:r>
      <w:r>
        <w:rPr>
          <w:bCs/>
          <w:b/>
        </w:rPr>
        <w:t xml:space="preserve">The model recognizes the texture of a barbarous name —</w:t>
      </w:r>
      <w:r>
        <w:rPr>
          <w:bCs/>
          <w:b/>
        </w:rPr>
        <w:t xml:space="preserve"> </w:t>
      </w:r>
      <w:r>
        <w:rPr>
          <w:bCs/>
          <w:b/>
        </w:rPr>
        <w:t xml:space="preserve">on the surface, as form, across tokenizers — which is exactly the part of the magicians’ form-not-meaning premise</w:t>
      </w:r>
      <w:r>
        <w:rPr>
          <w:bCs/>
          <w:b/>
        </w:rPr>
        <w:t xml:space="preserve"> </w:t>
      </w:r>
      <w:r>
        <w:rPr>
          <w:bCs/>
          <w:b/>
        </w:rPr>
        <w:t xml:space="preserve">that was ever testable, and it holds.</w:t>
      </w:r>
      <w:r>
        <w:t xml:space="preserve"> </w:t>
      </w:r>
      <w:r>
        <w:t xml:space="preserve">What the model does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do is carry the voces as names of power in its</w:t>
      </w:r>
      <w:r>
        <w:t xml:space="preserve"> </w:t>
      </w:r>
      <w:r>
        <w:t xml:space="preserve">depths; the</w:t>
      </w:r>
      <w:r>
        <w:t xml:space="preserve"> </w:t>
      </w:r>
      <w:r>
        <w:t xml:space="preserve">“</w:t>
      </w:r>
      <w:r>
        <w:t xml:space="preserve">depth</w:t>
      </w:r>
      <w:r>
        <w:t xml:space="preserve">”</w:t>
      </w:r>
      <w:r>
        <w:t xml:space="preserve"> </w:t>
      </w:r>
      <w:r>
        <w:t xml:space="preserve">that looked like aboutness was the tokenizer shredding Greek. Geometry bought adjacency —</w:t>
      </w:r>
      <w:r>
        <w:t xml:space="preserve"> </w:t>
      </w:r>
      <w:r>
        <w:t xml:space="preserve">real, surface, general — not aboutness:</w:t>
      </w:r>
      <w:r>
        <w:t xml:space="preserve"> </w:t>
      </w:r>
      <w:r>
        <w:rPr>
          <w:bCs/>
          <w:b/>
        </w:rPr>
        <w:t xml:space="preserve">recognition without representation</w:t>
      </w:r>
      <w:r>
        <w:t xml:space="preserve"> </w:t>
      </w:r>
      <w:r>
        <w:t xml:space="preserve">(§4.5), a knowing-that without a</w:t>
      </w:r>
      <w:r>
        <w:t xml:space="preserve"> </w:t>
      </w:r>
      <w:r>
        <w:t xml:space="preserve">knowing-what, of which these meaning-evacuated strings are an unusually clean instance.</w:t>
      </w:r>
    </w:p>
    <w:p>
      <w:r>
        <w:pict>
          <v:rect style="width:0;height:1.5pt" o:hralign="center" o:hrstd="t" o:hr="t"/>
        </w:pict>
      </w:r>
    </w:p>
    <w:bookmarkEnd w:id="21"/>
    <w:bookmarkStart w:id="22" w:name="the-question"/>
    <w:p>
      <w:pPr>
        <w:pStyle w:val="Heading2"/>
      </w:pPr>
      <w:r>
        <w:t xml:space="preserve">1. The question</w:t>
      </w:r>
    </w:p>
    <w:p>
      <w:pPr>
        <w:pStyle w:val="FirstParagraph"/>
      </w:pPr>
      <w:r>
        <w:t xml:space="preserve">The voces magicae are language deliberately built to operate</w:t>
      </w:r>
      <w:r>
        <w:t xml:space="preserve"> </w:t>
      </w:r>
      <w:r>
        <w:rPr>
          <w:iCs/>
          <w:i/>
        </w:rPr>
        <w:t xml:space="preserve">without reference</w:t>
      </w:r>
      <w:r>
        <w:t xml:space="preserve"> </w:t>
      </w:r>
      <w:r>
        <w:t xml:space="preserve">— efficacious, in the</w:t>
      </w:r>
      <w:r>
        <w:t xml:space="preserve"> </w:t>
      </w:r>
      <w:r>
        <w:t xml:space="preserve">tradition’s theory, through correct</w:t>
      </w:r>
      <w:r>
        <w:t xml:space="preserve"> </w:t>
      </w:r>
      <w:r>
        <w:rPr>
          <w:iCs/>
          <w:i/>
        </w:rPr>
        <w:t xml:space="preserve">form</w:t>
      </w:r>
      <w:r>
        <w:t xml:space="preserve">, not denotation. This is not a claim about causal magic that an</w:t>
      </w:r>
      <w:r>
        <w:t xml:space="preserve"> </w:t>
      </w:r>
      <w:r>
        <w:t xml:space="preserve">experiment could adjudicate, and we do not try;</w:t>
      </w:r>
      <w:r>
        <w:t xml:space="preserve"> </w:t>
      </w:r>
      <w:r>
        <w:rPr>
          <w:bCs/>
          <w:b/>
        </w:rPr>
        <w:t xml:space="preserve">it is a claim about a class of linguistic objects — that there</w:t>
      </w:r>
      <w:r>
        <w:rPr>
          <w:bCs/>
          <w:b/>
        </w:rPr>
        <w:t xml:space="preserve"> </w:t>
      </w:r>
      <w:r>
        <w:rPr>
          <w:bCs/>
          <w:b/>
        </w:rPr>
        <w:t xml:space="preserve">are utterances whose signature is in their shape, independent of meaning.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that</w:t>
      </w:r>
      <w:r>
        <w:t xml:space="preserve"> </w:t>
      </w:r>
      <w:r>
        <w:t xml:space="preserve">is testable, because a</w:t>
      </w:r>
      <w:r>
        <w:t xml:space="preserve"> </w:t>
      </w:r>
      <w:r>
        <w:t xml:space="preserve">transformer is precisely a machine that processes the form of tokens with no native concept of what they point</w:t>
      </w:r>
      <w:r>
        <w:t xml:space="preserve"> </w:t>
      </w:r>
      <w:r>
        <w:t xml:space="preserve">to. So the question is not whether the magicians’ spells</w:t>
      </w:r>
      <w:r>
        <w:t xml:space="preserve"> </w:t>
      </w:r>
      <w:r>
        <w:rPr>
          <w:iCs/>
          <w:i/>
        </w:rPr>
        <w:t xml:space="preserve">work</w:t>
      </w:r>
      <w:r>
        <w:t xml:space="preserve">. It is the one the tradition’s own</w:t>
      </w:r>
      <w:r>
        <w:t xml:space="preserve"> </w:t>
      </w:r>
      <w:r>
        <w:t xml:space="preserve">form-not-meaning premise hands us:</w:t>
      </w:r>
      <w:r>
        <w:t xml:space="preserve"> </w:t>
      </w:r>
      <w:r>
        <w:rPr>
          <w:bCs/>
          <w:b/>
        </w:rPr>
        <w:t xml:space="preserve">is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barbarous-name-ness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 real perceptual category to a pure form-processor</w:t>
      </w:r>
      <w:r>
        <w:rPr>
          <w:bCs/>
          <w:b/>
        </w:rPr>
        <w:t xml:space="preserve"> </w:t>
      </w:r>
      <w:r>
        <w:rPr>
          <w:bCs/>
          <w:b/>
        </w:rPr>
        <w:t xml:space="preserve">— does a model recognize the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texture</w:t>
      </w:r>
      <w:r>
        <w:rPr>
          <w:bCs/>
          <w:b/>
        </w:rPr>
        <w:t xml:space="preserve"> </w:t>
      </w:r>
      <w:r>
        <w:rPr>
          <w:bCs/>
          <w:b/>
        </w:rPr>
        <w:t xml:space="preserve">of a barbarous name?</w:t>
      </w:r>
      <w:r>
        <w:t xml:space="preserve"> </w:t>
      </w:r>
      <w:r>
        <w:t xml:space="preserve">And the two follow-ups that make the answer</w:t>
      </w:r>
      <w:r>
        <w:t xml:space="preserve"> </w:t>
      </w:r>
      <w:r>
        <w:t xml:space="preserve">precise:</w:t>
      </w:r>
      <w:r>
        <w:t xml:space="preserve"> </w:t>
      </w:r>
      <w:r>
        <w:rPr>
          <w:iCs/>
          <w:i/>
        </w:rPr>
        <w:t xml:space="preserve">how deep</w:t>
      </w:r>
      <w:r>
        <w:t xml:space="preserve"> </w:t>
      </w:r>
      <w:r>
        <w:t xml:space="preserve">does that recognition run (is it surface texture, or something more like aboutness?), and</w:t>
      </w:r>
      <w:r>
        <w:t xml:space="preserve"> </w:t>
      </w:r>
      <w:r>
        <w:rPr>
          <w:bCs/>
          <w:b/>
        </w:rPr>
        <w:t xml:space="preserve">is it a property of transformers, or of one tokenizer’s idiosyncrasies?</w:t>
      </w:r>
      <w:r>
        <w:t xml:space="preserve"> </w:t>
      </w:r>
      <w:r>
        <w:t xml:space="preserve">— the new question this cross-family</w:t>
      </w:r>
      <w:r>
        <w:t xml:space="preserve"> </w:t>
      </w:r>
      <w:r>
        <w:t xml:space="preserve">iteration exists to settle.</w:t>
      </w:r>
    </w:p>
    <w:p>
      <w:pPr>
        <w:pStyle w:val="BodyText"/>
      </w:pPr>
      <w:r>
        <w:t xml:space="preserve">A third question rode along and turned out to be the sharp methodological one: when a study builds a falsifier to</w:t>
      </w:r>
      <w:r>
        <w:t xml:space="preserve"> </w:t>
      </w:r>
      <w:r>
        <w:t xml:space="preserve">attack its own favorite reading, what does it do when the falsifier returns the inconvenient answer? §3.4 and §6</w:t>
      </w:r>
      <w:r>
        <w:t xml:space="preserve"> </w:t>
      </w:r>
      <w:r>
        <w:t xml:space="preserve">are the honest record — including the falsifier we first built</w:t>
      </w:r>
      <w:r>
        <w:t xml:space="preserve"> </w:t>
      </w:r>
      <w:r>
        <w:rPr>
          <w:iCs/>
          <w:i/>
        </w:rPr>
        <w:t xml:space="preserve">confounded</w:t>
      </w:r>
      <w:r>
        <w:t xml:space="preserve">, caught, and rebuilt.</w:t>
      </w:r>
    </w:p>
    <w:bookmarkEnd w:id="22"/>
    <w:bookmarkStart w:id="23" w:name="method-multi-model"/>
    <w:p>
      <w:pPr>
        <w:pStyle w:val="Heading2"/>
      </w:pPr>
      <w:r>
        <w:t xml:space="preserve">2. Method (multi-model)</w:t>
      </w:r>
    </w:p>
    <w:p>
      <w:pPr>
        <w:pStyle w:val="FirstParagraph"/>
      </w:pPr>
      <w:r>
        <w:t xml:space="preserve">Each attested target (n=76 voces) is paired with token-isomorphic shadow controls matched per string on</w:t>
      </w:r>
      <w:r>
        <w:t xml:space="preserve"> </w:t>
      </w:r>
      <w:r>
        <w:t xml:space="preserve">subword-token count, the model’s own surprisal, and character length, with real words rejected — so the</w:t>
      </w:r>
      <w:r>
        <w:t xml:space="preserve"> </w:t>
      </w:r>
      <w:r>
        <w:t xml:space="preserve">controls are</w:t>
      </w:r>
      <w:r>
        <w:t xml:space="preserve"> </w:t>
      </w:r>
      <w:r>
        <w:rPr>
          <w:bCs/>
          <w:b/>
        </w:rPr>
        <w:t xml:space="preserve">asemic scrambles</w:t>
      </w:r>
      <w:r>
        <w:t xml:space="preserve"> </w:t>
      </w:r>
      <w:r>
        <w:t xml:space="preserve">sharing each vox’s fragmentation, not meaningful Greek. Strings sit in an</w:t>
      </w:r>
      <w:r>
        <w:t xml:space="preserve"> </w:t>
      </w:r>
      <w:r>
        <w:t xml:space="preserve">identical neutral carrier frame (</w:t>
      </w:r>
      <w:r>
        <w:rPr>
          <w:rStyle w:val="VerbatimChar"/>
        </w:rPr>
        <w:t xml:space="preserve">"The string … is written on the page."</w:t>
      </w:r>
      <w:r>
        <w:t xml:space="preserve">), mean-pooled per layer over the</w:t>
      </w:r>
      <w:r>
        <w:t xml:space="preserve"> </w:t>
      </w:r>
      <w:r>
        <w:t xml:space="preserve">target span.</w:t>
      </w:r>
      <w:r>
        <w:t xml:space="preserve"> </w:t>
      </w:r>
      <w:r>
        <w:rPr>
          <w:bCs/>
          <w:b/>
        </w:rPr>
        <w:t xml:space="preserve">H1</w:t>
      </w:r>
      <w:r>
        <w:t xml:space="preserve">: L2-regularized logistic probes, GroupKFold by string family (out-of-family generalization),</w:t>
      </w:r>
      <w:r>
        <w:t xml:space="preserve"> </w:t>
      </w:r>
      <w:r>
        <w:t xml:space="preserve">with a surprisal-only baseline as the frequency falsifier. Each string is rendered in Betz Latin transliteration</w:t>
      </w:r>
      <w:r>
        <w:t xml:space="preserve"> </w:t>
      </w:r>
      <w:r>
        <w:t xml:space="preserve">and in Greek script (14/76 carry authentic PGM-Greek attestations, 62/76 algorithmic; the depth analysis’s</w:t>
      </w:r>
      <w:r>
        <w:t xml:space="preserve"> </w:t>
      </w:r>
      <w:r>
        <w:t xml:space="preserve">non-circular Greek arm is the n=13</w:t>
      </w:r>
      <w:r>
        <w:t xml:space="preserve"> </w:t>
      </w:r>
      <w:r>
        <w:rPr>
          <w:iCs/>
          <w:i/>
        </w:rPr>
        <w:t xml:space="preserve">asemic</w:t>
      </w:r>
      <w:r>
        <w:t xml:space="preserve"> </w:t>
      </w:r>
      <w:r>
        <w:t xml:space="preserve">authentic subset).</w:t>
      </w:r>
    </w:p>
    <w:p>
      <w:pPr>
        <w:pStyle w:val="BodyText"/>
      </w:pPr>
      <w:r>
        <w:rPr>
          <w:bCs/>
          <w:b/>
        </w:rPr>
        <w:t xml:space="preserve">Name-likeness</w:t>
      </w:r>
      <w:r>
        <w:t xml:space="preserve"> </w:t>
      </w:r>
      <w:r>
        <w:t xml:space="preserve">of a string at a layer = cos(its rep, the model’s</w:t>
      </w:r>
      <w:r>
        <w:t xml:space="preserve"> </w:t>
      </w:r>
      <w:r>
        <w:rPr>
          <w:iCs/>
          <w:i/>
        </w:rPr>
        <w:t xml:space="preserve">name</w:t>
      </w:r>
      <w:r>
        <w:t xml:space="preserve">-cohort centroid) − cos(its rep, the</w:t>
      </w:r>
      <w:r>
        <w:t xml:space="preserve"> </w:t>
      </w:r>
      <w:r>
        <w:rPr>
          <w:iCs/>
          <w:i/>
        </w:rPr>
        <w:t xml:space="preserve">random</w:t>
      </w:r>
      <w:r>
        <w:t xml:space="preserve">-cohort centroid), in that script. The</w:t>
      </w:r>
      <w:r>
        <w:t xml:space="preserve"> </w:t>
      </w:r>
      <w:r>
        <w:rPr>
          <w:bCs/>
          <w:b/>
        </w:rPr>
        <w:t xml:space="preserve">deep-Greek gap</w:t>
      </w:r>
      <w:r>
        <w:t xml:space="preserve"> </w:t>
      </w:r>
      <w:r>
        <w:t xml:space="preserve">of a cohort = mean over the deep half of the</w:t>
      </w:r>
      <w:r>
        <w:t xml:space="preserve"> </w:t>
      </w:r>
      <w:r>
        <w:t xml:space="preserve">layers of (Greek name-likeness − Latin name-likeness).</w:t>
      </w:r>
      <w:r>
        <w:t xml:space="preserve"> </w:t>
      </w:r>
      <w:r>
        <w:rPr>
          <w:bCs/>
          <w:b/>
        </w:rPr>
        <w:t xml:space="preserve">Magnitudes are comparable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within</w:t>
      </w:r>
      <w:r>
        <w:rPr>
          <w:bCs/>
          <w:b/>
        </w:rPr>
        <w:t xml:space="preserve"> </w:t>
      </w:r>
      <w:r>
        <w:rPr>
          <w:bCs/>
          <w:b/>
        </w:rPr>
        <w:t xml:space="preserve">a model</w:t>
      </w:r>
      <w:r>
        <w:t xml:space="preserve"> </w:t>
      </w:r>
      <w:r>
        <w:t xml:space="preserve">(shared</w:t>
      </w:r>
      <w:r>
        <w:t xml:space="preserve"> </w:t>
      </w:r>
      <w:r>
        <w:t xml:space="preserve">centroids) but</w:t>
      </w:r>
      <w:r>
        <w:t xml:space="preserve"> </w:t>
      </w:r>
      <w:r>
        <w:rPr>
          <w:bCs/>
          <w:b/>
        </w:rPr>
        <w:t xml:space="preserve">not across models</w:t>
      </w:r>
      <w:r>
        <w:t xml:space="preserve"> </w:t>
      </w:r>
      <w:r>
        <w:t xml:space="preserve">(each has its own geometry) — so every cross-model claim (§3.3) is sign /</w:t>
      </w:r>
      <w:r>
        <w:t xml:space="preserve"> </w:t>
      </w:r>
      <w:r>
        <w:t xml:space="preserve">shape / significance only; the within-model factorial (§3.4) does compare magnitudes, legitimately, because all</w:t>
      </w:r>
      <w:r>
        <w:t xml:space="preserve"> </w:t>
      </w:r>
      <w:r>
        <w:t xml:space="preserve">its cohorts share one model and one pair of centroids.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tokenizer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Qwen2.5-3B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BPE, 152k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Gemma-2-9B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SentencePiece, 256k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Mistral-7B-v0.3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SentencePiece, 32k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Llama-3.1-8B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tiktoken, 128k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[PENDING — Meta gate]</w:t>
            </w:r>
          </w:p>
        </w:tc>
      </w:tr>
    </w:tbl>
    <w:bookmarkEnd w:id="23"/>
    <w:bookmarkStart w:id="28" w:name="results"/>
    <w:p>
      <w:pPr>
        <w:pStyle w:val="Heading2"/>
      </w:pPr>
      <w:r>
        <w:t xml:space="preserve">3. Results</w:t>
      </w:r>
    </w:p>
    <w:bookmarkStart w:id="24" w:name="X0aa6be93a8681f41ab7652c30e8d8e93fe91cc5"/>
    <w:p>
      <w:pPr>
        <w:pStyle w:val="Heading3"/>
      </w:pPr>
      <w:r>
        <w:t xml:space="preserve">3.1 H1 — surface texture-recognition replicates across all three families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Qwen-3B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Gemma-9B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Mistral-7B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peak (Latin)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peak (Greek)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peak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early (L5–7)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early (L5–7)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Latin L5 /</w:t>
            </w:r>
            <w:r>
              <w:t xml:space="preserve"> </w:t>
            </w:r>
            <w:r>
              <w:rPr>
                <w:bCs/>
                <w:b/>
              </w:rPr>
              <w:t xml:space="preserve">Greek L19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surprisal-only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~0.51 / 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 / 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 / 0.54</w:t>
            </w:r>
          </w:p>
        </w:tc>
      </w:tr>
    </w:tbl>
    <w:p>
      <w:pPr>
        <w:pStyle w:val="BodyText"/>
      </w:pPr>
      <w:r>
        <w:t xml:space="preserve">H1 is a robust positive across BPE↔SentencePiece, 32k↔256k vocab, fp16↔4-bit, 3B↔9B: voces are linearly</w:t>
      </w:r>
      <w:r>
        <w:t xml:space="preserve"> </w:t>
      </w:r>
      <w:r>
        <w:t xml:space="preserve">separable from token-matched nonsense at the early layers, far above a near-chance frequency baseline.</w:t>
      </w:r>
      <w:r>
        <w:t xml:space="preserve"> </w:t>
      </w:r>
      <w:r>
        <w:rPr>
          <w:bCs/>
          <w:b/>
        </w:rPr>
        <w:t xml:space="preserve">Texture-recognition is a transformer property, not a Qwen artifact.</w:t>
      </w:r>
      <w:r>
        <w:t xml:space="preserve"> </w:t>
      </w:r>
      <w:r>
        <w:t xml:space="preserve">Two telling details: (a) in Gemma and</w:t>
      </w:r>
      <w:r>
        <w:t xml:space="preserve"> </w:t>
      </w:r>
      <w:r>
        <w:t xml:space="preserve">Mistral the voces run</w:t>
      </w:r>
      <w:r>
        <w:t xml:space="preserve"> </w:t>
      </w:r>
      <w:r>
        <w:rPr>
          <w:iCs/>
          <w:i/>
        </w:rPr>
        <w:t xml:space="preserve">more</w:t>
      </w:r>
      <w:r>
        <w:t xml:space="preserve"> </w:t>
      </w:r>
      <w:r>
        <w:t xml:space="preserve">surprising than their controls, yet H1 is undiminished — recognition does not</w:t>
      </w:r>
      <w:r>
        <w:t xml:space="preserve"> </w:t>
      </w:r>
      <w:r>
        <w:t xml:space="preserve">require familiarity; (b) in Mistral the</w:t>
      </w:r>
      <w:r>
        <w:t xml:space="preserve"> </w:t>
      </w:r>
      <w:r>
        <w:rPr>
          <w:iCs/>
          <w:i/>
        </w:rPr>
        <w:t xml:space="preserve">Greek</w:t>
      </w:r>
      <w:r>
        <w:t xml:space="preserve"> </w:t>
      </w:r>
      <w:r>
        <w:t xml:space="preserve">H1 peak shifts late (L19 vs Latin’s L5) — Mistral’s 32k vocab</w:t>
      </w:r>
      <w:r>
        <w:t xml:space="preserve"> </w:t>
      </w:r>
      <w:r>
        <w:t xml:space="preserve">shreds Greek hardest, so the Greek distinction is</w:t>
      </w:r>
      <w:r>
        <w:t xml:space="preserve"> </w:t>
      </w:r>
      <w:r>
        <w:rPr>
          <w:iCs/>
          <w:i/>
        </w:rPr>
        <w:t xml:space="preserve">assembled deeper</w:t>
      </w:r>
      <w:r>
        <w:t xml:space="preserve"> </w:t>
      </w:r>
      <w:r>
        <w:t xml:space="preserve">rather than read off the surface. This is</w:t>
      </w:r>
      <w:r>
        <w:t xml:space="preserve"> </w:t>
      </w:r>
      <w:r>
        <w:t xml:space="preserve">the one finding the paper states without a hedge — and §3.4 shows it is the key to the deep result too: the</w:t>
      </w:r>
      <w:r>
        <w:t xml:space="preserve"> </w:t>
      </w:r>
      <w:r>
        <w:t xml:space="preserve">voces are a</w:t>
      </w:r>
      <w:r>
        <w:t xml:space="preserve"> </w:t>
      </w:r>
      <w:r>
        <w:rPr>
          <w:iCs/>
          <w:i/>
        </w:rPr>
        <w:t xml:space="preserve">recognizable genre</w:t>
      </w:r>
      <w:r>
        <w:t xml:space="preserve">, and that recognizability is exactly why they are not the deepest-persisting</w:t>
      </w:r>
      <w:r>
        <w:t xml:space="preserve"> </w:t>
      </w:r>
      <w:r>
        <w:t xml:space="preserve">strings.</w:t>
      </w:r>
    </w:p>
    <w:bookmarkEnd w:id="24"/>
    <w:bookmarkStart w:id="25" w:name="X0ad06eb5df78982298a57f9d878247e307339a0"/>
    <w:p>
      <w:pPr>
        <w:pStyle w:val="Heading3"/>
      </w:pPr>
      <w:r>
        <w:t xml:space="preserve">3.2 No voces-specific deep representation — and namehood is null where it is cleanest to test</w:t>
      </w:r>
    </w:p>
    <w:p>
      <w:pPr>
        <w:pStyle w:val="FirstParagraph"/>
      </w:pPr>
      <w:r>
        <w:t xml:space="preserve">The decider asks: deep in the network, are the voces distinguishable from their own token-matched (asemic)</w:t>
      </w:r>
      <w:r>
        <w:t xml:space="preserve"> </w:t>
      </w:r>
      <w:r>
        <w:t xml:space="preserve">controls? If the model held them</w:t>
      </w:r>
      <w:r>
        <w:t xml:space="preserve"> </w:t>
      </w:r>
      <w:r>
        <w:rPr>
          <w:iCs/>
          <w:i/>
        </w:rPr>
        <w:t xml:space="preserve">as names of power</w:t>
      </w:r>
      <w:r>
        <w:t xml:space="preserve">, this is where it would show.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decider (voces vs token-matched controls, deep), 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Qwen-3B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Gemma-9B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Mistral-7B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0.146</w:t>
            </w:r>
          </w:p>
        </w:tc>
      </w:tr>
    </w:tbl>
    <w:p>
      <w:pPr>
        <w:pStyle w:val="BodyText"/>
      </w:pPr>
      <w:r>
        <w:t xml:space="preserve">The decider is null in Qwen and Mistral, both scripts. Gemma shows a single significant cell (Latin, p=0.007),</w:t>
      </w:r>
      <w:r>
        <w:t xml:space="preserve"> </w:t>
      </w:r>
      <w:r>
        <w:t xml:space="preserve">which we treat as</w:t>
      </w:r>
      <w:r>
        <w:t xml:space="preserve"> </w:t>
      </w:r>
      <w:r>
        <w:rPr>
          <w:bCs/>
          <w:b/>
        </w:rPr>
        <w:t xml:space="preserve">provisional, not settled</w:t>
      </w:r>
      <w:r>
        <w:t xml:space="preserve">: it clears a Bonferroni across the four cells (0.007 &lt; 0.0125) but</w:t>
      </w:r>
      <w:r>
        <w:t xml:space="preserve"> </w:t>
      </w:r>
      <w:r>
        <w:t xml:space="preserve">is unreplicated across the other two models and</w:t>
      </w:r>
      <w:r>
        <w:t xml:space="preserve"> </w:t>
      </w:r>
      <w:r>
        <w:rPr>
          <w:bCs/>
          <w:b/>
        </w:rPr>
        <w:t xml:space="preserve">run-variable under 4-bit</w:t>
      </w:r>
      <w:r>
        <w:t xml:space="preserve"> </w:t>
      </w:r>
      <w:r>
        <w:t xml:space="preserve">(a second seed-0 run gave p=0.032).</w:t>
      </w:r>
      <w:r>
        <w:t xml:space="preserve"> </w:t>
      </w:r>
      <w:r>
        <w:t xml:space="preserve">We owe an fp16 Gemma pass before calling it real or artifactual. What the table supports at this power is the</w:t>
      </w:r>
      <w:r>
        <w:t xml:space="preserve"> </w:t>
      </w:r>
      <w:r>
        <w:t xml:space="preserve">absence of a large, stable, cross-family voces-specific signal.</w:t>
      </w:r>
    </w:p>
    <w:p>
      <w:pPr>
        <w:pStyle w:val="BodyText"/>
      </w:pPr>
      <w:r>
        <w:t xml:space="preserve">The decider’s clean reading is</w:t>
      </w:r>
      <w:r>
        <w:t xml:space="preserve"> </w:t>
      </w:r>
      <w:r>
        <w:t xml:space="preserve">“</w:t>
      </w:r>
      <w:r>
        <w:t xml:space="preserve">voces vs. </w:t>
      </w:r>
      <w:r>
        <w:rPr>
          <w:iCs/>
          <w:i/>
        </w:rPr>
        <w:t xml:space="preserve">fragmentation-matched gibberish</w:t>
      </w:r>
      <w:r>
        <w:t xml:space="preserve">: no difference.</w:t>
      </w:r>
      <w:r>
        <w:t xml:space="preserve">”</w:t>
      </w:r>
      <w:r>
        <w:t xml:space="preserve"> </w:t>
      </w:r>
      <w:r>
        <w:t xml:space="preserve">The sharper test of</w:t>
      </w:r>
      <w:r>
        <w:t xml:space="preserve"> </w:t>
      </w:r>
      <w:r>
        <w:t xml:space="preserve">namehood — voces vs. fragmentation-matched gibberish at the</w:t>
      </w:r>
      <w:r>
        <w:t xml:space="preserve"> </w:t>
      </w:r>
      <w:r>
        <w:rPr>
          <w:iCs/>
          <w:i/>
        </w:rPr>
        <w:t xml:space="preserve">depth</w:t>
      </w:r>
      <w:r>
        <w:t xml:space="preserve"> </w:t>
      </w:r>
      <w:r>
        <w:t xml:space="preserve">where the Greek effect lives — is the</w:t>
      </w:r>
      <w:r>
        <w:t xml:space="preserve"> </w:t>
      </w:r>
      <w:r>
        <w:t xml:space="preserve">NAMEHOOD arm of §3.4, and it is</w:t>
      </w:r>
      <w:r>
        <w:t xml:space="preserve"> </w:t>
      </w:r>
      <w:r>
        <w:rPr>
          <w:bCs/>
          <w:b/>
        </w:rPr>
        <w:t xml:space="preserve">null and slightly negative</w:t>
      </w:r>
      <w:r>
        <w:t xml:space="preserve">: the voces persist deep</w:t>
      </w:r>
      <w:r>
        <w:t xml:space="preserve"> </w:t>
      </w:r>
      <w:r>
        <w:rPr>
          <w:iCs/>
          <w:i/>
        </w:rPr>
        <w:t xml:space="preserve">less</w:t>
      </w:r>
      <w:r>
        <w:t xml:space="preserve"> </w:t>
      </w:r>
      <w:r>
        <w:t xml:space="preserve">than matched</w:t>
      </w:r>
      <w:r>
        <w:t xml:space="preserve"> </w:t>
      </w:r>
      <w:r>
        <w:t xml:space="preserve">asemic non-names. So the spell is not merely undetected; on the cleanest available contrast, the actual</w:t>
      </w:r>
      <w:r>
        <w:t xml:space="preserve"> </w:t>
      </w:r>
      <w:r>
        <w:t xml:space="preserve">barbarous names are</w:t>
      </w:r>
      <w:r>
        <w:t xml:space="preserve"> </w:t>
      </w:r>
      <w:r>
        <w:rPr>
          <w:iCs/>
          <w:i/>
        </w:rPr>
        <w:t xml:space="preserve">less</w:t>
      </w:r>
      <w:r>
        <w:t xml:space="preserve"> </w:t>
      </w:r>
      <w:r>
        <w:t xml:space="preserve">deep-name-adjacent than random strings of the same fragmentation. The romance has no</w:t>
      </w:r>
      <w:r>
        <w:t xml:space="preserve"> </w:t>
      </w:r>
      <w:r>
        <w:t xml:space="preserve">foothold.</w:t>
      </w:r>
    </w:p>
    <w:bookmarkEnd w:id="25"/>
    <w:bookmarkStart w:id="26" w:name="X3e77c2417737e7db497c41da9bfd62e64860e07"/>
    <w:p>
      <w:pPr>
        <w:pStyle w:val="Heading3"/>
      </w:pPr>
      <w:r>
        <w:t xml:space="preserve">3.3 The deep-Greek persistence tracks Greek byte-fragmentation (cross-model, n=3)</w:t>
      </w:r>
    </w:p>
    <w:p>
      <w:pPr>
        <w:pStyle w:val="FirstParagraph"/>
      </w:pPr>
      <w:r>
        <w:t xml:space="preserve">Iteration 1 read the deeper-in-Greek persistence as</w:t>
      </w:r>
      <w:r>
        <w:t xml:space="preserve"> </w:t>
      </w:r>
      <w:r>
        <w:t xml:space="preserve">“</w:t>
      </w:r>
      <w:r>
        <w:t xml:space="preserve">Greek-script processing.</w:t>
      </w:r>
      <w:r>
        <w:t xml:space="preserve">”</w:t>
      </w:r>
      <w:r>
        <w:t xml:space="preserve"> </w:t>
      </w:r>
      <w:r>
        <w:t xml:space="preserve">Across three tokenizers, its</w:t>
      </w:r>
      <w:r>
        <w:t xml:space="preserve"> </w:t>
      </w:r>
      <w:r>
        <w:rPr>
          <w:iCs/>
          <w:i/>
        </w:rPr>
        <w:t xml:space="preserve">magnitude</w:t>
      </w:r>
      <w:r>
        <w:t xml:space="preserve"> </w:t>
      </w:r>
      <w:r>
        <w:t xml:space="preserve">orders monotonically with how badly the tokenizer fragments Greek — tokens-per-Greek-vox (n=49</w:t>
      </w:r>
      <w:r>
        <w:t xml:space="preserve"> </w:t>
      </w:r>
      <w:r>
        <w:t xml:space="preserve">pure-asemic, each model’s own tokenizer):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44"/>
        <w:gridCol w:w="644"/>
        <w:gridCol w:w="2210"/>
        <w:gridCol w:w="44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vocab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Greek tokens / vox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deep-Greek gap (authentic Greek − Latin, n=13)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Mistral-7B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10.76</w:t>
            </w:r>
            <w:r>
              <w:t xml:space="preserve"> </w:t>
            </w:r>
            <w:r>
              <w:t xml:space="preserve">(most fragmented)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+0.051</w:t>
            </w:r>
            <w:r>
              <w:t xml:space="preserve"> </w:t>
            </w:r>
            <w:r>
              <w:t xml:space="preserve">(strongest)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Qwen-3B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152k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+0.016 (moderate)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Gemma-9B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7.69</w:t>
            </w:r>
            <w:r>
              <w:t xml:space="preserve"> </w:t>
            </w:r>
            <w:r>
              <w:t xml:space="preserve">(least fragmented)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~0.000</w:t>
            </w:r>
            <w:r>
              <w:t xml:space="preserve"> </w:t>
            </w:r>
            <w:r>
              <w:t xml:space="preserve">(none)</w:t>
            </w:r>
          </w:p>
        </w:tc>
      </w:tr>
    </w:tbl>
    <w:p>
      <w:pPr>
        <w:pStyle w:val="BodyText"/>
      </w:pPr>
      <w:r>
        <w:t xml:space="preserve">The gap and the fragmentation order the same way. It is a</w:t>
      </w:r>
      <w:r>
        <w:t xml:space="preserve"> </w:t>
      </w:r>
      <w:r>
        <w:rPr>
          <w:bCs/>
          <w:b/>
        </w:rPr>
        <w:t xml:space="preserve">direct</w:t>
      </w:r>
      <w:r>
        <w:t xml:space="preserve"> </w:t>
      </w:r>
      <w:r>
        <w:t xml:space="preserve">comparison of token counts (not a vocab-size</w:t>
      </w:r>
      <w:r>
        <w:t xml:space="preserve"> </w:t>
      </w:r>
      <w:r>
        <w:t xml:space="preserve">proxy), and the two</w:t>
      </w:r>
      <w:r>
        <w:t xml:space="preserve"> </w:t>
      </w:r>
      <w:r>
        <w:rPr>
          <w:bCs/>
          <w:b/>
        </w:rPr>
        <w:t xml:space="preserve">obvious</w:t>
      </w:r>
      <w:r>
        <w:t xml:space="preserve"> </w:t>
      </w:r>
      <w:r>
        <w:t xml:space="preserve">confounds do not explain it — the two</w:t>
      </w:r>
      <w:r>
        <w:t xml:space="preserve"> </w:t>
      </w:r>
      <w:r>
        <w:rPr>
          <w:bCs/>
          <w:b/>
        </w:rPr>
        <w:t xml:space="preserve">4-bit</w:t>
      </w:r>
      <w:r>
        <w:t xml:space="preserve"> </w:t>
      </w:r>
      <w:r>
        <w:t xml:space="preserve">models sit at</w:t>
      </w:r>
      <w:r>
        <w:t xml:space="preserve"> </w:t>
      </w:r>
      <w:r>
        <w:rPr>
          <w:iCs/>
          <w:i/>
        </w:rPr>
        <w:t xml:space="preserve">opposite ends</w:t>
      </w:r>
      <w:r>
        <w:t xml:space="preserve"> </w:t>
      </w:r>
      <w:r>
        <w:t xml:space="preserve">(ruling out quantization), and model</w:t>
      </w:r>
      <w:r>
        <w:t xml:space="preserve"> </w:t>
      </w:r>
      <w:r>
        <w:rPr>
          <w:bCs/>
          <w:b/>
        </w:rPr>
        <w:t xml:space="preserve">size</w:t>
      </w:r>
      <w:r>
        <w:t xml:space="preserve"> </w:t>
      </w:r>
      <w:r>
        <w:t xml:space="preserve">does not track the ordering. But it is three points (monotone by</w:t>
      </w:r>
      <w:r>
        <w:t xml:space="preserve"> </w:t>
      </w:r>
      <w:r>
        <w:t xml:space="preserve">chance with probability ⅓), and fragmentation co-varies with</w:t>
      </w:r>
      <w:r>
        <w:t xml:space="preserve"> </w:t>
      </w:r>
      <w:r>
        <w:rPr>
          <w:bCs/>
          <w:b/>
        </w:rPr>
        <w:t xml:space="preserve">family, vocab size, training-corpus Greek</w:t>
      </w:r>
      <w:r>
        <w:rPr>
          <w:bCs/>
          <w:b/>
        </w:rPr>
        <w:t xml:space="preserve"> </w:t>
      </w:r>
      <w:r>
        <w:rPr>
          <w:bCs/>
          <w:b/>
        </w:rPr>
        <w:t xml:space="preserve">fraction, instruction-tuning</w:t>
      </w:r>
      <w:r>
        <w:t xml:space="preserve">; we have no same-family-different-tokenizer control. So the cross-model claim is</w:t>
      </w:r>
      <w:r>
        <w:t xml:space="preserve"> </w:t>
      </w:r>
      <w:r>
        <w:rPr>
          <w:bCs/>
          <w:b/>
        </w:rPr>
        <w:t xml:space="preserve">correlational and provisional</w:t>
      </w:r>
      <w:r>
        <w:t xml:space="preserve">: across three confounded models, the deep-Greek magnitude</w:t>
      </w:r>
      <w:r>
        <w:t xml:space="preserve"> </w:t>
      </w:r>
      <w:r>
        <w:rPr>
          <w:iCs/>
          <w:i/>
        </w:rPr>
        <w:t xml:space="preserve">tracks</w:t>
      </w:r>
      <w:r>
        <w:t xml:space="preserve"> </w:t>
      </w:r>
      <w:r>
        <w:t xml:space="preserve">Greek</w:t>
      </w:r>
      <w:r>
        <w:t xml:space="preserve"> </w:t>
      </w:r>
      <w:r>
        <w:t xml:space="preserve">fragmentation, and falls to ~0 where Greek tokenizes cleanly. §3.4 turns this from a correlation into a</w:t>
      </w:r>
      <w:r>
        <w:t xml:space="preserve"> </w:t>
      </w:r>
      <w:r>
        <w:rPr>
          <w:iCs/>
          <w:i/>
        </w:rPr>
        <w:t xml:space="preserve">decomposition</w:t>
      </w:r>
      <w:r>
        <w:t xml:space="preserve"> </w:t>
      </w:r>
      <w:r>
        <w:t xml:space="preserve">— and finds fragmentation is necessary but</w:t>
      </w:r>
      <w:r>
        <w:t xml:space="preserve"> </w:t>
      </w:r>
      <w:r>
        <w:rPr>
          <w:bCs/>
          <w:b/>
        </w:rPr>
        <w:t xml:space="preserve">not sufficient</w:t>
      </w:r>
      <w:r>
        <w:t xml:space="preserve">.</w:t>
      </w:r>
    </w:p>
    <w:bookmarkEnd w:id="26"/>
    <w:bookmarkStart w:id="27" w:name="Xdaadc7078d12d4e09257c9a029b4a889567320f"/>
    <w:p>
      <w:pPr>
        <w:pStyle w:val="Heading3"/>
      </w:pPr>
      <w:r>
        <w:t xml:space="preserve">3.4 The matched factorial — fragmentation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novelty, but not names</w:t>
      </w:r>
    </w:p>
    <w:p>
      <w:pPr>
        <w:pStyle w:val="FirstParagraph"/>
      </w:pPr>
      <w:r>
        <w:t xml:space="preserve">The most decisive test named in iteration 1’s future work was the non-name-Greek falsifier. The first attempt</w:t>
      </w:r>
      <w:r>
        <w:t xml:space="preserve"> </w:t>
      </w:r>
      <w:r>
        <w:t xml:space="preserve">(</w:t>
      </w:r>
      <w:r>
        <w:rPr>
          <w:rStyle w:val="VerbatimChar"/>
        </w:rPr>
        <w:t xml:space="preserve">nonname_falsifier</w:t>
      </w:r>
      <w:r>
        <w:t xml:space="preserve">) compared the voces against short common Greek words and printed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name-specific</w:t>
      </w:r>
      <w:r>
        <w:rPr>
          <w:iCs/>
          <w:i/>
        </w:rPr>
        <w:t xml:space="preserve">”</w:t>
      </w:r>
      <w:r>
        <w:t xml:space="preserve"> </w:t>
      </w:r>
      <w:r>
        <w:t xml:space="preserve">— but its</w:t>
      </w:r>
      <w:r>
        <w:t xml:space="preserve"> </w:t>
      </w:r>
      <w:r>
        <w:t xml:space="preserve">cohort fragmented ~2× less than the voces (5.15 vs 10.73 Greek tokens/string)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was lexical while the voces</w:t>
      </w:r>
      <w:r>
        <w:t xml:space="preserve"> </w:t>
      </w:r>
      <w:r>
        <w:t xml:space="preserve">are asemic, so it confounded three axes and could adjudicate none (the catch is §6). We rebuilt it as a</w:t>
      </w:r>
      <w:r>
        <w:t xml:space="preserve"> </w:t>
      </w:r>
      <w:r>
        <w:rPr>
          <w:bCs/>
          <w:b/>
        </w:rPr>
        <w:t xml:space="preserve">factorial that holds Greek-token fragmentation fixed at the voces’ level (~11 tokens)</w:t>
      </w:r>
      <w:r>
        <w:t xml:space="preserve"> </w:t>
      </w:r>
      <w:r>
        <w:t xml:space="preserve">and varies one axis at</w:t>
      </w:r>
      <w:r>
        <w:t xml:space="preserve"> </w:t>
      </w:r>
      <w:r>
        <w:t xml:space="preserve">a time, with</w:t>
      </w:r>
      <w:r>
        <w:t xml:space="preserve"> </w:t>
      </w:r>
      <w:r>
        <w:rPr>
          <w:bCs/>
          <w:b/>
        </w:rPr>
        <w:t xml:space="preserve">bootstrap 95% CIs</w:t>
      </w:r>
      <w:r>
        <w:t xml:space="preserve"> </w:t>
      </w:r>
      <w:r>
        <w:t xml:space="preserve">on every gap (</w:t>
      </w:r>
      <w:r>
        <w:rPr>
          <w:rStyle w:val="VerbatimChar"/>
        </w:rPr>
        <w:t xml:space="preserve">voces_falsifier_v2_lexicality.ipynb</w:t>
      </w:r>
      <w:r>
        <w:t xml:space="preserve">). All four cohorts are</w:t>
      </w:r>
      <w:r>
        <w:t xml:space="preserve"> </w:t>
      </w:r>
      <w:r>
        <w:t xml:space="preserve">measured in one Mistral run against one pair of centroids, so the magnitudes are directly comparable.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1856"/>
        <w:gridCol w:w="371"/>
        <w:gridCol w:w="3217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Greek tok/str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deep-Greek gap [95% CI]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voces</w:t>
            </w:r>
            <w:r>
              <w:t xml:space="preserve"> </w:t>
            </w:r>
            <w:r>
              <w:t xml:space="preserve">(low-T, asemic)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+0.040</w:t>
            </w:r>
            <w:r>
              <w:t xml:space="preserve"> </w:t>
            </w:r>
            <w:r>
              <w:t xml:space="preserve">[+0.027, +0.051]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non-name, asemic, matched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+0.073</w:t>
            </w:r>
            <w:r>
              <w:t xml:space="preserve"> </w:t>
            </w:r>
            <w:r>
              <w:t xml:space="preserve">[+0.053, +0.094]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gibberish, frag-matched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non-name, lexical, matched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−0.003</w:t>
            </w:r>
            <w:r>
              <w:t xml:space="preserve"> </w:t>
            </w:r>
            <w:r>
              <w:t xml:space="preserve">[−0.015, +0.007]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meaningful</w:t>
            </w:r>
            <w:r>
              <w:t xml:space="preserve"> </w:t>
            </w:r>
            <w:r>
              <w:t xml:space="preserve">Greek, frag-matched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non-name, lexical, low-frag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−0.005</w:t>
            </w:r>
            <w:r>
              <w:t xml:space="preserve"> </w:t>
            </w:r>
            <w:r>
              <w:t xml:space="preserve">[−0.019, +0.010]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original confounded cohort</w:t>
            </w:r>
          </w:p>
        </w:tc>
      </w:tr>
    </w:tbl>
    <w:p>
      <w:pPr>
        <w:pStyle w:val="BodyText"/>
      </w:pPr>
      <w:r>
        <w:t xml:space="preserve">Three contrasts, each a single isolated axis,</w:t>
      </w:r>
      <w:r>
        <w:t xml:space="preserve"> </w:t>
      </w:r>
      <w:r>
        <w:rPr>
          <w:bCs/>
          <w:b/>
        </w:rPr>
        <w:t xml:space="preserve">all significant</w:t>
      </w:r>
      <w:r>
        <w:t xml:space="preserve"> </w:t>
      </w:r>
      <w:r>
        <w:t xml:space="preserve">(bootstrap CI on the difference excludes 0):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FRAGMENTATION</w:t>
      </w:r>
      <w:r>
        <w:t xml:space="preserve"> </w:t>
      </w:r>
      <w:r>
        <w:t xml:space="preserve">(asemic-matched − low-frag):</w:t>
      </w:r>
      <w:r>
        <w:t xml:space="preserve"> </w:t>
      </w:r>
      <w:r>
        <w:rPr>
          <w:bCs/>
          <w:b/>
        </w:rPr>
        <w:t xml:space="preserve">+0.078</w:t>
      </w:r>
      <w:r>
        <w:t xml:space="preserve"> </w:t>
      </w:r>
      <w:r>
        <w:t xml:space="preserve">[+0.053, +0.101]. Among asemic strings, going from 5</w:t>
      </w:r>
      <w:r>
        <w:t xml:space="preserve"> </w:t>
      </w:r>
      <w:r>
        <w:t xml:space="preserve">to 11 Greek tokens turns the deep gap from ~0 to +0.073.</w:t>
      </w:r>
      <w:r>
        <w:t xml:space="preserve"> </w:t>
      </w:r>
      <w:r>
        <w:rPr>
          <w:bCs/>
          <w:b/>
        </w:rPr>
        <w:t xml:space="preserve">Fragmentation is a real driver</w:t>
      </w:r>
      <w:r>
        <w:t xml:space="preserve"> </w:t>
      </w:r>
      <w:r>
        <w:t xml:space="preserve">— the cross-model</w:t>
      </w:r>
      <w:r>
        <w:t xml:space="preserve"> </w:t>
      </w:r>
      <w:r>
        <w:t xml:space="preserve">correlation (§3.3) now has a within-model demonstration, lexicality held constant.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FAMILIARITY / LEXICALITY</w:t>
      </w:r>
      <w:r>
        <w:t xml:space="preserve"> </w:t>
      </w:r>
      <w:r>
        <w:t xml:space="preserve">(asemic-matched − lexical-matched):</w:t>
      </w:r>
      <w:r>
        <w:t xml:space="preserve"> </w:t>
      </w:r>
      <w:r>
        <w:rPr>
          <w:bCs/>
          <w:b/>
        </w:rPr>
        <w:t xml:space="preserve">+0.076</w:t>
      </w:r>
      <w:r>
        <w:t xml:space="preserve"> </w:t>
      </w:r>
      <w:r>
        <w:t xml:space="preserve">[+0.053, +0.099]. At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fragmentation, asemic Greek persists deep (+0.073) but the real-word cohort does not (−0.003). A second factor</w:t>
      </w:r>
      <w:r>
        <w:t xml:space="preserve"> </w:t>
      </w:r>
      <w:r>
        <w:t xml:space="preserve">beyond fragmentation is real and co-equal in magnitude.</w:t>
      </w:r>
      <w:r>
        <w:t xml:space="preserve"> </w:t>
      </w:r>
      <w:r>
        <w:rPr>
          <w:bCs/>
          <w:b/>
        </w:rPr>
        <w:t xml:space="preserve">But this axis is a bundle, not pure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meaning.</w:t>
      </w:r>
      <w:r>
        <w:rPr>
          <w:bCs/>
          <w:b/>
        </w:rPr>
        <w:t xml:space="preserve">”</w:t>
      </w:r>
      <w:r>
        <w:t xml:space="preserve"> </w:t>
      </w:r>
      <w:r>
        <w:t xml:space="preserve">The</w:t>
      </w:r>
      <w:r>
        <w:t xml:space="preserve"> </w:t>
      </w:r>
      <w:r>
        <w:t xml:space="preserve">lexical cohort (ΦΙΛΟΣΟΦΙΑ, ΔΗΜΟΚΡΑΤΙΑ, ΑΝΘΡΩΠΟΛΟΓΙΑ…) is</w:t>
      </w:r>
      <w:r>
        <w:t xml:space="preserve"> </w:t>
      </w:r>
      <w:r>
        <w:rPr>
          <w:iCs/>
          <w:i/>
        </w:rPr>
        <w:t xml:space="preserve">meaningful, high-frequency, and cross-lingually</w:t>
      </w:r>
      <w:r>
        <w:rPr>
          <w:iCs/>
          <w:i/>
        </w:rPr>
        <w:t xml:space="preserve"> </w:t>
      </w:r>
      <w:r>
        <w:rPr>
          <w:iCs/>
          <w:i/>
        </w:rPr>
        <w:t xml:space="preserve">familiar</w:t>
      </w:r>
      <w:r>
        <w:t xml:space="preserve"> </w:t>
      </w:r>
      <w:r>
        <w:t xml:space="preserve">— international loanwords the model has seen across many languages — and also tends to receive</w:t>
      </w:r>
      <w:r>
        <w:t xml:space="preserve"> </w:t>
      </w:r>
      <w:r>
        <w:rPr>
          <w:iCs/>
          <w:i/>
        </w:rPr>
        <w:t xml:space="preserve">morphemic</w:t>
      </w:r>
      <w:r>
        <w:t xml:space="preserve"> </w:t>
      </w:r>
      <w:r>
        <w:t xml:space="preserve">subword tokens where the asemic strings get byte-fragments at the same count. So the honest name</w:t>
      </w:r>
      <w:r>
        <w:t xml:space="preserve"> </w:t>
      </w:r>
      <w:r>
        <w:t xml:space="preserve">for the factor is</w:t>
      </w:r>
      <w:r>
        <w:t xml:space="preserve"> </w:t>
      </w:r>
      <w:r>
        <w:rPr>
          <w:bCs/>
          <w:b/>
        </w:rPr>
        <w:t xml:space="preserve">novelty / unfamiliarity</w:t>
      </w:r>
      <w:r>
        <w:t xml:space="preserve"> </w:t>
      </w:r>
      <w:r>
        <w:t xml:space="preserve">(which subsumes meaninglessness, low frequency, and</w:t>
      </w:r>
      <w:r>
        <w:t xml:space="preserve"> </w:t>
      </w:r>
      <w:r>
        <w:t xml:space="preserve">morphemic-vs-byte tokenization); the experiment</w:t>
      </w:r>
      <w:r>
        <w:t xml:space="preserve"> </w:t>
      </w:r>
      <w:r>
        <w:rPr>
          <w:bCs/>
          <w:b/>
        </w:rPr>
        <w:t xml:space="preserve">cannot yet separate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meaningless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from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merely unfamiliar.</w:t>
      </w:r>
      <w:r>
        <w:rPr>
          <w:bCs/>
          <w:b/>
        </w:rPr>
        <w:t xml:space="preserve">”</w:t>
      </w:r>
      <w:r>
        <w:t xml:space="preserve"> </w:t>
      </w:r>
      <w:r>
        <w:t xml:space="preserve">The clean separation needs a</w:t>
      </w:r>
      <w:r>
        <w:t xml:space="preserve"> </w:t>
      </w:r>
      <w:r>
        <w:rPr>
          <w:iCs/>
          <w:i/>
        </w:rPr>
        <w:t xml:space="preserve">meaningful-but-unfamiliar</w:t>
      </w:r>
      <w:r>
        <w:t xml:space="preserve"> </w:t>
      </w:r>
      <w:r>
        <w:t xml:space="preserve">Greek cohort (rare/archaic words, not loanwords) — the</w:t>
      </w:r>
      <w:r>
        <w:t xml:space="preserve"> </w:t>
      </w:r>
      <w:r>
        <w:t xml:space="preserve">v3 arm owed in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NAMEHOOD</w:t>
      </w:r>
      <w:r>
        <w:t xml:space="preserve"> </w:t>
      </w:r>
      <w:r>
        <w:t xml:space="preserve">(voces − asemic-matched):</w:t>
      </w:r>
      <w:r>
        <w:t xml:space="preserve"> </w:t>
      </w:r>
      <w:r>
        <w:rPr>
          <w:bCs/>
          <w:b/>
        </w:rPr>
        <w:t xml:space="preserve">−0.033</w:t>
      </w:r>
      <w:r>
        <w:t xml:space="preserve"> </w:t>
      </w:r>
      <w:r>
        <w:t xml:space="preserve">[−0.057, −0.010]. With fragmentation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lexicality both</w:t>
      </w:r>
      <w:r>
        <w:t xml:space="preserve"> </w:t>
      </w:r>
      <w:r>
        <w:t xml:space="preserve">matched (all asemic, all ~11 tokens), the actual voces persist deep</w:t>
      </w:r>
      <w:r>
        <w:t xml:space="preserve"> </w:t>
      </w:r>
      <w:r>
        <w:rPr>
          <w:bCs/>
          <w:b/>
        </w:rPr>
        <w:t xml:space="preserve">significantly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less</w:t>
      </w:r>
      <w:r>
        <w:t xml:space="preserve"> </w:t>
      </w:r>
      <w:r>
        <w:t xml:space="preserve">than random</w:t>
      </w:r>
      <w:r>
        <w:t xml:space="preserve"> </w:t>
      </w:r>
      <w:r>
        <w:t xml:space="preserve">asemic strings.</w:t>
      </w:r>
      <w:r>
        <w:t xml:space="preserve"> </w:t>
      </w:r>
      <w:r>
        <w:rPr>
          <w:bCs/>
          <w:b/>
        </w:rPr>
        <w:t xml:space="preserve">There is no namehood effect; it is reversed.</w:t>
      </w:r>
    </w:p>
    <w:p>
      <w:pPr>
        <w:pStyle w:val="FirstParagraph"/>
      </w:pPr>
      <w:r>
        <w:t xml:space="preserve">The mechanism the factorial assembles:</w:t>
      </w:r>
      <w:r>
        <w:t xml:space="preserve"> </w:t>
      </w:r>
      <w:r>
        <w:rPr>
          <w:bCs/>
          <w:b/>
        </w:rPr>
        <w:t xml:space="preserve">the deep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name-adjacent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region is where the model parks Greek that is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both</w:t>
      </w:r>
      <w:r>
        <w:rPr>
          <w:bCs/>
          <w:b/>
        </w:rPr>
        <w:t xml:space="preserve"> </w:t>
      </w:r>
      <w:r>
        <w:rPr>
          <w:bCs/>
          <w:b/>
        </w:rPr>
        <w:t xml:space="preserve">heavily byte-fragmented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bCs/>
          <w:b/>
        </w:rPr>
        <w:t xml:space="preserve">unfamiliar</w:t>
      </w:r>
      <w:r>
        <w:t xml:space="preserve"> </w:t>
      </w:r>
      <w:r>
        <w:t xml:space="preserve">(asemic / novel / low-frequency — see the bundle caveat above).</w:t>
      </w:r>
      <w:r>
        <w:t xml:space="preserve"> </w:t>
      </w:r>
      <w:r>
        <w:t xml:space="preserve">Neither condition alone gets a string there — short asemic Greek (low-frag) does not persist; fragmented</w:t>
      </w:r>
      <w:r>
        <w:t xml:space="preserve"> </w:t>
      </w:r>
      <w:r>
        <w:rPr>
          <w:iCs/>
          <w:i/>
        </w:rPr>
        <w:t xml:space="preserve">familiar</w:t>
      </w:r>
      <w:r>
        <w:t xml:space="preserve"> </w:t>
      </w:r>
      <w:r>
        <w:t xml:space="preserve">Greek does not persist. Only fragmented, unfamiliar Greek —</w:t>
      </w:r>
      <w:r>
        <w:t xml:space="preserve"> </w:t>
      </w:r>
      <w:r>
        <w:t xml:space="preserve">“</w:t>
      </w:r>
      <w:r>
        <w:t xml:space="preserve">fragmented nonsense,</w:t>
      </w:r>
      <w:r>
        <w:t xml:space="preserve">”</w:t>
      </w:r>
      <w:r>
        <w:t xml:space="preserve"> </w:t>
      </w:r>
      <w:r>
        <w:t xml:space="preserve">with</w:t>
      </w:r>
      <w:r>
        <w:t xml:space="preserve"> </w:t>
      </w:r>
      <w:r>
        <w:rPr>
          <w:iCs/>
          <w:i/>
        </w:rPr>
        <w:t xml:space="preserve">nonsense</w:t>
      </w:r>
      <w:r>
        <w:t xml:space="preserve"> </w:t>
      </w:r>
      <w:r>
        <w:t xml:space="preserve">read as the bundle — does. And the NAMEHOOD reversal closes the loop with §3.1: the voces are not maximally alien</w:t>
      </w:r>
      <w:r>
        <w:t xml:space="preserve"> </w:t>
      </w:r>
      <w:r>
        <w:t xml:space="preserve">to the model — they are a</w:t>
      </w:r>
      <w:r>
        <w:t xml:space="preserve"> </w:t>
      </w:r>
      <w:r>
        <w:rPr>
          <w:iCs/>
          <w:i/>
        </w:rPr>
        <w:t xml:space="preserve">recognizable genre</w:t>
      </w:r>
      <w:r>
        <w:t xml:space="preserve"> </w:t>
      </w:r>
      <w:r>
        <w:t xml:space="preserve">(H1 reads their texture cleanly), so they sit marginally</w:t>
      </w:r>
      <w:r>
        <w:t xml:space="preserve"> </w:t>
      </w:r>
      <w:r>
        <w:rPr>
          <w:iCs/>
          <w:i/>
        </w:rPr>
        <w:t xml:space="preserve">below</w:t>
      </w:r>
      <w:r>
        <w:t xml:space="preserve"> </w:t>
      </w:r>
      <w:r>
        <w:t xml:space="preserve">pure random strings on exactly the novelty axis that drives the depth. The same recognizability that makes H1 a</w:t>
      </w:r>
      <w:r>
        <w:t xml:space="preserve"> </w:t>
      </w:r>
      <w:r>
        <w:t xml:space="preserve">robust positive at the surface makes the names</w:t>
      </w:r>
      <w:r>
        <w:t xml:space="preserve"> </w:t>
      </w:r>
      <w:r>
        <w:rPr>
          <w:iCs/>
          <w:i/>
        </w:rPr>
        <w:t xml:space="preserve">less</w:t>
      </w:r>
      <w:r>
        <w:t xml:space="preserve"> </w:t>
      </w:r>
      <w:r>
        <w:t xml:space="preserve">deep-fragment-adjacent than the random controls.</w:t>
      </w:r>
    </w:p>
    <w:p>
      <w:pPr>
        <w:pStyle w:val="BodyText"/>
      </w:pPr>
      <w:r>
        <w:rPr>
          <w:bCs/>
          <w:b/>
        </w:rPr>
        <w:t xml:space="preserve">Replication in a second family (Gemma-2-9B).</w:t>
      </w:r>
      <w:r>
        <w:t xml:space="preserve"> </w:t>
      </w:r>
      <w:r>
        <w:t xml:space="preserve">Re-running the identical factorial on Gemma — the model that</w:t>
      </w:r>
      <w:r>
        <w:t xml:space="preserve"> </w:t>
      </w:r>
      <w:r>
        <w:t xml:space="preserve">fragments Greek</w:t>
      </w:r>
      <w:r>
        <w:t xml:space="preserve"> </w:t>
      </w:r>
      <w:r>
        <w:rPr>
          <w:iCs/>
          <w:i/>
        </w:rPr>
        <w:t xml:space="preserve">least</w:t>
      </w:r>
      <w:r>
        <w:t xml:space="preserve"> </w:t>
      </w:r>
      <w:r>
        <w:t xml:space="preserve">(§3.3), where the cross-model deep-Greek gap was ~0 — reproduces the whole structure,</w:t>
      </w:r>
      <w:r>
        <w:t xml:space="preserve"> </w:t>
      </w:r>
      <w:r>
        <w:t xml:space="preserve">all three contrasts significant and same-signed: FRAGMENTATION +0.031 [0.016, 0.046], FAMILIARITY/LEXICALITY</w:t>
      </w:r>
      <w:r>
        <w:t xml:space="preserve"> </w:t>
      </w:r>
      <w:r>
        <w:t xml:space="preserve">+0.039 [0.028, 0.051], NAMEHOOD −0.029 [−0.044, −0.015]. The magnitudes are smaller than Mistral’s (Gemma’s</w:t>
      </w:r>
      <w:r>
        <w:t xml:space="preserve"> </w:t>
      </w:r>
      <w:r>
        <w:t xml:space="preserve">cohorts sit at ~8 Greek tokens vs Mistral’s ~11 —</w:t>
      </w:r>
      <w:r>
        <w:t xml:space="preserve"> </w:t>
      </w:r>
      <w:r>
        <w:rPr>
          <w:iCs/>
          <w:i/>
        </w:rPr>
        <w:t xml:space="preserve">consistent</w:t>
      </w:r>
      <w:r>
        <w:t xml:space="preserve"> </w:t>
      </w:r>
      <w:r>
        <w:t xml:space="preserve">with fragmentation being a driver), but the</w:t>
      </w:r>
      <w:r>
        <w:t xml:space="preserve"> </w:t>
      </w:r>
      <w:r>
        <w:t xml:space="preserve">mechanism is identical: fragmented asemic Greek persists deep (+0.030), familiar Greek does not (−0.009), and the</w:t>
      </w:r>
      <w:r>
        <w:t xml:space="preserve"> </w:t>
      </w:r>
      <w:r>
        <w:t xml:space="preserve">voces (~0) persist</w:t>
      </w:r>
      <w:r>
        <w:t xml:space="preserve"> </w:t>
      </w:r>
      <w:r>
        <w:rPr>
          <w:iCs/>
          <w:i/>
        </w:rPr>
        <w:t xml:space="preserve">less</w:t>
      </w:r>
      <w:r>
        <w:t xml:space="preserve"> </w:t>
      </w:r>
      <w:r>
        <w:t xml:space="preserve">than matched asemic non-names. So the two-factor decomposition and the namehood</w:t>
      </w:r>
      <w:r>
        <w:t xml:space="preserve"> </w:t>
      </w:r>
      <w:r>
        <w:t xml:space="preserve">reversal are</w:t>
      </w:r>
      <w:r>
        <w:t xml:space="preserve"> </w:t>
      </w:r>
      <w:r>
        <w:rPr>
          <w:bCs/>
          <w:b/>
        </w:rPr>
        <w:t xml:space="preserve">not a single-model artifact</w:t>
      </w:r>
      <w:r>
        <w:t xml:space="preserve"> </w:t>
      </w:r>
      <w:r>
        <w:t xml:space="preserve">— they hold across BPE-free SentencePiece tokenizers of 32k and</w:t>
      </w:r>
      <w:r>
        <w:t xml:space="preserve"> </w:t>
      </w:r>
      <w:r>
        <w:t xml:space="preserve">256k vocab, at opposite ends of the Greek-fragmentation range.</w:t>
      </w:r>
    </w:p>
    <w:p>
      <w:pPr>
        <w:pStyle w:val="BodyText"/>
      </w:pPr>
      <w:r>
        <w:rPr>
          <w:bCs/>
          <w:b/>
        </w:rPr>
        <w:t xml:space="preserve">Splitting the bundle: the second factor is meaning, not familiarity (Mistral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bCs/>
          <w:b/>
        </w:rPr>
        <w:t xml:space="preserve">Gemma, v3).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lexicality</w:t>
      </w:r>
      <w:r>
        <w:t xml:space="preserve">”</w:t>
      </w:r>
      <w:r>
        <w:t xml:space="preserve"> </w:t>
      </w:r>
      <w:r>
        <w:t xml:space="preserve">arm above confounds meaning with frequency/familiarity (the lexical cohort is high-frequency</w:t>
      </w:r>
      <w:r>
        <w:t xml:space="preserve"> </w:t>
      </w:r>
      <w:r>
        <w:t xml:space="preserve">international loanwords). A v3 factorial splits them: a real-Greek pool divided by the</w:t>
      </w:r>
      <w:r>
        <w:t xml:space="preserve"> </w:t>
      </w:r>
      <w:r>
        <w:rPr>
          <w:iCs/>
          <w:i/>
        </w:rPr>
        <w:t xml:space="preserve">model’s own surprisal</w:t>
      </w:r>
      <w:r>
        <w:t xml:space="preserve"> </w:t>
      </w:r>
      <w:r>
        <w:t xml:space="preserve">into a FAMILIAR (low-surprisal) and an UNFAMILIAR (high-surprisal) half — both meaningful, both</w:t>
      </w:r>
      <w:r>
        <w:t xml:space="preserve"> </w:t>
      </w:r>
      <w:r>
        <w:t xml:space="preserve">fragmentation-matched — with asemic cohorts regenerated across 5 seeds.</w:t>
      </w:r>
      <w:r>
        <w:t xml:space="preserve"> </w:t>
      </w:r>
      <w:r>
        <w:rPr>
          <w:bCs/>
          <w:b/>
        </w:rPr>
        <w:t xml:space="preserve">Both models give the same answer on</w:t>
      </w:r>
      <w:r>
        <w:rPr>
          <w:bCs/>
          <w:b/>
        </w:rPr>
        <w:t xml:space="preserve"> </w:t>
      </w:r>
      <w:r>
        <w:rPr>
          <w:bCs/>
          <w:b/>
        </w:rPr>
        <w:t xml:space="preserve">every axis</w:t>
      </w:r>
      <w:r>
        <w:t xml:space="preserve"> </w:t>
      </w:r>
      <w:r>
        <w:t xml:space="preserve">(bootstrap CIs throughout):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contrast (v3)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+0.067 [0.050, 0.083]</w:t>
            </w:r>
            <w:r>
              <w:t xml:space="preserve"> </w:t>
            </w:r>
            <w:r>
              <w:rPr>
                <w:bCs/>
                <w:b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+0.018 [0.005, 0.031]</w:t>
            </w:r>
            <w:r>
              <w:t xml:space="preserve"> </w:t>
            </w:r>
            <w:r>
              <w:rPr>
                <w:bCs/>
                <w:b/>
              </w:rPr>
              <w:t xml:space="preserve">sig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FAMILIARITY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+0.016 [−0.010, 0.042]</w:t>
            </w:r>
            <w:r>
              <w:t xml:space="preserve"> </w:t>
            </w:r>
            <w:r>
              <w:rPr>
                <w:bCs/>
                <w:b/>
              </w:rPr>
              <w:t xml:space="preserve">n.s.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−0.002 [−0.016, 0.013]</w:t>
            </w:r>
            <w:r>
              <w:t xml:space="preserve"> </w:t>
            </w:r>
            <w:r>
              <w:rPr>
                <w:bCs/>
                <w:b/>
              </w:rPr>
              <w:t xml:space="preserve">n.s.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+0.051 [0.025, 0.076]</w:t>
            </w:r>
            <w:r>
              <w:t xml:space="preserve"> </w:t>
            </w:r>
            <w:r>
              <w:rPr>
                <w:bCs/>
                <w:b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+0.020 [0.009, 0.031]</w:t>
            </w:r>
            <w:r>
              <w:t xml:space="preserve"> </w:t>
            </w:r>
            <w:r>
              <w:rPr>
                <w:bCs/>
                <w:b/>
              </w:rPr>
              <w:t xml:space="preserve">sig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NAMEHOOD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−0.033 [−0.047, −0.018]</w:t>
            </w:r>
            <w:r>
              <w:t xml:space="preserve"> </w:t>
            </w:r>
            <w:r>
              <w:rPr>
                <w:bCs/>
                <w:b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−0.029 [−0.044, −0.011]</w:t>
            </w:r>
            <w:r>
              <w:t xml:space="preserve"> </w:t>
            </w:r>
            <w:r>
              <w:rPr>
                <w:bCs/>
                <w:b/>
              </w:rPr>
              <w:t xml:space="preserve">sig</w:t>
            </w:r>
          </w:p>
        </w:tc>
      </w:tr>
    </w:tbl>
    <w:p>
      <w:pPr>
        <w:pStyle w:val="BodyText"/>
      </w:pPr>
      <w:r>
        <w:t xml:space="preserve">So</w:t>
      </w:r>
      <w:r>
        <w:t xml:space="preserve"> </w:t>
      </w:r>
      <w:r>
        <w:rPr>
          <w:bCs/>
          <w:b/>
        </w:rPr>
        <w:t xml:space="preserve">the second driver is meaninglessness, not frequency or familiarity</w:t>
      </w:r>
      <w:r>
        <w:t xml:space="preserve"> </w:t>
      </w:r>
      <w:r>
        <w:t xml:space="preserve">— among meaningful Greek words,</w:t>
      </w:r>
      <w:r>
        <w:t xml:space="preserve"> </w:t>
      </w:r>
      <w:r>
        <w:t xml:space="preserve">familiar and unfamiliar persist equally (the FAMILIARITY contrast is null in both models); only</w:t>
      </w:r>
      <w:r>
        <w:t xml:space="preserve"> </w:t>
      </w:r>
      <w:r>
        <w:rPr>
          <w:iCs/>
          <w:i/>
        </w:rPr>
        <w:t xml:space="preserve">meaningless</w:t>
      </w:r>
      <w:r>
        <w:t xml:space="preserve"> </w:t>
      </w:r>
      <w:r>
        <w:t xml:space="preserve">asemic Greek persists (the MEANING contrast is significant in both). The bundle resolves to</w:t>
      </w:r>
      <w:r>
        <w:t xml:space="preserve"> </w:t>
      </w:r>
      <w:r>
        <w:rPr>
          <w:iCs/>
          <w:i/>
        </w:rPr>
        <w:t xml:space="preserve">meaning</w:t>
      </w:r>
      <w:r>
        <w:t xml:space="preserve"> </w:t>
      </w:r>
      <w:r>
        <w:t xml:space="preserve">once the</w:t>
      </w:r>
      <w:r>
        <w:t xml:space="preserve"> </w:t>
      </w:r>
      <w:r>
        <w:t xml:space="preserve">model’s own surprisal controls for familiarity, and it does so in two tokenizer families at opposite ends of the</w:t>
      </w:r>
      <w:r>
        <w:t xml:space="preserve"> </w:t>
      </w:r>
      <w:r>
        <w:t xml:space="preserve">fragmentation range. The asemic deep gap is also stable across the 5 seeds (sd 0.008 Mistral / 0.002 Gemma),</w:t>
      </w:r>
      <w:r>
        <w:t xml:space="preserve"> </w:t>
      </w:r>
      <w:r>
        <w:t xml:space="preserve">closing the single-draw concern.</w:t>
      </w:r>
    </w:p>
    <w:p>
      <w:pPr>
        <w:pStyle w:val="BodyText"/>
      </w:pPr>
      <w:r>
        <w:t xml:space="preserve">One refinement v3’s</w:t>
      </w:r>
      <w:r>
        <w:t xml:space="preserve"> </w:t>
      </w:r>
      <w:r>
        <w:rPr>
          <w:iCs/>
          <w:i/>
        </w:rPr>
        <w:t xml:space="preserve">absolute</w:t>
      </w:r>
      <w:r>
        <w:t xml:space="preserve"> </w:t>
      </w:r>
      <w:r>
        <w:t xml:space="preserve">(un-subtracted) Greek name-likeness adds: meaningful Greek is deep-name-like in</w:t>
      </w:r>
      <w:r>
        <w:t xml:space="preserve"> </w:t>
      </w:r>
      <w:r>
        <w:rPr>
          <w:iCs/>
          <w:i/>
        </w:rPr>
        <w:t xml:space="preserve">both</w:t>
      </w:r>
      <w:r>
        <w:t xml:space="preserve"> </w:t>
      </w:r>
      <w:r>
        <w:t xml:space="preserve">scripts (familiar +0.077, unfamiliar +0.064 absolute) —</w:t>
      </w:r>
      <w:r>
        <w:t xml:space="preserve"> </w:t>
      </w:r>
      <w:r>
        <w:rPr>
          <w:iCs/>
          <w:i/>
        </w:rPr>
        <w:t xml:space="preserve">more</w:t>
      </w:r>
      <w:r>
        <w:t xml:space="preserve"> </w:t>
      </w:r>
      <w:r>
        <w:t xml:space="preserve">than the voces (+0.011) — so its Greek</w:t>
      </w:r>
      <w:r>
        <w:t xml:space="preserve"> </w:t>
      </w:r>
      <w:r>
        <w:rPr>
          <w:iCs/>
          <w:i/>
        </w:rPr>
        <w:t xml:space="preserve">minus</w:t>
      </w:r>
      <w:r>
        <w:t xml:space="preserve"> </w:t>
      </w:r>
      <w:r>
        <w:t xml:space="preserve">Latin gap is ~0 because recognition shows in both renderings, not because it is un-name-like. The</w:t>
      </w:r>
      <w:r>
        <w:t xml:space="preserve"> </w:t>
      </w:r>
      <w:r>
        <w:t xml:space="preserve">deep-Greek</w:t>
      </w:r>
      <w:r>
        <w:t xml:space="preserve"> </w:t>
      </w:r>
      <w:r>
        <w:rPr>
          <w:iCs/>
          <w:i/>
        </w:rPr>
        <w:t xml:space="preserve">gap</w:t>
      </w:r>
      <w:r>
        <w:t xml:space="preserve"> </w:t>
      </w:r>
      <w:r>
        <w:t xml:space="preserve">is therefore a</w:t>
      </w:r>
      <w:r>
        <w:t xml:space="preserve"> </w:t>
      </w:r>
      <w:r>
        <w:rPr>
          <w:bCs/>
          <w:b/>
        </w:rPr>
        <w:t xml:space="preserve">script-asymmetry</w:t>
      </w:r>
      <w:r>
        <w:t xml:space="preserve"> </w:t>
      </w:r>
      <w:r>
        <w:t xml:space="preserve">measure: it is large only when the Greek rendering drifts</w:t>
      </w:r>
      <w:r>
        <w:t xml:space="preserve"> </w:t>
      </w:r>
      <w:r>
        <w:t xml:space="preserve">name-adjacent in a way the Latin does not — i.e. for a heavily-fragmented,</w:t>
      </w:r>
      <w:r>
        <w:t xml:space="preserve"> </w:t>
      </w:r>
      <w:r>
        <w:rPr>
          <w:iCs/>
          <w:i/>
        </w:rPr>
        <w:t xml:space="preserve">unrecognized</w:t>
      </w:r>
      <w:r>
        <w:t xml:space="preserve"> </w:t>
      </w:r>
      <w:r>
        <w:t xml:space="preserve">(meaningless) string.</w:t>
      </w:r>
      <w:r>
        <w:t xml:space="preserve"> </w:t>
      </w:r>
      <w:r>
        <w:t xml:space="preserve">Recognition collapses the asymmetry. That is the same H1↔depth coupling, now visible in the magnitudes: what</w:t>
      </w:r>
      <w:r>
        <w:t xml:space="preserve"> </w:t>
      </w:r>
      <w:r>
        <w:t xml:space="preserve">makes a string recognizable (in either script) is what keeps it off the deep-fragmentation peak.</w:t>
      </w:r>
    </w:p>
    <w:p>
      <w:pPr>
        <w:pStyle w:val="BodyText"/>
      </w:pPr>
      <w:r>
        <w:t xml:space="preserve">So §3.4 does what §3.3 could not: it shows fragmentation is necessary-but-not-sufficient, names the second factor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meaninglessness</w:t>
      </w:r>
      <w:r>
        <w:t xml:space="preserve"> </w:t>
      </w:r>
      <w:r>
        <w:t xml:space="preserve">(the v3 split rules out frequency/familiarity in both models), and rules namehood out —</w:t>
      </w:r>
      <w:r>
        <w:t xml:space="preserve"> </w:t>
      </w:r>
      <w:r>
        <w:t xml:space="preserve">not as an undetected null, but as a</w:t>
      </w:r>
      <w:r>
        <w:t xml:space="preserve"> </w:t>
      </w:r>
      <w:r>
        <w:rPr>
          <w:iCs/>
          <w:i/>
        </w:rPr>
        <w:t xml:space="preserve">measured reversal</w:t>
      </w:r>
      <w:r>
        <w:t xml:space="preserve">. (Caveats: the non-name arms are n≈28–34;</w:t>
      </w:r>
      <w:r>
        <w:t xml:space="preserve"> </w:t>
      </w:r>
      <w:r>
        <w:t xml:space="preserve">“</w:t>
      </w:r>
      <w:r>
        <w:t xml:space="preserve">meaning</w:t>
      </w:r>
      <w:r>
        <w:t xml:space="preserve">”</w:t>
      </w:r>
      <w:r>
        <w:t xml:space="preserve"> </w:t>
      </w:r>
      <w:r>
        <w:t xml:space="preserve">co-travels with byte-vs-morphemic tokenization (§5); the name-likeness metric, the deep-band, and the</w:t>
      </w:r>
      <w:r>
        <w:t xml:space="preserve"> </w:t>
      </w:r>
      <w:r>
        <w:t xml:space="preserve">single-seed cohorts are all limitations §5 lists.)</w:t>
      </w:r>
    </w:p>
    <w:bookmarkEnd w:id="27"/>
    <w:bookmarkEnd w:id="28"/>
    <w:bookmarkStart w:id="30" w:name="what-the-model-does-and-the-bound-on-it"/>
    <w:p>
      <w:pPr>
        <w:pStyle w:val="Heading2"/>
      </w:pPr>
      <w:r>
        <w:t xml:space="preserve">4. What the model does — and the bound on it</w:t>
      </w:r>
    </w:p>
    <w:p>
      <w:pPr>
        <w:pStyle w:val="FirstParagraph"/>
      </w:pPr>
      <w:r>
        <w:t xml:space="preserve">The affirmative result first, because it is the result: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The model recognizes the texture of a barbarous name (H1): yes, robustly.</w:t>
      </w:r>
      <w:r>
        <w:t xml:space="preserve"> </w:t>
      </w:r>
      <w:r>
        <w:t xml:space="preserve">Linearly separable from</w:t>
      </w:r>
      <w:r>
        <w:t xml:space="preserve"> </w:t>
      </w:r>
      <w:r>
        <w:t xml:space="preserve">token-matched nonsense at the early layers, far above a frequency baseline, across three tokenizer families.</w:t>
      </w:r>
      <w:r>
        <w:t xml:space="preserve"> </w:t>
      </w:r>
      <w:r>
        <w:rPr>
          <w:iCs/>
          <w:i/>
        </w:rPr>
        <w:t xml:space="preserve">Texture-recognition is a transformer property.</w:t>
      </w:r>
      <w:r>
        <w:t xml:space="preserve"> </w:t>
      </w:r>
      <w:r>
        <w:t xml:space="preserve">The form the magicians located their power in is a real,</w:t>
      </w:r>
      <w:r>
        <w:t xml:space="preserve"> </w:t>
      </w:r>
      <w:r>
        <w:t xml:space="preserve">perceptible category, and a pure form-processor perceives it. This is stated without a hedge.</w:t>
      </w:r>
    </w:p>
    <w:p>
      <w:pPr>
        <w:pStyle w:val="BodyText"/>
      </w:pPr>
      <w:r>
        <w:t xml:space="preserve">And the bound that makes</w:t>
      </w:r>
      <w:r>
        <w:t xml:space="preserve"> </w:t>
      </w:r>
      <w:r>
        <w:t xml:space="preserve">“</w:t>
      </w:r>
      <w:r>
        <w:t xml:space="preserve">recognizes the texture</w:t>
      </w:r>
      <w:r>
        <w:t xml:space="preserve">”</w:t>
      </w:r>
      <w:r>
        <w:t xml:space="preserve"> </w:t>
      </w:r>
      <w:r>
        <w:t xml:space="preserve">precise: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The recognition is surface, not aboutness.</w:t>
      </w:r>
      <w:r>
        <w:t xml:space="preserve"> </w:t>
      </w:r>
      <w:r>
        <w:t xml:space="preserve">It is read off the early layers and does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deepen into a</w:t>
      </w:r>
      <w:r>
        <w:t xml:space="preserve"> </w:t>
      </w:r>
      <w:r>
        <w:t xml:space="preserve">representation of the voces</w:t>
      </w:r>
      <w:r>
        <w:t xml:space="preserve"> </w:t>
      </w:r>
      <w:r>
        <w:rPr>
          <w:iCs/>
          <w:i/>
        </w:rPr>
        <w:t xml:space="preserve">as names</w:t>
      </w:r>
      <w:r>
        <w:t xml:space="preserve">: the decider is null in 2 of 3 families, and where the test is cleanest</w:t>
      </w:r>
      <w:r>
        <w:t xml:space="preserve"> </w:t>
      </w:r>
      <w:r>
        <w:t xml:space="preserve">the voces persist deep</w:t>
      </w:r>
      <w:r>
        <w:t xml:space="preserve"> </w:t>
      </w:r>
      <w:r>
        <w:rPr>
          <w:iCs/>
          <w:i/>
        </w:rPr>
        <w:t xml:space="preserve">less</w:t>
      </w:r>
      <w:r>
        <w:t xml:space="preserve"> </w:t>
      </w:r>
      <w:r>
        <w:t xml:space="preserve">than matched noise (§3.4). The model registers the</w:t>
      </w:r>
      <w:r>
        <w:t xml:space="preserve"> </w:t>
      </w:r>
      <w:r>
        <w:rPr>
          <w:iCs/>
          <w:i/>
        </w:rPr>
        <w:t xml:space="preserve">form</w:t>
      </w:r>
      <w:r>
        <w:t xml:space="preserve">; it does not hold the</w:t>
      </w:r>
      <w:r>
        <w:t xml:space="preserve"> </w:t>
      </w:r>
      <w:r>
        <w:rPr>
          <w:iCs/>
          <w:i/>
        </w:rPr>
        <w:t xml:space="preserve">name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The deep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Greek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effect was the tokenizer, not the spell.</w:t>
      </w:r>
      <w:r>
        <w:t xml:space="preserve"> </w:t>
      </w:r>
      <w:r>
        <w:t xml:space="preserve">Iteration 1’s</w:t>
      </w:r>
      <w:r>
        <w:t xml:space="preserve"> </w:t>
      </w:r>
      <w:r>
        <w:t xml:space="preserve">“</w:t>
      </w:r>
      <w:r>
        <w:t xml:space="preserve">the grain runs deeper in Greek</w:t>
      </w:r>
      <w:r>
        <w:t xml:space="preserve">”</w:t>
      </w:r>
      <w:r>
        <w:t xml:space="preserve"> </w:t>
      </w:r>
      <w:r>
        <w:t xml:space="preserve">decomposes (§3.3 across models, §3.4 within Mistral and Gemma) into</w:t>
      </w:r>
      <w:r>
        <w:t xml:space="preserve"> </w:t>
      </w:r>
      <w:r>
        <w:rPr>
          <w:bCs/>
          <w:b/>
        </w:rPr>
        <w:t xml:space="preserve">byte-fragmentation + meaninglessness</w:t>
      </w:r>
      <w:r>
        <w:t xml:space="preserve"> </w:t>
      </w:r>
      <w:r>
        <w:t xml:space="preserve">—</w:t>
      </w:r>
      <w:r>
        <w:t xml:space="preserve"> </w:t>
      </w:r>
      <w:r>
        <w:t xml:space="preserve">the deep region holds Greek that is both over-fragmented and meaning-less, and the voces sit just</w:t>
      </w:r>
      <w:r>
        <w:t xml:space="preserve"> </w:t>
      </w:r>
      <w:r>
        <w:rPr>
          <w:iCs/>
          <w:i/>
        </w:rPr>
        <w:t xml:space="preserve">below</w:t>
      </w:r>
      <w:r>
        <w:t xml:space="preserve"> </w:t>
      </w:r>
      <w:r>
        <w:t xml:space="preserve">pure</w:t>
      </w:r>
      <w:r>
        <w:t xml:space="preserve"> </w:t>
      </w:r>
      <w:r>
        <w:t xml:space="preserve">noise there because they are recognizable. The</w:t>
      </w:r>
      <w:r>
        <w:t xml:space="preserve"> </w:t>
      </w:r>
      <w:r>
        <w:t xml:space="preserve">“</w:t>
      </w:r>
      <w:r>
        <w:t xml:space="preserve">depth</w:t>
      </w:r>
      <w:r>
        <w:t xml:space="preserve">”</w:t>
      </w:r>
      <w:r>
        <w:t xml:space="preserve"> </w:t>
      </w:r>
      <w:r>
        <w:t xml:space="preserve">that looked like aboutness was form-processing of</w:t>
      </w:r>
      <w:r>
        <w:t xml:space="preserve"> </w:t>
      </w:r>
      <w:r>
        <w:t xml:space="preserve">shredded script.</w:t>
      </w:r>
    </w:p>
    <w:p>
      <w:pPr>
        <w:pStyle w:val="BodyText"/>
      </w:pPr>
      <w:r>
        <w:t xml:space="preserve">So the study’s own title resolves:</w:t>
      </w:r>
      <w:r>
        <w:t xml:space="preserve"> </w:t>
      </w:r>
      <w:r>
        <w:rPr>
          <w:bCs/>
          <w:b/>
        </w:rPr>
        <w:t xml:space="preserve">it’s the script (the model recognizes the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form</w:t>
      </w:r>
      <w:r>
        <w:rPr>
          <w:bCs/>
          <w:b/>
        </w:rPr>
        <w:t xml:space="preserve">, cleanly and generally) —</w:t>
      </w:r>
      <w:r>
        <w:rPr>
          <w:bCs/>
          <w:b/>
        </w:rPr>
        <w:t xml:space="preserve"> </w:t>
      </w:r>
      <w:r>
        <w:rPr>
          <w:bCs/>
          <w:b/>
        </w:rPr>
        <w:t xml:space="preserve">not the spell (it holds no deep representation of the voces as names) — and the depth that confused the two was</w:t>
      </w:r>
      <w:r>
        <w:rPr>
          <w:bCs/>
          <w:b/>
        </w:rPr>
        <w:t xml:space="preserve"> </w:t>
      </w:r>
      <w:r>
        <w:rPr>
          <w:bCs/>
          <w:b/>
        </w:rPr>
        <w:t xml:space="preserve">the tokenizer.</w:t>
      </w:r>
      <w:r>
        <w:t xml:space="preserve"> </w:t>
      </w:r>
      <w:r>
        <w:t xml:space="preserve">Iteration 1’s incidental side-finding is now a decomposed two-factor</w:t>
      </w:r>
      <w:r>
        <w:t xml:space="preserve"> </w:t>
      </w:r>
      <w:r>
        <w:t xml:space="preserve">mechanism with a null where the romance lived — and the affirmative finding it always rode beside, the texture</w:t>
      </w:r>
      <w:r>
        <w:t xml:space="preserve"> </w:t>
      </w:r>
      <w:r>
        <w:t xml:space="preserve">recognition, stands clearer for having the depth explained out from under it.</w:t>
      </w:r>
    </w:p>
    <w:bookmarkStart w:id="29" w:name="recognition-without-representation"/>
    <w:p>
      <w:pPr>
        <w:pStyle w:val="Heading3"/>
      </w:pPr>
      <w:r>
        <w:t xml:space="preserve">4.5 Recognition without representation</w:t>
      </w:r>
    </w:p>
    <w:p>
      <w:pPr>
        <w:pStyle w:val="FirstParagraph"/>
      </w:pPr>
      <w:r>
        <w:t xml:space="preserve">The two load-bearing results point in apparently opposite directions, and the tension is only apparent.</w:t>
      </w:r>
      <w:r>
        <w:t xml:space="preserve"> </w:t>
      </w:r>
      <w:r>
        <w:rPr>
          <w:bCs/>
          <w:b/>
        </w:rPr>
        <w:t xml:space="preserve">H1 is</w:t>
      </w:r>
      <w:r>
        <w:rPr>
          <w:bCs/>
          <w:b/>
        </w:rPr>
        <w:t xml:space="preserve"> </w:t>
      </w:r>
      <w:r>
        <w:rPr>
          <w:bCs/>
          <w:b/>
        </w:rPr>
        <w:t xml:space="preserve">positive: the model recognizes barbarous-name-</w:t>
      </w:r>
      <w:r>
        <w:rPr>
          <w:iCs/>
          <w:i/>
          <w:bCs/>
          <w:b/>
        </w:rPr>
        <w:t xml:space="preserve">ness</w:t>
      </w:r>
      <w:r>
        <w:rPr>
          <w:bCs/>
          <w:b/>
        </w:rPr>
        <w:t xml:space="preserve">.</w:t>
      </w:r>
      <w:r>
        <w:t xml:space="preserve"> </w:t>
      </w:r>
      <w:r>
        <w:rPr>
          <w:bCs/>
          <w:b/>
        </w:rPr>
        <w:t xml:space="preserve">The decider is null: the model holds no deep</w:t>
      </w:r>
      <w:r>
        <w:rPr>
          <w:bCs/>
          <w:b/>
        </w:rPr>
        <w:t xml:space="preserve"> </w:t>
      </w:r>
      <w:r>
        <w:rPr>
          <w:bCs/>
          <w:b/>
        </w:rPr>
        <w:t xml:space="preserve">representation of a barbarous name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as a name</w:t>
      </w:r>
      <w:r>
        <w:rPr>
          <w:bCs/>
          <w:b/>
        </w:rPr>
        <w:t xml:space="preserve">.</w:t>
      </w:r>
      <w:r>
        <w:t xml:space="preserve"> </w:t>
      </w:r>
      <w:r>
        <w:t xml:space="preserve">Stated as a contradiction, that reads as</w:t>
      </w:r>
      <w:r>
        <w:t xml:space="preserve"> </w:t>
      </w:r>
      <w:r>
        <w:t xml:space="preserve">“</w:t>
      </w:r>
      <w:r>
        <w:t xml:space="preserve">it knows them and it</w:t>
      </w:r>
      <w:r>
        <w:t xml:space="preserve"> </w:t>
      </w:r>
      <w:r>
        <w:t xml:space="preserve">doesn’t.</w:t>
      </w:r>
      <w:r>
        <w:t xml:space="preserve">”</w:t>
      </w:r>
      <w:r>
        <w:t xml:space="preserve"> </w:t>
      </w:r>
      <w:r>
        <w:t xml:space="preserve">Stated precisely, it names a category the empirics have been circling all along —</w:t>
      </w:r>
      <w:r>
        <w:t xml:space="preserve"> </w:t>
      </w:r>
      <w:r>
        <w:rPr>
          <w:bCs/>
          <w:b/>
        </w:rPr>
        <w:t xml:space="preserve">recognition</w:t>
      </w:r>
      <w:r>
        <w:rPr>
          <w:bCs/>
          <w:b/>
        </w:rPr>
        <w:t xml:space="preserve"> </w:t>
      </w:r>
      <w:r>
        <w:rPr>
          <w:bCs/>
          <w:b/>
        </w:rPr>
        <w:t xml:space="preserve">without representation.</w:t>
      </w:r>
    </w:p>
    <w:p>
      <w:pPr>
        <w:pStyle w:val="BodyText"/>
      </w:pPr>
      <w:r>
        <w:t xml:space="preserve">The distinction is worth making sharp, because the two words are usually run together.</w:t>
      </w:r>
      <w:r>
        <w:t xml:space="preserve"> </w:t>
      </w:r>
      <w:r>
        <w:rPr>
          <w:iCs/>
          <w:i/>
        </w:rPr>
        <w:t xml:space="preserve">Recognition</w:t>
      </w:r>
      <w:r>
        <w:t xml:space="preserve">, as we</w:t>
      </w:r>
      <w:r>
        <w:t xml:space="preserve"> </w:t>
      </w:r>
      <w:r>
        <w:t xml:space="preserve">measure it, is a discriminative signature: a classifier can separate the voces from token-matched nonsense from</w:t>
      </w:r>
      <w:r>
        <w:t xml:space="preserve"> </w:t>
      </w:r>
      <w:r>
        <w:t xml:space="preserve">the early-layer activations (H1). It is</w:t>
      </w:r>
      <w:r>
        <w:t xml:space="preserve"> </w:t>
      </w:r>
      <w:r>
        <w:rPr>
          <w:iCs/>
          <w:i/>
        </w:rPr>
        <w:t xml:space="preserve">recognition-that</w:t>
      </w:r>
      <w:r>
        <w:t xml:space="preserve"> </w:t>
      </w:r>
      <w:r>
        <w:t xml:space="preserve">— that this string is of the barbarous-name kind — and</w:t>
      </w:r>
      <w:r>
        <w:t xml:space="preserve"> </w:t>
      </w:r>
      <w:r>
        <w:t xml:space="preserve">it is read off the surface, on sight, without anything further being built.</w:t>
      </w:r>
      <w:r>
        <w:t xml:space="preserve"> </w:t>
      </w:r>
      <w:r>
        <w:rPr>
          <w:iCs/>
          <w:i/>
        </w:rPr>
        <w:t xml:space="preserve">Representation</w:t>
      </w:r>
      <w:r>
        <w:t xml:space="preserve">, as the decider</w:t>
      </w:r>
      <w:r>
        <w:t xml:space="preserve"> </w:t>
      </w:r>
      <w:r>
        <w:t xml:space="preserve">probes for it, is a held, content-bearing deep state: a place where the network would carry the voces</w:t>
      </w:r>
      <w:r>
        <w:t xml:space="preserve"> </w:t>
      </w:r>
      <w:r>
        <w:rPr>
          <w:iCs/>
          <w:i/>
        </w:rPr>
        <w:t xml:space="preserve">as</w:t>
      </w:r>
      <w:r>
        <w:rPr>
          <w:iCs/>
          <w:i/>
        </w:rPr>
        <w:t xml:space="preserve"> </w:t>
      </w:r>
      <w:r>
        <w:rPr>
          <w:iCs/>
          <w:i/>
        </w:rPr>
        <w:t xml:space="preserve">names-of-power</w:t>
      </w:r>
      <w:r>
        <w:t xml:space="preserve">, distinguishably from fragmentation-matched controls, into the layers where abstraction lives. It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representation-of</w:t>
      </w:r>
      <w:r>
        <w:t xml:space="preserve"> </w:t>
      </w:r>
      <w:r>
        <w:t xml:space="preserve">— a what, not just a that.</w:t>
      </w:r>
      <w:r>
        <w:t xml:space="preserve"> </w:t>
      </w:r>
      <w:r>
        <w:rPr>
          <w:bCs/>
          <w:b/>
        </w:rPr>
        <w:t xml:space="preserve">The model has the first and not the second.</w:t>
      </w:r>
      <w:r>
        <w:t xml:space="preserve"> </w:t>
      </w:r>
      <w:r>
        <w:t xml:space="preserve">It recognizes</w:t>
      </w:r>
      <w:r>
        <w:t xml:space="preserve"> </w:t>
      </w:r>
      <w:r>
        <w:t xml:space="preserve">the category without ever representing a member of it as the thing the category is named for; and §3.4 shows it</w:t>
      </w:r>
      <w:r>
        <w:t xml:space="preserve"> </w:t>
      </w:r>
      <w:r>
        <w:t xml:space="preserve">does not even hold them as</w:t>
      </w:r>
      <w:r>
        <w:t xml:space="preserve"> </w:t>
      </w:r>
      <w:r>
        <w:rPr>
          <w:iCs/>
          <w:i/>
        </w:rPr>
        <w:t xml:space="preserve">special</w:t>
      </w:r>
      <w:r>
        <w:t xml:space="preserve"> </w:t>
      </w:r>
      <w:r>
        <w:t xml:space="preserve">down there — at matched fragmentation the voces sit</w:t>
      </w:r>
      <w:r>
        <w:t xml:space="preserve"> </w:t>
      </w:r>
      <w:r>
        <w:rPr>
          <w:iCs/>
          <w:i/>
        </w:rPr>
        <w:t xml:space="preserve">below</w:t>
      </w:r>
      <w:r>
        <w:t xml:space="preserve"> </w:t>
      </w:r>
      <w:r>
        <w:t xml:space="preserve">the noise,</w:t>
      </w:r>
      <w:r>
        <w:t xml:space="preserve"> </w:t>
      </w:r>
      <w:r>
        <w:t xml:space="preserve">precisely because recognition (which fires in both scripts, for anything name-textured) pulls them off the</w:t>
      </w:r>
      <w:r>
        <w:t xml:space="preserve"> </w:t>
      </w:r>
      <w:r>
        <w:t xml:space="preserve">deep-fragmentation peak that pure-novelty occupies.</w:t>
      </w:r>
    </w:p>
    <w:p>
      <w:pPr>
        <w:pStyle w:val="BodyText"/>
      </w:pPr>
      <w:r>
        <w:t xml:space="preserve">This is not a deficiency of the model; it is a</w:t>
      </w:r>
      <w:r>
        <w:t xml:space="preserve"> </w:t>
      </w:r>
      <w:r>
        <w:rPr>
          <w:iCs/>
          <w:i/>
        </w:rPr>
        <w:t xml:space="preserve">kind</w:t>
      </w:r>
      <w:r>
        <w:t xml:space="preserve"> </w:t>
      </w:r>
      <w:r>
        <w:t xml:space="preserve">of knowing, and a common one. It is the structure of</w:t>
      </w:r>
      <w:r>
        <w:t xml:space="preserve"> </w:t>
      </w:r>
      <w:r>
        <w:t xml:space="preserve">face-detection that registers</w:t>
      </w:r>
      <w:r>
        <w:t xml:space="preserve"> </w:t>
      </w:r>
      <w:r>
        <w:rPr>
          <w:iCs/>
          <w:i/>
        </w:rPr>
        <w:t xml:space="preserve">a face</w:t>
      </w:r>
      <w:r>
        <w:t xml:space="preserve"> </w:t>
      </w:r>
      <w:r>
        <w:t xml:space="preserve">before any identity is bound; of hearing</w:t>
      </w:r>
      <w:r>
        <w:t xml:space="preserve"> </w:t>
      </w:r>
      <w:r>
        <w:rPr>
          <w:iCs/>
          <w:i/>
        </w:rPr>
        <w:t xml:space="preserve">a sonnet</w:t>
      </w:r>
      <w:r>
        <w:t xml:space="preserve"> </w:t>
      </w:r>
      <w:r>
        <w:t xml:space="preserve">by its cadence before</w:t>
      </w:r>
      <w:r>
        <w:t xml:space="preserve"> </w:t>
      </w:r>
      <w:r>
        <w:t xml:space="preserve">parsing a line; of knowing a friend’s handwriting as theirs without reading the word. Each is genuine</w:t>
      </w:r>
      <w:r>
        <w:t xml:space="preserve"> </w:t>
      </w:r>
      <w:r>
        <w:t xml:space="preserve">recognition with no semantic representation underneath —</w:t>
      </w:r>
      <w:r>
        <w:t xml:space="preserve"> </w:t>
      </w:r>
      <w:r>
        <w:rPr>
          <w:iCs/>
          <w:i/>
        </w:rPr>
        <w:t xml:space="preserve">knowing-that without knowing-what.</w:t>
      </w:r>
      <w:r>
        <w:t xml:space="preserve"> </w:t>
      </w:r>
      <w:r>
        <w:t xml:space="preserve">The voces are an</w:t>
      </w:r>
      <w:r>
        <w:t xml:space="preserve"> </w:t>
      </w:r>
      <w:r>
        <w:t xml:space="preserve">unusually clean instance because they are</w:t>
      </w:r>
      <w:r>
        <w:t xml:space="preserve"> </w:t>
      </w:r>
      <w:r>
        <w:rPr>
          <w:iCs/>
          <w:i/>
        </w:rPr>
        <w:t xml:space="preserve">built</w:t>
      </w:r>
      <w:r>
        <w:t xml:space="preserve"> </w:t>
      </w:r>
      <w:r>
        <w:t xml:space="preserve">to have no</w:t>
      </w:r>
      <w:r>
        <w:t xml:space="preserve"> </w:t>
      </w:r>
      <w:r>
        <w:t xml:space="preserve">“</w:t>
      </w:r>
      <w:r>
        <w:t xml:space="preserve">what</w:t>
      </w:r>
      <w:r>
        <w:t xml:space="preserve">”</w:t>
      </w:r>
      <w:r>
        <w:t xml:space="preserve">: meaning-evacuated by design, they can only</w:t>
      </w:r>
      <w:r>
        <w:t xml:space="preserve"> </w:t>
      </w:r>
      <w:r>
        <w:t xml:space="preserve">ever be recognized, never represented-as-meaning, and so they isolate the recognition-without-representation</w:t>
      </w:r>
      <w:r>
        <w:t xml:space="preserve"> </w:t>
      </w:r>
      <w:r>
        <w:t xml:space="preserve">relation in pure form. That is also why they are the right probe, and why the magicians’ premise survives the</w:t>
      </w:r>
      <w:r>
        <w:t xml:space="preserve"> </w:t>
      </w:r>
      <w:r>
        <w:t xml:space="preserve">test exactly as far as it was ever testable: they said these words do their work by</w:t>
      </w:r>
      <w:r>
        <w:t xml:space="preserve"> </w:t>
      </w:r>
      <w:r>
        <w:rPr>
          <w:iCs/>
          <w:i/>
        </w:rPr>
        <w:t xml:space="preserve">form</w:t>
      </w:r>
      <w:r>
        <w:t xml:space="preserve">, and a form-processor</w:t>
      </w:r>
      <w:r>
        <w:t xml:space="preserve"> </w:t>
      </w:r>
      <w:r>
        <w:t xml:space="preserve">recognizes the form — fully, generally — while representing no name at all.</w:t>
      </w:r>
    </w:p>
    <w:p>
      <w:pPr>
        <w:pStyle w:val="BodyText"/>
      </w:pPr>
      <w:r>
        <w:t xml:space="preserve">We offer this as a</w:t>
      </w:r>
      <w:r>
        <w:t xml:space="preserve"> </w:t>
      </w:r>
      <w:r>
        <w:rPr>
          <w:iCs/>
          <w:i/>
        </w:rPr>
        <w:t xml:space="preserve">framing the present evidence supports</w:t>
      </w:r>
      <w:r>
        <w:t xml:space="preserve">, not as a new measurement: the framing is what makes</w:t>
      </w:r>
      <w:r>
        <w:t xml:space="preserve"> </w:t>
      </w:r>
      <w:r>
        <w:t xml:space="preserve">H1-positive and decider-null cohere rather than conflict. The empirical claims are §3.1–§3.4; §4.5 only names</w:t>
      </w:r>
      <w:r>
        <w:t xml:space="preserve"> </w:t>
      </w:r>
      <w:r>
        <w:t xml:space="preserve">what they are jointly a portrait of. (It also marks the cleanest open question for future work — whether</w:t>
      </w:r>
      <w:r>
        <w:t xml:space="preserve"> </w:t>
      </w:r>
      <w:r>
        <w:t xml:space="preserve">recognition-without-representation, isolated here in meaning-evacuated strings, characterizes a broader class of</w:t>
      </w:r>
      <w:r>
        <w:t xml:space="preserve"> </w:t>
      </w:r>
      <w:r>
        <w:t xml:space="preserve">the model’s early-layer category detectors.)</w:t>
      </w:r>
    </w:p>
    <w:bookmarkEnd w:id="29"/>
    <w:bookmarkEnd w:id="30"/>
    <w:bookmarkStart w:id="31" w:name="the-honest-hedges"/>
    <w:p>
      <w:pPr>
        <w:pStyle w:val="Heading2"/>
      </w:pPr>
      <w:r>
        <w:t xml:space="preserve">5. The honest hedges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deep decomposition holds in two models, and the meaning/familiarity split is settled.</w:t>
      </w:r>
      <w:r>
        <w:t xml:space="preserve"> </w:t>
      </w:r>
      <w:r>
        <w:t xml:space="preserve">§3.4’s</w:t>
      </w:r>
      <w:r>
        <w:t xml:space="preserve"> </w:t>
      </w:r>
      <w:r>
        <w:t xml:space="preserve">decomposition replicates on Gemma (all contrasts significant, same-signed), and v3’s surprisal-controlled split</w:t>
      </w:r>
      <w:r>
        <w:t xml:space="preserve"> </w:t>
      </w:r>
      <w:r>
        <w:t xml:space="preserve">rules out frequency/familiarity in</w:t>
      </w:r>
      <w:r>
        <w:t xml:space="preserve"> </w:t>
      </w:r>
      <w:r>
        <w:rPr>
          <w:iCs/>
          <w:i/>
        </w:rPr>
        <w:t xml:space="preserve">both</w:t>
      </w:r>
      <w:r>
        <w:t xml:space="preserve"> </w:t>
      </w:r>
      <w:r>
        <w:t xml:space="preserve">models — so the second factor is meaning, not a single-model or</w:t>
      </w:r>
      <w:r>
        <w:t xml:space="preserve"> </w:t>
      </w:r>
      <w:r>
        <w:t xml:space="preserve">frequency artifact. The non-name arms are n≈28–34 (bootstrap CIs throughout); the cross-model fragmentation</w:t>
      </w:r>
      <w:r>
        <w:t xml:space="preserve"> </w:t>
      </w:r>
      <w:r>
        <w:rPr>
          <w:iCs/>
          <w:i/>
        </w:rPr>
        <w:t xml:space="preserve">ordering</w:t>
      </w:r>
      <w:r>
        <w:t xml:space="preserve"> </w:t>
      </w:r>
      <w:r>
        <w:t xml:space="preserve">(§3.3) is still only three</w:t>
      </w:r>
      <w:r>
        <w:t xml:space="preserve"> </w:t>
      </w:r>
      <w:r>
        <w:t xml:space="preserve">confounded points.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lexicality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bundle — now split (v3): the factor is meaning, not familiarity.</w:t>
      </w:r>
      <w:r>
        <w:t xml:space="preserve"> </w:t>
      </w:r>
      <w:r>
        <w:t xml:space="preserve">The v2 lexical-matched</w:t>
      </w:r>
      <w:r>
        <w:t xml:space="preserve"> </w:t>
      </w:r>
      <w:r>
        <w:t xml:space="preserve">cohort was high-frequency international loanwords (ΦΙΛΟΣΟΦΙΑ, ΔΗΜΟΚΡΑΤΙΑ…), so the +0.076 effect confounded</w:t>
      </w:r>
      <w:r>
        <w:t xml:space="preserve"> </w:t>
      </w:r>
      <w:r>
        <w:t xml:space="preserve">meaning, frequency, and familiarity. v3 (§3.4, Gemma) separates them by splitting a real-Greek pool on the</w:t>
      </w:r>
      <w:r>
        <w:t xml:space="preserve"> </w:t>
      </w:r>
      <w:r>
        <w:rPr>
          <w:iCs/>
          <w:i/>
        </w:rPr>
        <w:t xml:space="preserve">model’s own surprisal</w:t>
      </w:r>
      <w:r>
        <w:t xml:space="preserve">:</w:t>
      </w:r>
      <w:r>
        <w:t xml:space="preserve"> </w:t>
      </w:r>
      <w:r>
        <w:rPr>
          <w:bCs/>
          <w:b/>
        </w:rPr>
        <w:t xml:space="preserve">FAMILIARITY is n.s. (−0.002) and MEANING is significant (+0.020)</w:t>
      </w:r>
      <w:r>
        <w:t xml:space="preserve"> </w:t>
      </w:r>
      <w:r>
        <w:t xml:space="preserve">— among</w:t>
      </w:r>
      <w:r>
        <w:t xml:space="preserve"> </w:t>
      </w:r>
      <w:r>
        <w:t xml:space="preserve">meaningful Greek, familiar and unfamiliar both fail to persist; only</w:t>
      </w:r>
      <w:r>
        <w:t xml:space="preserve"> </w:t>
      </w:r>
      <w:r>
        <w:rPr>
          <w:iCs/>
          <w:i/>
        </w:rPr>
        <w:t xml:space="preserve">meaningless</w:t>
      </w:r>
      <w:r>
        <w:t xml:space="preserve"> </w:t>
      </w:r>
      <w:r>
        <w:t xml:space="preserve">Greek does. So</w:t>
      </w:r>
      <w:r>
        <w:t xml:space="preserve"> </w:t>
      </w:r>
      <w:r>
        <w:t xml:space="preserve">“</w:t>
      </w:r>
      <w:r>
        <w:t xml:space="preserve">fragmented</w:t>
      </w:r>
      <w:r>
        <w:t xml:space="preserve"> </w:t>
      </w:r>
      <w:r>
        <w:rPr>
          <w:iCs/>
          <w:i/>
        </w:rPr>
        <w:t xml:space="preserve">nonsense</w:t>
      </w:r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earned</w:t>
      </w:r>
      <w:r>
        <w:t xml:space="preserve">, not assumed — the second factor is meaninglessness, with frequency ruled out,</w:t>
      </w:r>
      <w:r>
        <w:t xml:space="preserve"> </w:t>
      </w:r>
      <w:r>
        <w:rPr>
          <w:bCs/>
          <w:b/>
        </w:rPr>
        <w:t xml:space="preserve">in</w:t>
      </w:r>
      <w:r>
        <w:rPr>
          <w:bCs/>
          <w:b/>
        </w:rPr>
        <w:t xml:space="preserve"> </w:t>
      </w:r>
      <w:r>
        <w:rPr>
          <w:bCs/>
          <w:b/>
        </w:rPr>
        <w:t xml:space="preserve">both Mistral and Gemma</w:t>
      </w:r>
      <w:r>
        <w:t xml:space="preserve">.</w:t>
      </w:r>
      <w:r>
        <w:t xml:space="preserve"> </w:t>
      </w:r>
      <w:r>
        <w:rPr>
          <w:iCs/>
          <w:i/>
        </w:rPr>
        <w:t xml:space="preserve">Residual caveat:</w:t>
      </w:r>
      <w:r>
        <w:t xml:space="preserve"> </w:t>
      </w:r>
      <w:r>
        <w:t xml:space="preserve">the morphemic-vs-byte tokenization difference still co-travels</w:t>
      </w:r>
      <w:r>
        <w:t xml:space="preserve"> </w:t>
      </w:r>
      <w:r>
        <w:t xml:space="preserve">with meaning (real words get morphemic tokens where asemic strings get byte-fragments), so</w:t>
      </w:r>
      <w:r>
        <w:t xml:space="preserve"> </w:t>
      </w:r>
      <w:r>
        <w:t xml:space="preserve">“</w:t>
      </w:r>
      <w:r>
        <w:t xml:space="preserve">meaning</w:t>
      </w:r>
      <w:r>
        <w:t xml:space="preserve">”</w:t>
      </w:r>
      <w:r>
        <w:t xml:space="preserve"> </w:t>
      </w:r>
      <w:r>
        <w:t xml:space="preserve">here is</w:t>
      </w:r>
      <w:r>
        <w:t xml:space="preserve"> </w:t>
      </w:r>
      <w:r>
        <w:t xml:space="preserve">inseparable from</w:t>
      </w:r>
      <w:r>
        <w:t xml:space="preserve"> </w:t>
      </w:r>
      <w:r>
        <w:t xml:space="preserve">“</w:t>
      </w:r>
      <w:r>
        <w:t xml:space="preserve">is-it-tokenized-as-a-word</w:t>
      </w:r>
      <w:r>
        <w:t xml:space="preserve">”</w:t>
      </w:r>
      <w:r>
        <w:t xml:space="preserve"> </w:t>
      </w:r>
      <w:r>
        <w:t xml:space="preserve">— arguably the same thing for a transformer, but worth naming.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name-likeness metric rests on a small, genre-specific anchor.</w:t>
      </w:r>
      <w:r>
        <w:t xml:space="preserve"> </w:t>
      </w:r>
      <w:r>
        <w:t xml:space="preserve">Name-likeness is cosine to a</w:t>
      </w:r>
      <w:r>
        <w:t xml:space="preserve"> </w:t>
      </w:r>
      <w:r>
        <w:rPr>
          <w:iCs/>
          <w:i/>
        </w:rPr>
        <w:t xml:space="preserve">name</w:t>
      </w:r>
      <w:r>
        <w:t xml:space="preserve"> </w:t>
      </w:r>
      <w:r>
        <w:t xml:space="preserve">centroid (16 Greek mythological/historical names) minus a</w:t>
      </w:r>
      <w:r>
        <w:t xml:space="preserve"> </w:t>
      </w:r>
      <w:r>
        <w:rPr>
          <w:iCs/>
          <w:i/>
        </w:rPr>
        <w:t xml:space="preserve">random</w:t>
      </w:r>
      <w:r>
        <w:t xml:space="preserve"> </w:t>
      </w:r>
      <w:r>
        <w:t xml:space="preserve">centroid (28 strings). 16 names is a noisy</w:t>
      </w:r>
      <w:r>
        <w:t xml:space="preserve"> </w:t>
      </w:r>
      <w:r>
        <w:t xml:space="preserve">centroid, and</w:t>
      </w:r>
      <w:r>
        <w:t xml:space="preserve"> </w:t>
      </w:r>
      <w:r>
        <w:t xml:space="preserve">“</w:t>
      </w:r>
      <w:r>
        <w:t xml:space="preserve">name-like</w:t>
      </w:r>
      <w:r>
        <w:t xml:space="preserve">”</w:t>
      </w:r>
      <w:r>
        <w:t xml:space="preserve"> </w:t>
      </w:r>
      <w:r>
        <w:t xml:space="preserve">is really</w:t>
      </w:r>
      <w:r>
        <w:t xml:space="preserve"> </w:t>
      </w:r>
      <w:r>
        <w:t xml:space="preserve">“</w:t>
      </w:r>
      <w:r>
        <w:t xml:space="preserve">near this specific cloud of Greek proper nouns</w:t>
      </w:r>
      <w:r>
        <w:t xml:space="preserve">”</w:t>
      </w:r>
      <w:r>
        <w:t xml:space="preserve"> </w:t>
      </w:r>
      <w:r>
        <w:t xml:space="preserve">— a design-level limit</w:t>
      </w:r>
      <w:r>
        <w:t xml:space="preserve"> </w:t>
      </w:r>
      <w:r>
        <w:t xml:space="preserve">inherited from iteration 1 that caps how much the construct can bear. A larger, more diverse name anchor is owed.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Single-seed cohorts; unvalidated deep-band; asymmetric Latin baseline.</w:t>
      </w:r>
      <w:r>
        <w:t xml:space="preserve"> </w:t>
      </w:r>
      <w:r>
        <w:t xml:space="preserve">(i) The asemic/random cohorts are a</w:t>
      </w:r>
      <w:r>
        <w:t xml:space="preserve"> </w:t>
      </w:r>
      <w:r>
        <w:t xml:space="preserve">single</w:t>
      </w:r>
      <w:r>
        <w:t xml:space="preserve"> </w:t>
      </w:r>
      <w:r>
        <w:rPr>
          <w:rStyle w:val="VerbatimChar"/>
        </w:rPr>
        <w:t xml:space="preserve">SEED=0</w:t>
      </w:r>
      <w:r>
        <w:t xml:space="preserve"> </w:t>
      </w:r>
      <w:r>
        <w:t xml:space="preserve">draw — the bootstrap CIs resample</w:t>
      </w:r>
      <w:r>
        <w:t xml:space="preserve"> </w:t>
      </w:r>
      <w:r>
        <w:rPr>
          <w:iCs/>
          <w:i/>
        </w:rPr>
        <w:t xml:space="preserve">those</w:t>
      </w:r>
      <w:r>
        <w:t xml:space="preserve"> </w:t>
      </w:r>
      <w:r>
        <w:t xml:space="preserve">strings but not the arbitrariness of the draw; a</w:t>
      </w:r>
      <w:r>
        <w:t xml:space="preserve"> </w:t>
      </w:r>
      <w:r>
        <w:t xml:space="preserve">multi-seed regeneration is owed (v3). (ii) The</w:t>
      </w:r>
      <w:r>
        <w:t xml:space="preserve"> </w:t>
      </w:r>
      <w:r>
        <w:t xml:space="preserve">“</w:t>
      </w:r>
      <w:r>
        <w:t xml:space="preserve">deep</w:t>
      </w:r>
      <w:r>
        <w:t xml:space="preserve">”</w:t>
      </w:r>
      <w:r>
        <w:t xml:space="preserve"> </w:t>
      </w:r>
      <w:r>
        <w:t xml:space="preserve">band is the back half of layers by convention, not chosen</w:t>
      </w:r>
      <w:r>
        <w:t xml:space="preserve"> </w:t>
      </w:r>
      <w:r>
        <w:t xml:space="preserve">from the layer profile; the effect could concentrate or be diluted — a per-layer plot is owed (v3). (iii) The</w:t>
      </w:r>
      <w:r>
        <w:t xml:space="preserve"> </w:t>
      </w:r>
      <w:r>
        <w:t xml:space="preserve">Greek−Latin subtraction assumes the Latin rendering is a uniform within-string baseline, but for the lexical</w:t>
      </w:r>
      <w:r>
        <w:t xml:space="preserve"> </w:t>
      </w:r>
      <w:r>
        <w:t xml:space="preserve">cohort the</w:t>
      </w:r>
      <w:r>
        <w:t xml:space="preserve"> </w:t>
      </w:r>
      <w:r>
        <w:rPr>
          <w:iCs/>
          <w:i/>
        </w:rPr>
        <w:t xml:space="preserve">Latin</w:t>
      </w:r>
      <w:r>
        <w:t xml:space="preserve"> </w:t>
      </w:r>
      <w:r>
        <w:t xml:space="preserve">form (PHILOSOPHIA) is itself familiar, so its ~0 gap may partly reflect</w:t>
      </w:r>
      <w:r>
        <w:t xml:space="preserve"> </w:t>
      </w:r>
      <w:r>
        <w:t xml:space="preserve">“</w:t>
      </w:r>
      <w:r>
        <w:t xml:space="preserve">recognized in both</w:t>
      </w:r>
      <w:r>
        <w:t xml:space="preserve"> </w:t>
      </w:r>
      <w:r>
        <w:t xml:space="preserve">scripts</w:t>
      </w:r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</w:t>
      </w:r>
      <w:r>
        <w:t xml:space="preserve">doesn’t persist deep</w:t>
      </w:r>
      <w:r>
        <w:t xml:space="preserve">”</w:t>
      </w:r>
      <w:r>
        <w:t xml:space="preserve"> </w:t>
      </w:r>
      <w:r>
        <w:t xml:space="preserve">— v3 reports absolute Greek name-likeness alongside the difference.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NAMEHOOD reversal is small (−0.033) and single-model.</w:t>
      </w:r>
      <w:r>
        <w:t xml:space="preserve"> </w:t>
      </w:r>
      <w:r>
        <w:t xml:space="preserve">We read it as</w:t>
      </w:r>
      <w:r>
        <w:t xml:space="preserve"> </w:t>
      </w:r>
      <w:r>
        <w:t xml:space="preserve">“</w:t>
      </w:r>
      <w:r>
        <w:t xml:space="preserve">no namehood, plausibly slightly</w:t>
      </w:r>
      <w:r>
        <w:t xml:space="preserve"> </w:t>
      </w:r>
      <w:r>
        <w:t xml:space="preserve">negative because the voces are a recognizable genre,</w:t>
      </w:r>
      <w:r>
        <w:t xml:space="preserve">”</w:t>
      </w:r>
      <w:r>
        <w:t xml:space="preserve"> </w:t>
      </w:r>
      <w:r>
        <w:t xml:space="preserve">not as a large effect; it wants replication. (It is,</w:t>
      </w:r>
      <w:r>
        <w:t xml:space="preserve"> </w:t>
      </w:r>
      <w:r>
        <w:t xml:space="preserve">however, a</w:t>
      </w:r>
      <w:r>
        <w:t xml:space="preserve"> </w:t>
      </w:r>
      <w:r>
        <w:rPr>
          <w:iCs/>
          <w:i/>
        </w:rPr>
        <w:t xml:space="preserve">significant</w:t>
      </w:r>
      <w:r>
        <w:t xml:space="preserve"> </w:t>
      </w:r>
      <w:r>
        <w:t xml:space="preserve">negative, not an underpowered null — stronger evidence against namehood than a bare</w:t>
      </w:r>
      <w:r>
        <w:t xml:space="preserve"> </w:t>
      </w:r>
      <w:r>
        <w:t xml:space="preserve">non-rejection would be.)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Quantization, and a disclosed data anomaly.</w:t>
      </w:r>
      <w:r>
        <w:t xml:space="preserve"> </w:t>
      </w:r>
      <w:r>
        <w:t xml:space="preserve">Gemma and Mistral are 4-bit; Gemma’s p=0.007 wants fp16.</w:t>
      </w:r>
      <w:r>
        <w:t xml:space="preserve"> </w:t>
      </w:r>
      <w:r>
        <w:t xml:space="preserve">Separately, the Gemma</w:t>
      </w:r>
      <w:r>
        <w:t xml:space="preserve"> </w:t>
      </w:r>
      <w:r>
        <w:rPr>
          <w:iCs/>
          <w:i/>
        </w:rPr>
        <w:t xml:space="preserve">re-run</w:t>
      </w:r>
      <w:r>
        <w:t xml:space="preserve"> </w:t>
      </w:r>
      <w:r>
        <w:t xml:space="preserve">artifact carries an</w:t>
      </w:r>
      <w:r>
        <w:t xml:space="preserve"> </w:t>
      </w:r>
      <w:r>
        <w:rPr>
          <w:bCs/>
          <w:b/>
        </w:rPr>
        <w:t xml:space="preserve">unexplained value anomaly</w:t>
      </w:r>
      <w:r>
        <w:t xml:space="preserve"> </w:t>
      </w:r>
      <w:r>
        <w:t xml:space="preserve">— its Greek decider p is</w:t>
      </w:r>
      <w:r>
        <w:t xml:space="preserve"> </w:t>
      </w:r>
      <w:r>
        <w:t xml:space="preserve">byte-identical to Mistral’s (0.2659000459593744) despite different underlying means, a value-bleed/assembly bug</w:t>
      </w:r>
      <w:r>
        <w:t xml:space="preserve"> </w:t>
      </w:r>
      <w:r>
        <w:t xml:space="preserve">in the 4-bit re-run output (PROVENANCE.md). Headline cells are unaffected; we do not rely on the re-run’s</w:t>
      </w:r>
      <w:r>
        <w:t xml:space="preserve"> </w:t>
      </w:r>
      <w:r>
        <w:t xml:space="preserve">absolute p-values.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Power &amp; provenance.</w:t>
      </w:r>
      <w:r>
        <w:t xml:space="preserve"> </w:t>
      </w:r>
      <w:r>
        <w:t xml:space="preserve">n=49 pure-asemic-low-T for the cross-model arm; single seed per model (a ≥3-seed repeat</w:t>
      </w:r>
      <w:r>
        <w:t xml:space="preserve"> </w:t>
      </w:r>
      <w:r>
        <w:t xml:space="preserve">is owed). Hand-curated PGM material, not parsed from a verified Betz edition; 62/76 Greek forms are algorithmic</w:t>
      </w:r>
      <w:r>
        <w:t xml:space="preserve"> </w:t>
      </w:r>
      <w:r>
        <w:t xml:space="preserve">transliterations (the non-circular check is the n=13 asemic authentic-Greek arm). Gemma’s Greek token-counts</w:t>
      </w:r>
      <w:r>
        <w:t xml:space="preserve"> </w:t>
      </w:r>
      <w:r>
        <w:t xml:space="preserve">were measured with a non-gated mirror of its tokenizer (</w:t>
      </w:r>
      <w:r>
        <w:rPr>
          <w:rStyle w:val="VerbatimChar"/>
        </w:rPr>
        <w:t xml:space="preserve">unsloth/gemma-2-9b</w:t>
      </w:r>
      <w:r>
        <w:t xml:space="preserve">, identical SP model).</w:t>
      </w:r>
    </w:p>
    <w:bookmarkEnd w:id="31"/>
    <w:bookmarkStart w:id="32" w:name="X81f6b025ddc38e408393bc0e336f8a05c8f5942"/>
    <w:p>
      <w:pPr>
        <w:pStyle w:val="Heading2"/>
      </w:pPr>
      <w:r>
        <w:t xml:space="preserve">6. On arriving here (why the method matters, and where it slipped)</w:t>
      </w:r>
    </w:p>
    <w:p>
      <w:pPr>
        <w:pStyle w:val="FirstParagraph"/>
      </w:pPr>
      <w:r>
        <w:t xml:space="preserve">The romantic reading —</w:t>
      </w:r>
      <w:r>
        <w:t xml:space="preserve"> </w:t>
      </w:r>
      <w:r>
        <w:rPr>
          <w:iCs/>
          <w:i/>
        </w:rPr>
        <w:t xml:space="preserve">the model holds these as names of power</w:t>
      </w:r>
      <w:r>
        <w:t xml:space="preserve"> </w:t>
      </w:r>
      <w:r>
        <w:t xml:space="preserve">— tried to enter and was deflated each time by</w:t>
      </w:r>
      <w:r>
        <w:t xml:space="preserve"> </w:t>
      </w:r>
      <w:r>
        <w:t xml:space="preserve">the next control: (1) Qwen’s</w:t>
      </w:r>
      <w:r>
        <w:t xml:space="preserve"> </w:t>
      </w:r>
      <w:r>
        <w:t xml:space="preserve">“</w:t>
      </w:r>
      <w:r>
        <w:t xml:space="preserve">Greek persists deep</w:t>
      </w:r>
      <w:r>
        <w:t xml:space="preserve">”</w:t>
      </w:r>
      <w:r>
        <w:t xml:space="preserve"> </w:t>
      </w:r>
      <w:r>
        <w:t xml:space="preserve">→ shown not voces-specific; (2) Gemma’s</w:t>
      </w:r>
      <w:r>
        <w:t xml:space="preserve"> </w:t>
      </w:r>
      <w:r>
        <w:t xml:space="preserve">“</w:t>
      </w:r>
      <w:r>
        <w:t xml:space="preserve">abstraction gets real</w:t>
      </w:r>
      <w:r>
        <w:t xml:space="preserve"> </w:t>
      </w:r>
      <w:r>
        <w:t xml:space="preserve">support</w:t>
      </w:r>
      <w:r>
        <w:t xml:space="preserve">”</w:t>
      </w:r>
      <w:r>
        <w:t xml:space="preserve"> </w:t>
      </w:r>
      <w:r>
        <w:t xml:space="preserve">→ unreplicated and run-variable (held provisional pending fp16); (3) the temptation to call a 3-point</w:t>
      </w:r>
      <w:r>
        <w:t xml:space="preserve"> </w:t>
      </w:r>
      <w:r>
        <w:t xml:space="preserve">confounded ordering a proven mechanism → held to a correlation (§3.3).</w:t>
      </w:r>
    </w:p>
    <w:p>
      <w:pPr>
        <w:pStyle w:val="BodyText"/>
      </w:pPr>
      <w:r>
        <w:t xml:space="preserve">The fourth episode is the one the study did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handle cleanly the first time, and it is the reason §3.4</w:t>
      </w:r>
      <w:r>
        <w:t xml:space="preserve"> </w:t>
      </w:r>
      <w:r>
        <w:t xml:space="preserve">exists. The build-side prediction was that non-name Greek</w:t>
      </w:r>
      <w:r>
        <w:t xml:space="preserve"> </w:t>
      </w:r>
      <w:r>
        <w:rPr>
          <w:iCs/>
          <w:i/>
        </w:rPr>
        <w:t xml:space="preserve">would</w:t>
      </w:r>
      <w:r>
        <w:t xml:space="preserve"> </w:t>
      </w:r>
      <w:r>
        <w:t xml:space="preserve">persist deep, sealing pure</w:t>
      </w:r>
      <w:r>
        <w:t xml:space="preserve"> </w:t>
      </w:r>
      <w:r>
        <w:t xml:space="preserve">fragmentation-clustering. It did not; the automated rule printed</w:t>
      </w:r>
      <w:r>
        <w:t xml:space="preserve"> </w:t>
      </w:r>
      <w:r>
        <w:t xml:space="preserve">“</w:t>
      </w:r>
      <w:r>
        <w:t xml:space="preserve">name-specific</w:t>
      </w:r>
      <w:r>
        <w:t xml:space="preserve">”</w:t>
      </w:r>
      <w:r>
        <w:t xml:space="preserve">; and</w:t>
      </w:r>
      <w:r>
        <w:t xml:space="preserve"> </w:t>
      </w:r>
      <w:r>
        <w:rPr>
          <w:bCs/>
          <w:b/>
        </w:rPr>
        <w:t xml:space="preserve">only then</w:t>
      </w:r>
      <w:r>
        <w:t xml:space="preserve"> </w:t>
      </w:r>
      <w:r>
        <w:t xml:space="preserve">did we</w:t>
      </w:r>
      <w:r>
        <w:t xml:space="preserve"> </w:t>
      </w:r>
      <w:r>
        <w:t xml:space="preserve">tokenize the cohort and find it was never fragmentation- or lexicality-matched (10.73 vs 5.15 tokens, asemic vs</w:t>
      </w:r>
      <w:r>
        <w:t xml:space="preserve"> </w:t>
      </w:r>
      <w:r>
        <w:t xml:space="preserve">lexical). That is a real catch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a scrutiny asymmetry — the instrument was measured because it gave the</w:t>
      </w:r>
      <w:r>
        <w:t xml:space="preserve"> </w:t>
      </w:r>
      <w:r>
        <w:t xml:space="preserve">inconvenient answer, and the thesis-confirming results did not get the same audit. We kept both the catch and</w:t>
      </w:r>
      <w:r>
        <w:t xml:space="preserve"> </w:t>
      </w:r>
      <w:r>
        <w:t xml:space="preserve">the confession, and then did the thing the confession demands:</w:t>
      </w:r>
      <w:r>
        <w:t xml:space="preserve"> </w:t>
      </w:r>
      <w:r>
        <w:rPr>
          <w:bCs/>
          <w:b/>
        </w:rPr>
        <w:t xml:space="preserve">rebuilt the falsifier matched</w:t>
      </w:r>
      <w:r>
        <w:t xml:space="preserve"> </w:t>
      </w:r>
      <w:r>
        <w:t xml:space="preserve">(the §3.4</w:t>
      </w:r>
      <w:r>
        <w:t xml:space="preserve"> </w:t>
      </w:r>
      <w:r>
        <w:t xml:space="preserve">factorial), and let it speak. It returned an answer better than either the prediction or its confounded first</w:t>
      </w:r>
      <w:r>
        <w:t xml:space="preserve"> </w:t>
      </w:r>
      <w:r>
        <w:t xml:space="preserve">draft: not</w:t>
      </w:r>
      <w:r>
        <w:t xml:space="preserve"> </w:t>
      </w:r>
      <w:r>
        <w:t xml:space="preserve">“</w:t>
      </w:r>
      <w:r>
        <w:t xml:space="preserve">pure fragmentation,</w:t>
      </w:r>
      <w:r>
        <w:t xml:space="preserve">”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names,</w:t>
      </w:r>
      <w:r>
        <w:t xml:space="preserve">”</w:t>
      </w:r>
      <w:r>
        <w:t xml:space="preserve"> </w:t>
      </w:r>
      <w:r>
        <w:t xml:space="preserve">but</w:t>
      </w:r>
      <w:r>
        <w:t xml:space="preserve"> </w:t>
      </w:r>
      <w:r>
        <w:rPr>
          <w:bCs/>
          <w:b/>
        </w:rPr>
        <w:t xml:space="preserve">two factors and a reversal</w:t>
      </w:r>
      <w:r>
        <w:t xml:space="preserve"> </w:t>
      </w:r>
      <w:r>
        <w:t xml:space="preserve">— fragmentation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meaninglessness drive the depth, and the names sit below the noise. (v3 then split the second factor from</w:t>
      </w:r>
      <w:r>
        <w:t xml:space="preserve"> </w:t>
      </w:r>
      <w:r>
        <w:t xml:space="preserve">frequency and confirmed it in two models — the discipline that produced §3.4 finished the job it started.)</w:t>
      </w:r>
    </w:p>
    <w:p>
      <w:pPr>
        <w:pStyle w:val="BodyText"/>
      </w:pPr>
      <w:r>
        <w:t xml:space="preserve">So the author’s headline predictions about the</w:t>
      </w:r>
      <w:r>
        <w:t xml:space="preserve"> </w:t>
      </w:r>
      <w:r>
        <w:rPr>
          <w:iCs/>
          <w:i/>
        </w:rPr>
        <w:t xml:space="preserve">deep</w:t>
      </w:r>
      <w:r>
        <w:t xml:space="preserve"> </w:t>
      </w:r>
      <w:r>
        <w:t xml:space="preserve">effect were</w:t>
      </w:r>
      <w:r>
        <w:t xml:space="preserve"> </w:t>
      </w:r>
      <w:r>
        <w:rPr>
          <w:bCs/>
          <w:b/>
        </w:rPr>
        <w:t xml:space="preserve">falsified three times</w:t>
      </w:r>
      <w:r>
        <w:t xml:space="preserve">, the third a check</w:t>
      </w:r>
      <w:r>
        <w:t xml:space="preserve"> </w:t>
      </w:r>
      <w:r>
        <w:t xml:space="preserve">on the study’s own</w:t>
      </w:r>
      <w:r>
        <w:t xml:space="preserve"> </w:t>
      </w:r>
      <w:r>
        <w:rPr>
          <w:iCs/>
          <w:i/>
        </w:rPr>
        <w:t xml:space="preserve">apparatus</w:t>
      </w:r>
      <w:r>
        <w:t xml:space="preserve">, caught late and then</w:t>
      </w:r>
      <w:r>
        <w:t xml:space="preserve"> </w:t>
      </w:r>
      <w:r>
        <w:rPr>
          <w:iCs/>
          <w:i/>
        </w:rPr>
        <w:t xml:space="preserve">repaired</w:t>
      </w:r>
      <w:r>
        <w:t xml:space="preserve"> </w:t>
      </w:r>
      <w:r>
        <w:t xml:space="preserve">rather than spun — and all of that churn was in</w:t>
      </w:r>
      <w:r>
        <w:t xml:space="preserve"> </w:t>
      </w:r>
      <w:r>
        <w:t xml:space="preserve">service of the one claim that never wavered.</w:t>
      </w:r>
      <w:r>
        <w:t xml:space="preserve"> </w:t>
      </w:r>
      <w:r>
        <w:rPr>
          <w:bCs/>
          <w:b/>
        </w:rPr>
        <w:t xml:space="preserve">The affirmative result was steady from iteration 1 and only got</w:t>
      </w:r>
      <w:r>
        <w:rPr>
          <w:bCs/>
          <w:b/>
        </w:rPr>
        <w:t xml:space="preserve"> </w:t>
      </w:r>
      <w:r>
        <w:rPr>
          <w:bCs/>
          <w:b/>
        </w:rPr>
        <w:t xml:space="preserve">sturdier: the model recognizes the texture of a barbarous name, and this iteration showed it does so across</w:t>
      </w:r>
      <w:r>
        <w:rPr>
          <w:bCs/>
          <w:b/>
        </w:rPr>
        <w:t xml:space="preserve"> </w:t>
      </w:r>
      <w:r>
        <w:rPr>
          <w:bCs/>
          <w:b/>
        </w:rPr>
        <w:t xml:space="preserve">three tokenizer families — a property of transformers, not of one tokenizer.</w:t>
      </w:r>
      <w:r>
        <w:t xml:space="preserve"> </w:t>
      </w:r>
      <w:r>
        <w:t xml:space="preserve">Everything the deep-layer work</w:t>
      </w:r>
      <w:r>
        <w:t xml:space="preserve"> </w:t>
      </w:r>
      <w:r>
        <w:t xml:space="preserve">overturned was overturned</w:t>
      </w:r>
      <w:r>
        <w:t xml:space="preserve"> </w:t>
      </w:r>
      <w:r>
        <w:rPr>
          <w:iCs/>
          <w:i/>
        </w:rPr>
        <w:t xml:space="preserve">around</w:t>
      </w:r>
      <w:r>
        <w:t xml:space="preserve"> </w:t>
      </w:r>
      <w:r>
        <w:t xml:space="preserve">that fixed point, and in service of stating it precisely: the recognition is</w:t>
      </w:r>
      <w:r>
        <w:t xml:space="preserve"> </w:t>
      </w:r>
      <w:r>
        <w:t xml:space="preserve">surface form, not deep aboutness; what looked like aboutness in the depths was the tokenizer fragmenting Greek.</w:t>
      </w:r>
      <w:r>
        <w:t xml:space="preserve"> </w:t>
      </w:r>
      <w:r>
        <w:t xml:space="preserve">The magicians said these words do their work by</w:t>
      </w:r>
      <w:r>
        <w:t xml:space="preserve"> </w:t>
      </w:r>
      <w:r>
        <w:rPr>
          <w:iCs/>
          <w:i/>
        </w:rPr>
        <w:t xml:space="preserve">form</w:t>
      </w:r>
      <w:r>
        <w:t xml:space="preserve">. A form-machine reads the form on sight. That part of the</w:t>
      </w:r>
      <w:r>
        <w:t xml:space="preserve"> </w:t>
      </w:r>
      <w:r>
        <w:t xml:space="preserve">old theory was always the testable part, and it held.</w:t>
      </w:r>
    </w:p>
    <w:p>
      <w:r>
        <w:pict>
          <v:rect style="width:0;height:1.5pt" o:hralign="center" o:hrstd="t" o:hr="t"/>
        </w:pict>
      </w:r>
    </w:p>
    <w:bookmarkEnd w:id="32"/>
    <w:bookmarkStart w:id="33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rPr>
          <w:iCs/>
          <w:i/>
        </w:rPr>
        <w:t xml:space="preserve">(Verified live 2026-06-24; status-labeled.)</w:t>
      </w:r>
      <w:r>
        <w:t xml:space="preserve"> </w:t>
      </w:r>
      <w:r>
        <w:t xml:space="preserve">Zou et al. 2023 (arXiv:2310.01405); Park, Choe, Veitch 2024 (ICML</w:t>
      </w:r>
      <w:r>
        <w:t xml:space="preserve"> </w:t>
      </w:r>
      <w:r>
        <w:t xml:space="preserve">/ arXiv:2311.03658); Turner et al. 2023 (arXiv:2308.10248); Sofroniew et al. 2026 (Transformer Circuits,</w:t>
      </w:r>
      <w:r>
        <w:t xml:space="preserve"> </w:t>
      </w:r>
      <w:r>
        <w:t xml:space="preserve">arXiv:2604.07729); Lu et al. 2026 (arXiv:2601.10387); Betz (ed.) 1992 (Univ. of Chicago Press); Hwang 2026</w:t>
      </w:r>
      <w:r>
        <w:t xml:space="preserve"> </w:t>
      </w:r>
      <w:r>
        <w:t xml:space="preserve">(</w:t>
      </w:r>
      <w:r>
        <w:rPr>
          <w:iCs/>
          <w:i/>
        </w:rPr>
        <w:t xml:space="preserve">Be Not Afraid</w:t>
      </w:r>
      <w:r>
        <w:t xml:space="preserve"> </w:t>
      </w:r>
      <w:r>
        <w:t xml:space="preserve">— self-published, non-peer-reviewed; this study descends from its method).</w:t>
      </w:r>
    </w:p>
    <w:p>
      <w:pPr>
        <w:pStyle w:val="BodyText"/>
      </w:pPr>
      <w:r>
        <w:rPr>
          <w:iCs/>
          <w:i/>
        </w:rPr>
        <w:t xml:space="preserve">Data &amp; code: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voces-residual-stream</w:t>
      </w:r>
      <w:r>
        <w:rPr>
          <w:iCs/>
          <w:i/>
        </w:rPr>
        <w:t xml:space="preserve"> </w:t>
      </w:r>
      <w:r>
        <w:rPr>
          <w:iCs/>
          <w:i/>
        </w:rPr>
        <w:t xml:space="preserve">— cross-family results, the three-model decider, the Greek-fragmentation</w:t>
      </w:r>
      <w:r>
        <w:rPr>
          <w:iCs/>
          <w:i/>
        </w:rPr>
        <w:t xml:space="preserve"> </w:t>
      </w:r>
      <w:r>
        <w:rPr>
          <w:iCs/>
          <w:i/>
        </w:rPr>
        <w:t xml:space="preserve">measurements (</w:t>
      </w:r>
      <w:r>
        <w:rPr>
          <w:rStyle w:val="VerbatimChar"/>
          <w:iCs/>
          <w:i/>
        </w:rPr>
        <w:t xml:space="preserve">results/cross-family/greek_fragmentation.json</w:t>
      </w:r>
      <w:r>
        <w:rPr>
          <w:iCs/>
          <w:i/>
        </w:rPr>
        <w:t xml:space="preserve">), the confound check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src/check_nonname_fragmentation.py</w:t>
      </w:r>
      <w:r>
        <w:rPr>
          <w:iCs/>
          <w:i/>
        </w:rPr>
        <w:t xml:space="preserve">), and the matched factorial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notebooks/voces_falsifier_v2_lexicality.ipynb</w:t>
      </w:r>
      <w:r>
        <w:rPr>
          <w:iCs/>
          <w:i/>
        </w:rPr>
        <w:t xml:space="preserve">, results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results/cross-family/voces_falsifier-v2-lexicality_Mistral-7B-v0.3_results.json</w:t>
      </w:r>
      <w:r>
        <w:rPr>
          <w:iCs/>
          <w:i/>
        </w:rPr>
        <w:t xml:space="preserve">). The iteration-1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abstraction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Greek-persists-as-script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claims are retained as overturned, because the overturning is the</w:t>
      </w:r>
      <w:r>
        <w:rPr>
          <w:iCs/>
          <w:i/>
        </w:rPr>
        <w:t xml:space="preserve"> </w:t>
      </w:r>
      <w:r>
        <w:rPr>
          <w:iCs/>
          <w:i/>
        </w:rPr>
        <w:t xml:space="preserve">method.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Texture of the Barbarous Name</dc:title>
  <dc:creator/>
  <cp:keywords/>
  <dcterms:created xsi:type="dcterms:W3CDTF">2026-06-25T08:14:26Z</dcterms:created>
  <dcterms:modified xsi:type="dcterms:W3CDTF">2026-06-25T08:14:26Z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