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It’s the Script, Not the Spell</w:t>
      </w:r>
    </w:p>
    <w:p>
      <w:pPr>
        <w:spacing w:after="200"/>
      </w:pPr>
      <w:r>
        <w:rPr>
          <w:rFonts w:ascii="Arial" w:cs="Arial" w:eastAsia="Arial" w:hAnsi="Arial"/>
          <w:color w:val="555555"/>
          <w:sz w:val="24"/>
          <w:szCs w:val="24"/>
        </w:rPr>
        <w:t xml:space="preserve">A Voces-Negative Result on Deep Representation, and What Survives It</w:t>
      </w:r>
    </w:p>
    <w:p>
      <w:pPr/>
      <w:r>
        <w:rPr>
          <w:rFonts w:ascii="Arial" w:hAnsi="Arial"/>
          <w:b/>
          <w:sz w:val="26"/>
        </w:rPr>
        <w:t>Tomás Pavan</w:t>
      </w:r>
    </w:p>
    <w:p>
      <w:pPr/>
      <w:r>
        <w:rPr>
          <w:rFonts w:ascii="Arial" w:hAnsi="Arial"/>
          <w:i/>
          <w:sz w:val="18"/>
        </w:rPr>
        <w:t>Designed and analyzed in dialogue with two Claude Opus 4.8 instances (claude.ai — design; Claude Code — build &amp; analysis). The author is accountable; the AI collaboration is acknowledged, not authorship. See CONTRIBUTIONS.md and git history.</w:t>
      </w:r>
    </w:p>
    <w:p>
      <w:pPr>
        <w:spacing w:after="40"/>
      </w:pPr>
      <w:r>
        <w:rPr>
          <w:rFonts w:ascii="Georgia" w:cs="Georgia" w:eastAsia="Georgia" w:hAnsi="Georgia"/>
          <w:b/>
          <w:bCs/>
          <w:sz w:val="21"/>
          <w:szCs w:val="21"/>
        </w:rPr>
        <w:t>Self-published, non-peer-reviewed preprint draft  ·  June 2026</w:t>
      </w:r>
      <w:r>
        <w:rPr>
          <w:rFonts w:ascii="Georgia" w:cs="Georgia" w:eastAsia="Georgia" w:hAnsi="Georgia"/>
          <w:sz w:val="21"/>
          <w:szCs w:val="21"/>
        </w:rPr>
      </w:r>
    </w:p>
    <w:p>
      <w:pPr>
        <w:spacing w:after="200"/>
      </w:pPr>
      <w:r>
        <w:rPr>
          <w:rFonts w:ascii="Georgia" w:cs="Georgia" w:eastAsia="Georgia" w:hAnsi="Georgia"/>
          <w:i/>
          <w:iCs/>
          <w:color w:val="555555"/>
          <w:sz w:val="20"/>
          <w:szCs w:val="20"/>
        </w:rPr>
        <w:t xml:space="preserve">The voces magicae of the Greek Magical Papyri as a probe of non-referential representation in Qwen2.5.</w:t>
      </w:r>
    </w:p>
    <w:p>
      <w:pPr>
        <w:pBdr>
          <w:bottom w:val="single" w:color="8A7A5C" w:sz="6" w:space="1"/>
        </w:pBdr>
        <w:spacing w:after="120" w:before="60"/>
      </w:pPr>
    </w:p>
    <w:p>
      <w:pPr>
        <w:pStyle w:val="Heading2"/>
        <w:spacing w:after="100" w:before="200"/>
      </w:pPr>
      <w:r>
        <w:rPr>
          <w:rFonts w:ascii="Arial" w:cs="Arial" w:eastAsia="Arial" w:hAnsi="Arial"/>
          <w:b/>
          <w:bCs/>
          <w:sz w:val="22"/>
          <w:szCs w:val="22"/>
        </w:rPr>
        <w:t xml:space="preserve">Abstract</w:t>
      </w:r>
    </w:p>
    <w:p>
      <w:pPr>
        <w:spacing w:after="140" w:line="276"/>
      </w:pPr>
      <w:r>
        <w:rPr>
          <w:rFonts w:ascii="Georgia" w:cs="Georgia" w:eastAsia="Georgia" w:hAnsi="Georgia"/>
          <w:sz w:val="21"/>
          <w:szCs w:val="21"/>
        </w:rPr>
        <w:t xml:space="preserve">We use the </w:t>
      </w:r>
      <w:r>
        <w:rPr>
          <w:rFonts w:ascii="Georgia" w:cs="Georgia" w:eastAsia="Georgia" w:hAnsi="Georgia"/>
          <w:i/>
          <w:iCs/>
          <w:sz w:val="21"/>
          <w:szCs w:val="21"/>
        </w:rPr>
        <w:t xml:space="preserve">voces magicae</w:t>
      </w:r>
      <w:r>
        <w:rPr>
          <w:rFonts w:ascii="Georgia" w:cs="Georgia" w:eastAsia="Georgia" w:hAnsi="Georgia"/>
          <w:sz w:val="21"/>
          <w:szCs w:val="21"/>
        </w:rPr>
        <w:t xml:space="preserve"> — the “barbarous names” of the Greek Magical Papyri, strings their own tradition holds to be efficacious through form rather than meaning — as a clinical, meaning-evacuated probe of how a transformer encodes the boundary between language, name, and ornament. Against a token-isomorphic shadow cohort (exact subword-count match, 76/76; surprisal-matched controls), we extract per-layer representations from Qwen2.5 and ask whether the model separates attested ritual strings from matched controls (H1) and whether it holds them as </w:t>
      </w:r>
      <w:r>
        <w:rPr>
          <w:rFonts w:ascii="Georgia" w:cs="Georgia" w:eastAsia="Georgia" w:hAnsi="Georgia"/>
          <w:i/>
          <w:iCs/>
          <w:sz w:val="21"/>
          <w:szCs w:val="21"/>
        </w:rPr>
        <w:t xml:space="preserve">name-like</w:t>
      </w:r>
      <w:r>
        <w:rPr>
          <w:rFonts w:ascii="Georgia" w:cs="Georgia" w:eastAsia="Georgia" w:hAnsi="Georgia"/>
          <w:sz w:val="21"/>
          <w:szCs w:val="21"/>
        </w:rPr>
        <w:t xml:space="preserve"> in a </w:t>
      </w:r>
      <w:r>
        <w:rPr>
          <w:rFonts w:ascii="Georgia" w:cs="Georgia" w:eastAsia="Georgia" w:hAnsi="Georgia"/>
          <w:i/>
          <w:iCs/>
          <w:sz w:val="21"/>
          <w:szCs w:val="21"/>
        </w:rPr>
        <w:t xml:space="preserve">voces-specific</w:t>
      </w:r>
      <w:r>
        <w:rPr>
          <w:rFonts w:ascii="Georgia" w:cs="Georgia" w:eastAsia="Georgia" w:hAnsi="Georgia"/>
          <w:sz w:val="21"/>
          <w:szCs w:val="21"/>
        </w:rPr>
        <w:t xml:space="preserve"> way (H2). H1 is a clean, robust positive: family-split probes reach 0.89–0.94 accuracy against a near-chance surprisal-only baseline, surviving a within-family scale change (3B↔7B; cross-family untested) and the removal of 4-bit quantization. The model recognizes the orthographic </w:t>
      </w:r>
      <w:r>
        <w:rPr>
          <w:rFonts w:ascii="Georgia" w:cs="Georgia" w:eastAsia="Georgia" w:hAnsi="Georgia"/>
          <w:i/>
          <w:iCs/>
          <w:sz w:val="21"/>
          <w:szCs w:val="21"/>
        </w:rPr>
        <w:t xml:space="preserve">texture</w:t>
      </w:r>
      <w:r>
        <w:rPr>
          <w:rFonts w:ascii="Georgia" w:cs="Georgia" w:eastAsia="Georgia" w:hAnsi="Georgia"/>
          <w:sz w:val="21"/>
          <w:szCs w:val="21"/>
        </w:rPr>
        <w:t xml:space="preserve"> of a barbarous name on sight. But that recognition is </w:t>
      </w:r>
      <w:r>
        <w:rPr>
          <w:rFonts w:ascii="Georgia" w:cs="Georgia" w:eastAsia="Georgia" w:hAnsi="Georgia"/>
          <w:b/>
          <w:bCs/>
          <w:sz w:val="21"/>
          <w:szCs w:val="21"/>
        </w:rPr>
        <w:t xml:space="preserve">shallow</w:t>
      </w:r>
      <w:r>
        <w:rPr>
          <w:rFonts w:ascii="Georgia" w:cs="Georgia" w:eastAsia="Georgia" w:hAnsi="Georgia"/>
          <w:sz w:val="21"/>
          <w:szCs w:val="21"/>
        </w:rPr>
        <w:t xml:space="preserve">: it peaks at the embedding/early layers and washes out by mid-network, in both scripts. An intermediate run suggested name-likeness persists deep in Greek script; a decisive control dissolves it. When the token-matched </w:t>
      </w:r>
      <w:r>
        <w:rPr>
          <w:rFonts w:ascii="Georgia" w:cs="Georgia" w:eastAsia="Georgia" w:hAnsi="Georgia"/>
          <w:i/>
          <w:iCs/>
          <w:sz w:val="21"/>
          <w:szCs w:val="21"/>
        </w:rPr>
        <w:t xml:space="preserve">nonsense</w:t>
      </w:r>
      <w:r>
        <w:rPr>
          <w:rFonts w:ascii="Georgia" w:cs="Georgia" w:eastAsia="Georgia" w:hAnsi="Georgia"/>
          <w:sz w:val="21"/>
          <w:szCs w:val="21"/>
        </w:rPr>
        <w:t xml:space="preserve"> controls are themselves rendered in Greek, they persist deep </w:t>
      </w:r>
      <w:r>
        <w:rPr>
          <w:rFonts w:ascii="Georgia" w:cs="Georgia" w:eastAsia="Georgia" w:hAnsi="Georgia"/>
          <w:i/>
          <w:iCs/>
          <w:sz w:val="21"/>
          <w:szCs w:val="21"/>
        </w:rPr>
        <w:t xml:space="preserve">as much as the voces do</w:t>
      </w:r>
      <w:r>
        <w:rPr>
          <w:rFonts w:ascii="Georgia" w:cs="Georgia" w:eastAsia="Georgia" w:hAnsi="Georgia"/>
          <w:sz w:val="21"/>
          <w:szCs w:val="21"/>
        </w:rPr>
        <w:t xml:space="preserve"> (voces +0.027 vs controls +0.020; p = 0.224, n = 49). The deep-Greek persistence is therefore a property of </w:t>
      </w:r>
      <w:r>
        <w:rPr>
          <w:rFonts w:ascii="Georgia" w:cs="Georgia" w:eastAsia="Georgia" w:hAnsi="Georgia"/>
          <w:b/>
          <w:bCs/>
          <w:sz w:val="21"/>
          <w:szCs w:val="21"/>
        </w:rPr>
        <w:t xml:space="preserve">Greek script processing</w:t>
      </w:r>
      <w:r>
        <w:rPr>
          <w:rFonts w:ascii="Georgia" w:cs="Georgia" w:eastAsia="Georgia" w:hAnsi="Georgia"/>
          <w:sz w:val="21"/>
          <w:szCs w:val="21"/>
        </w:rPr>
        <w:t xml:space="preserve">, not of the voces. The honest result: the model knows the </w:t>
      </w:r>
      <w:r>
        <w:rPr>
          <w:rFonts w:ascii="Georgia" w:cs="Georgia" w:eastAsia="Georgia" w:hAnsi="Georgia"/>
          <w:i/>
          <w:iCs/>
          <w:sz w:val="21"/>
          <w:szCs w:val="21"/>
        </w:rPr>
        <w:t xml:space="preserve">look</w:t>
      </w:r>
      <w:r>
        <w:rPr>
          <w:rFonts w:ascii="Georgia" w:cs="Georgia" w:eastAsia="Georgia" w:hAnsi="Georgia"/>
          <w:sz w:val="21"/>
          <w:szCs w:val="21"/>
        </w:rPr>
        <w:t xml:space="preserve"> of a name-of-power but holds no deep, voces-specific representation of its supposed substance. Geometry bought adjacency, not aboutness; the adjacency is surface; the depth was Greek, not magic.</w:t>
      </w:r>
    </w:p>
    <w:p>
      <w:pPr>
        <w:pBdr>
          <w:bottom w:val="single" w:color="8A7A5C" w:sz="6" w:space="1"/>
        </w:pBdr>
        <w:spacing w:after="120" w:before="60"/>
      </w:pPr>
    </w:p>
    <w:p>
      <w:pPr>
        <w:pStyle w:val="Heading1"/>
        <w:spacing w:after="140" w:before="280"/>
      </w:pPr>
      <w:r>
        <w:rPr>
          <w:rFonts w:ascii="Arial" w:cs="Arial" w:eastAsia="Arial" w:hAnsi="Arial"/>
          <w:b/>
          <w:bCs/>
          <w:sz w:val="26"/>
          <w:szCs w:val="26"/>
        </w:rPr>
        <w:t xml:space="preserve">1. The Question, and Why It Survives a Null</w:t>
      </w:r>
    </w:p>
    <w:p>
      <w:pPr>
        <w:spacing w:after="140" w:line="276"/>
      </w:pPr>
      <w:r>
        <w:rPr>
          <w:rFonts w:ascii="Georgia" w:cs="Georgia" w:eastAsia="Georgia" w:hAnsi="Georgia"/>
          <w:sz w:val="21"/>
          <w:szCs w:val="21"/>
        </w:rPr>
        <w:t xml:space="preserve">The </w:t>
      </w:r>
      <w:r>
        <w:rPr>
          <w:rFonts w:ascii="Georgia" w:cs="Georgia" w:eastAsia="Georgia" w:hAnsi="Georgia"/>
          <w:i/>
          <w:iCs/>
          <w:sz w:val="21"/>
          <w:szCs w:val="21"/>
        </w:rPr>
        <w:t xml:space="preserve">voces magicae</w:t>
      </w:r>
      <w:r>
        <w:rPr>
          <w:rFonts w:ascii="Georgia" w:cs="Georgia" w:eastAsia="Georgia" w:hAnsi="Georgia"/>
          <w:sz w:val="21"/>
          <w:szCs w:val="21"/>
        </w:rPr>
        <w:t xml:space="preserve"> are language deliberately built to operate without reference — efficacious, in the tradition’s own theory, through correct phonetic and visual </w:t>
      </w:r>
      <w:r>
        <w:rPr>
          <w:rFonts w:ascii="Georgia" w:cs="Georgia" w:eastAsia="Georgia" w:hAnsi="Georgia"/>
          <w:i/>
          <w:iCs/>
          <w:sz w:val="21"/>
          <w:szCs w:val="21"/>
        </w:rPr>
        <w:t xml:space="preserve">form</w:t>
      </w:r>
      <w:r>
        <w:rPr>
          <w:rFonts w:ascii="Georgia" w:cs="Georgia" w:eastAsia="Georgia" w:hAnsi="Georgia"/>
          <w:sz w:val="21"/>
          <w:szCs w:val="21"/>
        </w:rPr>
        <w:t xml:space="preserve">, not through what they denote. This rhymes structurally with what a transformer is: a system that processes the form of tokens with no native concept of the objects a name might point to. </w:t>
      </w:r>
      <w:r>
        <w:rPr>
          <w:rFonts w:ascii="Georgia" w:cs="Georgia" w:eastAsia="Georgia" w:hAnsi="Georgia"/>
          <w:b/>
          <w:bCs/>
          <w:sz w:val="21"/>
          <w:szCs w:val="21"/>
        </w:rPr>
        <w:t xml:space="preserve">Structural rhyme, not identity</w:t>
      </w:r>
      <w:r>
        <w:rPr>
          <w:rFonts w:ascii="Georgia" w:cs="Georgia" w:eastAsia="Georgia" w:hAnsi="Georgia"/>
          <w:sz w:val="21"/>
          <w:szCs w:val="21"/>
        </w:rPr>
        <w:t xml:space="preserve"> — and the rhyme is why the voces are the right probe. The question is not whether the magicians were right. It is whether the model can recognize the </w:t>
      </w:r>
      <w:r>
        <w:rPr>
          <w:rFonts w:ascii="Georgia" w:cs="Georgia" w:eastAsia="Georgia" w:hAnsi="Georgia"/>
          <w:i/>
          <w:iCs/>
          <w:sz w:val="21"/>
          <w:szCs w:val="21"/>
        </w:rPr>
        <w:t xml:space="preserve">texture</w:t>
      </w:r>
      <w:r>
        <w:rPr>
          <w:rFonts w:ascii="Georgia" w:cs="Georgia" w:eastAsia="Georgia" w:hAnsi="Georgia"/>
          <w:sz w:val="21"/>
          <w:szCs w:val="21"/>
        </w:rPr>
        <w:t xml:space="preserve"> of a barbarous name, and how deep that recognition runs.</w:t>
      </w:r>
    </w:p>
    <w:p>
      <w:pPr>
        <w:spacing w:after="140" w:line="276"/>
      </w:pPr>
      <w:r>
        <w:rPr>
          <w:rFonts w:ascii="Georgia" w:cs="Georgia" w:eastAsia="Georgia" w:hAnsi="Georgia"/>
          <w:sz w:val="21"/>
          <w:szCs w:val="21"/>
        </w:rPr>
        <w:t xml:space="preserve">This paper answers both, and the second answer is negative. We report it because a pre-registered null, cleanly obtained, is a result: it is, as the study’s own design anticipated, </w:t>
      </w:r>
      <w:r>
        <w:rPr>
          <w:rFonts w:ascii="Georgia" w:cs="Georgia" w:eastAsia="Georgia" w:hAnsi="Georgia"/>
          <w:i/>
          <w:iCs/>
          <w:sz w:val="21"/>
          <w:szCs w:val="21"/>
        </w:rPr>
        <w:t xml:space="preserve">a pointed comment on what subword tokenization does to exactly the language the magicians thought most powerful.</w:t>
      </w:r>
    </w:p>
    <w:p>
      <w:pPr>
        <w:pStyle w:val="Heading1"/>
        <w:spacing w:after="140" w:before="280"/>
      </w:pPr>
      <w:r>
        <w:rPr>
          <w:rFonts w:ascii="Arial" w:cs="Arial" w:eastAsia="Arial" w:hAnsi="Arial"/>
          <w:b/>
          <w:bCs/>
          <w:sz w:val="26"/>
          <w:szCs w:val="26"/>
        </w:rPr>
        <w:t xml:space="preserve">2. Method (brief)</w:t>
      </w:r>
    </w:p>
    <w:p>
      <w:pPr>
        <w:spacing w:after="140" w:line="276"/>
      </w:pPr>
      <w:r>
        <w:rPr>
          <w:rFonts w:ascii="Georgia" w:cs="Georgia" w:eastAsia="Georgia" w:hAnsi="Georgia"/>
          <w:sz w:val="21"/>
          <w:szCs w:val="21"/>
        </w:rPr>
        <w:t xml:space="preserve">Every attested target (n = 76 voces) is paired with token-isomorphic shadow controls matched per string on subword-token count, token-rarity, and character length, real words rejected. Match was exact on token count (76/76; mean |Δtokens| = 0.00) and close on rarity, with the residual gap running </w:t>
      </w:r>
      <w:r>
        <w:rPr>
          <w:rFonts w:ascii="Georgia" w:cs="Georgia" w:eastAsia="Georgia" w:hAnsi="Georgia"/>
          <w:i/>
          <w:iCs/>
          <w:sz w:val="21"/>
          <w:szCs w:val="21"/>
        </w:rPr>
        <w:t xml:space="preserve">against</w:t>
      </w:r>
      <w:r>
        <w:rPr>
          <w:rFonts w:ascii="Georgia" w:cs="Georgia" w:eastAsia="Georgia" w:hAnsi="Georgia"/>
          <w:sz w:val="21"/>
          <w:szCs w:val="21"/>
        </w:rPr>
        <w:t xml:space="preserve"> the hypothesis (a conservative confound). Strings are embedded in an identical neutral carrier frame and mean-pooled per layer. H1 uses L2 logistic probes under GroupKFold cross-validation split by string family (out-of-family generalization, not memorization), with a surprisal-only baseline as the frequency falsifier. Each string is rendered in Betz Latin transliteration and Greek script. Reported runs: Qwen2.5-7B (4-bit) and Qwen2.5-3B (fp16), seed 0.</w:t>
      </w:r>
    </w:p>
    <w:p>
      <w:pPr>
        <w:pStyle w:val="Heading1"/>
        <w:spacing w:after="140" w:before="280"/>
      </w:pPr>
      <w:r>
        <w:rPr>
          <w:rFonts w:ascii="Arial" w:cs="Arial" w:eastAsia="Arial" w:hAnsi="Arial"/>
          <w:b/>
          <w:bCs/>
          <w:sz w:val="26"/>
          <w:szCs w:val="26"/>
        </w:rPr>
        <w:t xml:space="preserve">3. Results</w:t>
      </w:r>
    </w:p>
    <w:p>
      <w:pPr>
        <w:pStyle w:val="Heading2"/>
        <w:spacing w:after="100" w:before="200"/>
      </w:pPr>
      <w:r>
        <w:rPr>
          <w:rFonts w:ascii="Arial" w:cs="Arial" w:eastAsia="Arial" w:hAnsi="Arial"/>
          <w:b/>
          <w:bCs/>
          <w:sz w:val="22"/>
          <w:szCs w:val="22"/>
        </w:rPr>
        <w:t xml:space="preserve">3.1 H1 — surface texture-recognition (robust positive)</w:t>
      </w:r>
    </w:p>
    <w:p>
      <w:pPr>
        <w:spacing w:after="140" w:line="276"/>
      </w:pPr>
      <w:r>
        <w:rPr>
          <w:rFonts w:ascii="Georgia" w:cs="Georgia" w:eastAsia="Georgia" w:hAnsi="Georgia"/>
          <w:sz w:val="21"/>
          <w:szCs w:val="21"/>
        </w:rPr>
        <w:t xml:space="preserve">Family-split probes reach peak 0.887–0.940 against a surprisal-only baseline near chance (0.51–0.53): the separability is </w:t>
      </w:r>
      <w:r>
        <w:rPr>
          <w:rFonts w:ascii="Georgia" w:cs="Georgia" w:eastAsia="Georgia" w:hAnsi="Georgia"/>
          <w:i/>
          <w:iCs/>
          <w:sz w:val="21"/>
          <w:szCs w:val="21"/>
        </w:rPr>
        <w:t xml:space="preserve">not</w:t>
      </w:r>
      <w:r>
        <w:rPr>
          <w:rFonts w:ascii="Georgia" w:cs="Georgia" w:eastAsia="Georgia" w:hAnsi="Georgia"/>
          <w:sz w:val="21"/>
          <w:szCs w:val="21"/>
        </w:rPr>
        <w:t xml:space="preserve"> frequency (refuted by a +0.38 margin) and </w:t>
      </w:r>
      <w:r>
        <w:rPr>
          <w:rFonts w:ascii="Georgia" w:cs="Georgia" w:eastAsia="Georgia" w:hAnsi="Georgia"/>
          <w:i/>
          <w:iCs/>
          <w:sz w:val="21"/>
          <w:szCs w:val="21"/>
        </w:rPr>
        <w:t xml:space="preserve">not</w:t>
      </w:r>
      <w:r>
        <w:rPr>
          <w:rFonts w:ascii="Georgia" w:cs="Georgia" w:eastAsia="Georgia" w:hAnsi="Georgia"/>
          <w:sz w:val="21"/>
          <w:szCs w:val="21"/>
        </w:rPr>
        <w:t xml:space="preserve"> tokenization (token count exactly matched). It reproduces across a within-family scale change (3B↔7B; cross-family untested) and across the removal of quantization. The peak is </w:t>
      </w:r>
      <w:r>
        <w:rPr>
          <w:rFonts w:ascii="Georgia" w:cs="Georgia" w:eastAsia="Georgia" w:hAnsi="Georgia"/>
          <w:i/>
          <w:iCs/>
          <w:sz w:val="21"/>
          <w:szCs w:val="21"/>
        </w:rPr>
        <w:t xml:space="preserve">early</w:t>
      </w:r>
      <w:r>
        <w:rPr>
          <w:rFonts w:ascii="Georgia" w:cs="Georgia" w:eastAsia="Georgia" w:hAnsi="Georgia"/>
          <w:sz w:val="21"/>
          <w:szCs w:val="21"/>
        </w:rPr>
        <w:t xml:space="preserve"> (≈ 15–20% depth) — the recognition lives near the input surface.</w:t>
      </w:r>
    </w:p>
    <w:p>
      <w:pPr>
        <w:pStyle w:val="Heading2"/>
        <w:spacing w:after="100" w:before="200"/>
      </w:pPr>
      <w:r>
        <w:rPr>
          <w:rFonts w:ascii="Arial" w:cs="Arial" w:eastAsia="Arial" w:hAnsi="Arial"/>
          <w:b/>
          <w:bCs/>
          <w:sz w:val="22"/>
          <w:szCs w:val="22"/>
        </w:rPr>
        <w:t xml:space="preserve">3.2 H2 — the recognition is shallow, in both scripts</w:t>
      </w:r>
    </w:p>
    <w:p>
      <w:pPr>
        <w:spacing w:after="140" w:line="276"/>
      </w:pPr>
      <w:r>
        <w:rPr>
          <w:rFonts w:ascii="Georgia" w:cs="Georgia" w:eastAsia="Georgia" w:hAnsi="Georgia"/>
          <w:sz w:val="21"/>
          <w:szCs w:val="21"/>
        </w:rPr>
        <w:t xml:space="preserve">Pure-asemic, low-contamination name-likeness in the Latin alphabet peaks at layer ~1 (+0.090), crosses zero by layer 10, and goes </w:t>
      </w:r>
      <w:r>
        <w:rPr>
          <w:rFonts w:ascii="Georgia" w:cs="Georgia" w:eastAsia="Georgia" w:hAnsi="Georgia"/>
          <w:i/>
          <w:iCs/>
          <w:sz w:val="21"/>
          <w:szCs w:val="21"/>
        </w:rPr>
        <w:t xml:space="preserve">negative</w:t>
      </w:r>
      <w:r>
        <w:rPr>
          <w:rFonts w:ascii="Georgia" w:cs="Georgia" w:eastAsia="Georgia" w:hAnsi="Georgia"/>
          <w:sz w:val="21"/>
          <w:szCs w:val="21"/>
        </w:rPr>
        <w:t xml:space="preserve"> through the middle layers before drifting back. A property that lives where orthography lives and vanishes where contextual abstraction begins is </w:t>
      </w:r>
      <w:r>
        <w:rPr>
          <w:rFonts w:ascii="Georgia" w:cs="Georgia" w:eastAsia="Georgia" w:hAnsi="Georgia"/>
          <w:i/>
          <w:iCs/>
          <w:sz w:val="21"/>
          <w:szCs w:val="21"/>
        </w:rPr>
        <w:t xml:space="preserve">surface</w:t>
      </w:r>
      <w:r>
        <w:rPr>
          <w:rFonts w:ascii="Georgia" w:cs="Georgia" w:eastAsia="Georgia" w:hAnsi="Georgia"/>
          <w:sz w:val="21"/>
          <w:szCs w:val="21"/>
        </w:rPr>
        <w:t xml:space="preserve">. The theonym split is null; the low variance across strings is itself consistent with a shared </w:t>
      </w:r>
      <w:r>
        <w:rPr>
          <w:rFonts w:ascii="Georgia" w:cs="Georgia" w:eastAsia="Georgia" w:hAnsi="Georgia"/>
          <w:i/>
          <w:iCs/>
          <w:sz w:val="21"/>
          <w:szCs w:val="21"/>
        </w:rPr>
        <w:t xml:space="preserve">orthographic</w:t>
      </w:r>
      <w:r>
        <w:rPr>
          <w:rFonts w:ascii="Georgia" w:cs="Georgia" w:eastAsia="Georgia" w:hAnsi="Georgia"/>
          <w:sz w:val="21"/>
          <w:szCs w:val="21"/>
        </w:rPr>
        <w:t xml:space="preserve"> feature, not a distributed semantic one.</w:t>
      </w:r>
    </w:p>
    <w:p>
      <w:pPr>
        <w:pStyle w:val="Heading2"/>
        <w:spacing w:after="100" w:before="200"/>
      </w:pPr>
      <w:r>
        <w:rPr>
          <w:rFonts w:ascii="Arial" w:cs="Arial" w:eastAsia="Arial" w:hAnsi="Arial"/>
          <w:b/>
          <w:bCs/>
          <w:sz w:val="22"/>
          <w:szCs w:val="22"/>
        </w:rPr>
        <w:t xml:space="preserve">3.3 The intermediate lead, and the control that dissolved it</w:t>
      </w:r>
    </w:p>
    <w:p>
      <w:pPr>
        <w:spacing w:after="140" w:line="276"/>
      </w:pPr>
      <w:r>
        <w:rPr>
          <w:rFonts w:ascii="Georgia" w:cs="Georgia" w:eastAsia="Georgia" w:hAnsi="Georgia"/>
          <w:sz w:val="21"/>
          <w:szCs w:val="21"/>
        </w:rPr>
        <w:t xml:space="preserve">An intermediate run showed name-likeness </w:t>
      </w:r>
      <w:r>
        <w:rPr>
          <w:rFonts w:ascii="Georgia" w:cs="Georgia" w:eastAsia="Georgia" w:hAnsi="Georgia"/>
          <w:i/>
          <w:iCs/>
          <w:sz w:val="21"/>
          <w:szCs w:val="21"/>
        </w:rPr>
        <w:t xml:space="preserve">persisting deep in Greek script</w:t>
      </w:r>
      <w:r>
        <w:rPr>
          <w:rFonts w:ascii="Georgia" w:cs="Georgia" w:eastAsia="Georgia" w:hAnsi="Georgia"/>
          <w:sz w:val="21"/>
          <w:szCs w:val="21"/>
        </w:rPr>
        <w:t xml:space="preserve"> while dying in Latin — the same strings, only the alphabet changed. A same-strings de-confound first ruled out a transliteration artifact: authentic Greek and the identical strings under algorithmic transliteration gave near-identical depth profiles (deep 0.024 vs 0.021), so the effect was encoding-invariant. That was promising. But it left one confound unclosed: the deep comparison had only ever pitted voces-in-Greek against the </w:t>
      </w:r>
      <w:r>
        <w:rPr>
          <w:rFonts w:ascii="Georgia" w:cs="Georgia" w:eastAsia="Georgia" w:hAnsi="Georgia"/>
          <w:i/>
          <w:iCs/>
          <w:sz w:val="21"/>
          <w:szCs w:val="21"/>
        </w:rPr>
        <w:t xml:space="preserve">Latin</w:t>
      </w:r>
      <w:r>
        <w:rPr>
          <w:rFonts w:ascii="Georgia" w:cs="Georgia" w:eastAsia="Georgia" w:hAnsi="Georgia"/>
          <w:sz w:val="21"/>
          <w:szCs w:val="21"/>
        </w:rPr>
        <w:t xml:space="preserve"> baseline — never against </w:t>
      </w:r>
      <w:r>
        <w:rPr>
          <w:rFonts w:ascii="Georgia" w:cs="Georgia" w:eastAsia="Georgia" w:hAnsi="Georgia"/>
          <w:i/>
          <w:iCs/>
          <w:sz w:val="21"/>
          <w:szCs w:val="21"/>
        </w:rPr>
        <w:t xml:space="preserve">controls-in-Greek</w:t>
      </w:r>
      <w:r>
        <w:rPr>
          <w:rFonts w:ascii="Georgia" w:cs="Georgia" w:eastAsia="Georgia" w:hAnsi="Georgia"/>
          <w:sz w:val="21"/>
          <w:szCs w:val="21"/>
        </w:rPr>
        <w:t xml:space="preserve">. The decisive probe renders the token-matched nonsense controls in Greek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E8E4DC" w:val="clear"/>
            <w:tcMar>
              <w:top w:type="dxa" w:w="60"/>
              <w:left w:type="dxa" w:w="110"/>
              <w:bottom w:type="dxa" w:w="60"/>
              <w:right w:type="dxa" w:w="110"/>
            </w:tcMar>
          </w:tcPr>
          <w:p>
            <w:r>
              <w:rPr>
                <w:rFonts w:ascii="Arial" w:cs="Arial" w:eastAsia="Arial" w:hAnsi="Arial"/>
                <w:b/>
                <w:bCs/>
                <w:i w:val="false"/>
                <w:iCs w:val="false"/>
                <w:sz w:val="18"/>
                <w:szCs w:val="18"/>
              </w:rPr>
              <w:t xml:space="preserve">Script</w:t>
            </w:r>
          </w:p>
        </w:tc>
        <w:tc>
          <w:tcPr>
            <w:tcW w:type="dxa" w:w="2320"/>
            <w:tcBorders>
              <w:top w:val="single" w:color="CCCCCC" w:sz="1"/>
              <w:left w:val="single" w:color="CCCCCC" w:sz="1"/>
              <w:bottom w:val="single" w:color="CCCCCC" w:sz="1"/>
              <w:right w:val="single" w:color="CCCCCC" w:sz="1"/>
            </w:tcBorders>
            <w:shd w:fill="E8E4DC" w:val="clear"/>
            <w:tcMar>
              <w:top w:type="dxa" w:w="60"/>
              <w:left w:type="dxa" w:w="110"/>
              <w:bottom w:type="dxa" w:w="60"/>
              <w:right w:type="dxa" w:w="110"/>
            </w:tcMar>
          </w:tcPr>
          <w:p>
            <w:r>
              <w:rPr>
                <w:rFonts w:ascii="Arial" w:cs="Arial" w:eastAsia="Arial" w:hAnsi="Arial"/>
                <w:b/>
                <w:bCs/>
                <w:i w:val="false"/>
                <w:iCs w:val="false"/>
                <w:sz w:val="18"/>
                <w:szCs w:val="18"/>
              </w:rPr>
              <w:t xml:space="preserve">Voces (deep)</w:t>
            </w:r>
          </w:p>
        </w:tc>
        <w:tc>
          <w:tcPr>
            <w:tcW w:type="dxa" w:w="2320"/>
            <w:tcBorders>
              <w:top w:val="single" w:color="CCCCCC" w:sz="1"/>
              <w:left w:val="single" w:color="CCCCCC" w:sz="1"/>
              <w:bottom w:val="single" w:color="CCCCCC" w:sz="1"/>
              <w:right w:val="single" w:color="CCCCCC" w:sz="1"/>
            </w:tcBorders>
            <w:shd w:fill="E8E4DC" w:val="clear"/>
            <w:tcMar>
              <w:top w:type="dxa" w:w="60"/>
              <w:left w:type="dxa" w:w="110"/>
              <w:bottom w:type="dxa" w:w="60"/>
              <w:right w:type="dxa" w:w="110"/>
            </w:tcMar>
          </w:tcPr>
          <w:p>
            <w:r>
              <w:rPr>
                <w:rFonts w:ascii="Arial" w:cs="Arial" w:eastAsia="Arial" w:hAnsi="Arial"/>
                <w:b/>
                <w:bCs/>
                <w:i w:val="false"/>
                <w:iCs w:val="false"/>
                <w:sz w:val="18"/>
                <w:szCs w:val="18"/>
              </w:rPr>
              <w:t xml:space="preserve">Token-match controls (deep)</w:t>
            </w:r>
          </w:p>
        </w:tc>
        <w:tc>
          <w:tcPr>
            <w:tcW w:type="dxa" w:w="2320"/>
            <w:tcBorders>
              <w:top w:val="single" w:color="CCCCCC" w:sz="1"/>
              <w:left w:val="single" w:color="CCCCCC" w:sz="1"/>
              <w:bottom w:val="single" w:color="CCCCCC" w:sz="1"/>
              <w:right w:val="single" w:color="CCCCCC" w:sz="1"/>
            </w:tcBorders>
            <w:shd w:fill="E8E4DC" w:val="clear"/>
            <w:tcMar>
              <w:top w:type="dxa" w:w="60"/>
              <w:left w:type="dxa" w:w="110"/>
              <w:bottom w:type="dxa" w:w="60"/>
              <w:right w:type="dxa" w:w="110"/>
            </w:tcMar>
          </w:tcPr>
          <w:p>
            <w:r>
              <w:rPr>
                <w:rFonts w:ascii="Arial" w:cs="Arial" w:eastAsia="Arial" w:hAnsi="Arial"/>
                <w:b/>
                <w:bCs/>
                <w:i w:val="false"/>
                <w:iCs w:val="false"/>
                <w:sz w:val="18"/>
                <w:szCs w:val="18"/>
              </w:rPr>
              <w:t xml:space="preserve">voces &gt; controls</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i w:val="false"/>
                <w:iCs w:val="false"/>
                <w:sz w:val="18"/>
                <w:szCs w:val="18"/>
              </w:rPr>
              <w:t xml:space="preserve">Greek</w:t>
            </w:r>
          </w:p>
        </w:tc>
        <w:tc>
          <w:tcPr>
            <w:tcW w:type="dxa" w:w="23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i w:val="false"/>
                <w:iCs w:val="false"/>
                <w:sz w:val="18"/>
                <w:szCs w:val="18"/>
              </w:rPr>
              <w:t xml:space="preserve">+0.027</w:t>
            </w:r>
          </w:p>
        </w:tc>
        <w:tc>
          <w:tcPr>
            <w:tcW w:type="dxa" w:w="23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i w:val="false"/>
                <w:iCs w:val="false"/>
                <w:sz w:val="18"/>
                <w:szCs w:val="18"/>
              </w:rPr>
              <w:t xml:space="preserve">+0.020</w:t>
            </w:r>
          </w:p>
        </w:tc>
        <w:tc>
          <w:tcPr>
            <w:tcW w:type="dxa" w:w="23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i/>
                <w:iCs/>
                <w:sz w:val="18"/>
                <w:szCs w:val="18"/>
              </w:rPr>
              <w:t xml:space="preserve">p = 0.224 (n.s.)</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i w:val="false"/>
                <w:iCs w:val="false"/>
                <w:sz w:val="18"/>
                <w:szCs w:val="18"/>
              </w:rPr>
              <w:t xml:space="preserve">Latin</w:t>
            </w:r>
          </w:p>
        </w:tc>
        <w:tc>
          <w:tcPr>
            <w:tcW w:type="dxa" w:w="23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i w:val="false"/>
                <w:iCs w:val="false"/>
                <w:sz w:val="18"/>
                <w:szCs w:val="18"/>
              </w:rPr>
              <w:t xml:space="preserve">+0.004</w:t>
            </w:r>
          </w:p>
        </w:tc>
        <w:tc>
          <w:tcPr>
            <w:tcW w:type="dxa" w:w="23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i w:val="false"/>
                <w:iCs w:val="false"/>
                <w:sz w:val="18"/>
                <w:szCs w:val="18"/>
              </w:rPr>
              <w:t xml:space="preserve">+0.010</w:t>
            </w:r>
          </w:p>
        </w:tc>
        <w:tc>
          <w:tcPr>
            <w:tcW w:type="dxa" w:w="23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i/>
                <w:iCs/>
                <w:sz w:val="18"/>
                <w:szCs w:val="18"/>
              </w:rPr>
              <w:t xml:space="preserve">p = 0.886 (n.s.)</w:t>
            </w:r>
          </w:p>
        </w:tc>
      </w:tr>
    </w:tbl>
    <w:p>
      <w:pPr>
        <w:spacing w:after="160" w:before="80"/>
      </w:pPr>
      <w:r>
        <w:rPr>
          <w:rFonts w:ascii="Georgia" w:cs="Georgia" w:eastAsia="Georgia" w:hAnsi="Georgia"/>
          <w:i/>
          <w:iCs/>
          <w:color w:val="555555"/>
          <w:sz w:val="18"/>
          <w:szCs w:val="18"/>
        </w:rPr>
        <w:t xml:space="preserve">Table 1. Deep-layer name-likeness, voces vs. token-matched controls, by script (n = 49). In Greek, matched nonsense persists deep almost as much as the voces; the difference is not significant. The deep-Greek effect is not voces-specific.</w:t>
      </w:r>
    </w:p>
    <w:p>
      <w:pPr>
        <w:spacing w:after="140" w:line="276"/>
      </w:pPr>
      <w:r>
        <w:rPr>
          <w:rFonts w:ascii="Georgia" w:cs="Georgia" w:eastAsia="Georgia" w:hAnsi="Georgia"/>
          <w:sz w:val="21"/>
          <w:szCs w:val="21"/>
        </w:rPr>
        <w:t xml:space="preserve">In Greek, the matched nonsense controls persist deep </w:t>
      </w:r>
      <w:r>
        <w:rPr>
          <w:rFonts w:ascii="Georgia" w:cs="Georgia" w:eastAsia="Georgia" w:hAnsi="Georgia"/>
          <w:i/>
          <w:iCs/>
          <w:sz w:val="21"/>
          <w:szCs w:val="21"/>
        </w:rPr>
        <w:t xml:space="preserve">almost as much as the voces</w:t>
      </w:r>
      <w:r>
        <w:rPr>
          <w:rFonts w:ascii="Georgia" w:cs="Georgia" w:eastAsia="Georgia" w:hAnsi="Georgia"/>
          <w:sz w:val="21"/>
          <w:szCs w:val="21"/>
        </w:rPr>
        <w:t xml:space="preserve"> (+0.020 vs +0.027, p = 0.224). The deep-Greek persistence that looked exciting is a property of Greek </w:t>
      </w:r>
      <w:r>
        <w:rPr>
          <w:rFonts w:ascii="Georgia" w:cs="Georgia" w:eastAsia="Georgia" w:hAnsi="Georgia"/>
          <w:i/>
          <w:iCs/>
          <w:sz w:val="21"/>
          <w:szCs w:val="21"/>
        </w:rPr>
        <w:t xml:space="preserve">script</w:t>
      </w:r>
      <w:r>
        <w:rPr>
          <w:rFonts w:ascii="Georgia" w:cs="Georgia" w:eastAsia="Georgia" w:hAnsi="Georgia"/>
          <w:sz w:val="21"/>
          <w:szCs w:val="21"/>
        </w:rPr>
        <w:t xml:space="preserve">, not of the voces. Greek script keeps </w:t>
      </w:r>
      <w:r>
        <w:rPr>
          <w:rFonts w:ascii="Georgia" w:cs="Georgia" w:eastAsia="Georgia" w:hAnsi="Georgia"/>
          <w:i/>
          <w:iCs/>
          <w:sz w:val="21"/>
          <w:szCs w:val="21"/>
        </w:rPr>
        <w:t xml:space="preserve">any</w:t>
      </w:r>
      <w:r>
        <w:rPr>
          <w:rFonts w:ascii="Georgia" w:cs="Georgia" w:eastAsia="Georgia" w:hAnsi="Georgia"/>
          <w:sz w:val="21"/>
          <w:szCs w:val="21"/>
        </w:rPr>
        <w:t xml:space="preserve"> plausible string name-adjacent deeper than Latin transliteration does; the barbarous names are not special down there.</w:t>
      </w:r>
    </w:p>
    <w:p>
      <w:pPr>
        <w:pStyle w:val="Heading1"/>
        <w:spacing w:after="140" w:before="280"/>
      </w:pPr>
      <w:r>
        <w:rPr>
          <w:rFonts w:ascii="Arial" w:cs="Arial" w:eastAsia="Arial" w:hAnsi="Arial"/>
          <w:b/>
          <w:bCs/>
          <w:sz w:val="26"/>
          <w:szCs w:val="26"/>
        </w:rPr>
        <w:t xml:space="preserve">4. What Survives, and What Doesn’t</w:t>
      </w:r>
    </w:p>
    <w:p>
      <w:pPr>
        <w:spacing w:after="140" w:line="276"/>
      </w:pPr>
      <w:r>
        <w:rPr>
          <w:rFonts w:ascii="Georgia" w:cs="Georgia" w:eastAsia="Georgia" w:hAnsi="Georgia"/>
          <w:sz w:val="21"/>
          <w:szCs w:val="21"/>
        </w:rPr>
        <w:t xml:space="preserve">Stated at its true weight:</w:t>
      </w:r>
    </w:p>
    <w:p>
      <w:pPr>
        <w:pStyle w:val="ListParagraph"/>
        <w:numPr>
          <w:ilvl w:val="0"/>
          <w:numId w:val="2"/>
        </w:numPr>
        <w:spacing w:after="90" w:line="276"/>
      </w:pPr>
      <w:r>
        <w:rPr>
          <w:rFonts w:ascii="Georgia" w:cs="Georgia" w:eastAsia="Georgia" w:hAnsi="Georgia"/>
          <w:b/>
          <w:bCs/>
          <w:sz w:val="21"/>
          <w:szCs w:val="21"/>
        </w:rPr>
        <w:t xml:space="preserve">Texture-recognition is real and shallow. </w:t>
      </w:r>
      <w:r>
        <w:rPr>
          <w:rFonts w:ascii="Georgia" w:cs="Georgia" w:eastAsia="Georgia" w:hAnsi="Georgia"/>
          <w:sz w:val="21"/>
          <w:szCs w:val="21"/>
        </w:rPr>
        <w:t xml:space="preserve">The model recognizes the orthographic surface-texture of a vox magica on sight (H1), and that recognition washes out by mid-network. It knows the look of a name-of-power, not — on this evidence — any deeper substance.</w:t>
      </w:r>
    </w:p>
    <w:p>
      <w:pPr>
        <w:pStyle w:val="ListParagraph"/>
        <w:numPr>
          <w:ilvl w:val="0"/>
          <w:numId w:val="2"/>
        </w:numPr>
        <w:spacing w:after="90" w:line="276"/>
      </w:pPr>
      <w:r>
        <w:rPr>
          <w:rFonts w:ascii="Georgia" w:cs="Georgia" w:eastAsia="Georgia" w:hAnsi="Georgia"/>
          <w:b/>
          <w:bCs/>
          <w:sz w:val="21"/>
          <w:szCs w:val="21"/>
        </w:rPr>
        <w:t xml:space="preserve">The deep-Greek effect is a script-processing fact, not a voces fact. </w:t>
      </w:r>
      <w:r>
        <w:rPr>
          <w:rFonts w:ascii="Georgia" w:cs="Georgia" w:eastAsia="Georgia" w:hAnsi="Georgia"/>
          <w:sz w:val="21"/>
          <w:szCs w:val="21"/>
        </w:rPr>
        <w:t xml:space="preserve">Greek-script tokens are held name-adjacent deeper than Latin ones, for voces and nonsense alike. A genuine, incidental finding about how script is represented — reported as a control-confound caught, not as the headline.</w:t>
      </w:r>
    </w:p>
    <w:p>
      <w:pPr>
        <w:pStyle w:val="ListParagraph"/>
        <w:numPr>
          <w:ilvl w:val="0"/>
          <w:numId w:val="2"/>
        </w:numPr>
        <w:spacing w:after="90" w:line="276"/>
      </w:pPr>
      <w:r>
        <w:rPr>
          <w:rFonts w:ascii="Georgia" w:cs="Georgia" w:eastAsia="Georgia" w:hAnsi="Georgia"/>
          <w:b/>
          <w:bCs/>
          <w:sz w:val="21"/>
          <w:szCs w:val="21"/>
        </w:rPr>
        <w:t xml:space="preserve">Geometry bought adjacency, not aboutness. </w:t>
      </w:r>
      <w:r>
        <w:rPr>
          <w:rFonts w:ascii="Georgia" w:cs="Georgia" w:eastAsia="Georgia" w:hAnsi="Georgia"/>
          <w:sz w:val="21"/>
          <w:szCs w:val="21"/>
        </w:rPr>
        <w:t xml:space="preserve">The adjacency is surface; the depth was Greek, not magic.</w:t>
      </w:r>
    </w:p>
    <w:p>
      <w:pPr>
        <w:pStyle w:val="Heading1"/>
        <w:spacing w:after="140" w:before="280"/>
      </w:pPr>
      <w:r>
        <w:rPr>
          <w:rFonts w:ascii="Arial" w:cs="Arial" w:eastAsia="Arial" w:hAnsi="Arial"/>
          <w:b/>
          <w:bCs/>
          <w:sz w:val="26"/>
          <w:szCs w:val="26"/>
        </w:rPr>
        <w:t xml:space="preserve">5. The One Honest Hedge</w:t>
      </w:r>
    </w:p>
    <w:p>
      <w:pPr>
        <w:spacing w:after="140" w:line="276"/>
      </w:pPr>
      <w:r>
        <w:rPr>
          <w:rFonts w:ascii="Georgia" w:cs="Georgia" w:eastAsia="Georgia" w:hAnsi="Georgia"/>
          <w:sz w:val="21"/>
          <w:szCs w:val="21"/>
        </w:rPr>
        <w:t xml:space="preserve">The voces &gt; control point estimate leans the predicted way (+0.007 in Greek) but sits inside the noise at n = 49. So the strong claim — a deep, voces-specific representation — is </w:t>
      </w:r>
      <w:r>
        <w:rPr>
          <w:rFonts w:ascii="Georgia" w:cs="Georgia" w:eastAsia="Georgia" w:hAnsi="Georgia"/>
          <w:b/>
          <w:bCs/>
          <w:sz w:val="21"/>
          <w:szCs w:val="21"/>
        </w:rPr>
        <w:t xml:space="preserve">unsupported at this power, not disproven</w:t>
      </w:r>
      <w:r>
        <w:rPr>
          <w:rFonts w:ascii="Georgia" w:cs="Georgia" w:eastAsia="Georgia" w:hAnsi="Georgia"/>
          <w:sz w:val="21"/>
          <w:szCs w:val="21"/>
        </w:rPr>
        <w:t xml:space="preserve">. A high-power 7B-fp16 run could revisit whether a small voces-specific deep residual exists beneath the script effect. The MVP conclusion is deflationary, and this paper states it plainly; it does not claim the deep effect is exactly zero, only that this design cannot distinguish it from zero.</w:t>
      </w:r>
      <w:r>
        <w:rPr>
          <w:rFonts w:ascii="Georgia" w:hAnsi="Georgia"/>
          <w:sz w:val="21"/>
        </w:rPr>
        <w:t xml:space="preserve"> Two uncertainties are in play and only one is quantified: p = 0.224 is across strings (n = 49) — string-sample variance — while run variance is unestimated (single seed, n_seeds = 1). Future work, to bound the pilot-weight caveat and chase the residual: (i) multi-seed (≥ 3) repeats for run-variance; (ii) a cross-family check (Llama, Gemma), since the Greek finding is downstream of a single tokenizer; and (iii) a falsifier-gated test of whether the deep-Greek effect is latent distributional namehood rather than pure orthography — render non-name Greek strings (function words, numerals, common nouns) and ask whether they persist deep too: if they do, it is pure script-processing and the hypothesis is dead; only if name-plausible Greek alone persists is there a namehood effect worth chasing.</w:t>
      </w:r>
    </w:p>
    <w:p>
      <w:pPr>
        <w:pStyle w:val="Heading1"/>
        <w:spacing w:after="140" w:before="280"/>
      </w:pPr>
      <w:r>
        <w:rPr>
          <w:rFonts w:ascii="Arial" w:cs="Arial" w:eastAsia="Arial" w:hAnsi="Arial"/>
          <w:b/>
          <w:bCs/>
          <w:sz w:val="26"/>
          <w:szCs w:val="26"/>
        </w:rPr>
        <w:t xml:space="preserve">6. On Arriving Here Honestly</w:t>
      </w:r>
    </w:p>
    <w:p>
      <w:pPr>
        <w:spacing w:after="140" w:line="276"/>
      </w:pPr>
      <w:r>
        <w:rPr>
          <w:rFonts w:ascii="Georgia" w:cs="Georgia" w:eastAsia="Georgia" w:hAnsi="Georgia"/>
          <w:sz w:val="21"/>
          <w:szCs w:val="21"/>
        </w:rPr>
        <w:t xml:space="preserve">Twice the data teased the romantic reading; twice the next probe deflated it. The authentic-vs-transliterated split killed the transliteration confound and left “Greek persists deep” standing; the voces-vs-controls-in-Greek probe then showed that persistence was never about the voces. Pre-registered falsifiers were named in advance. The theonym and surprisal falsifiers were refuted (the surface effect is neither). The deep-namehood reading was not refuted by argument but </w:t>
      </w:r>
      <w:r>
        <w:rPr>
          <w:rFonts w:ascii="Georgia" w:cs="Georgia" w:eastAsia="Georgia" w:hAnsi="Georgia"/>
          <w:i/>
          <w:iCs/>
          <w:sz w:val="21"/>
          <w:szCs w:val="21"/>
        </w:rPr>
        <w:t xml:space="preserve">dissolved by a control</w:t>
      </w:r>
      <w:r>
        <w:rPr>
          <w:rFonts w:ascii="Georgia" w:cs="Georgia" w:eastAsia="Georgia" w:hAnsi="Georgia"/>
          <w:sz w:val="21"/>
          <w:szCs w:val="21"/>
        </w:rPr>
        <w:t xml:space="preserve"> — the same-script control the design demanded and the headline, briefly and wrongly, ran ahead of. The result is smaller than the title we almost gave it, and truer. That trade is the method, not a disappointment.</w:t>
      </w:r>
    </w:p>
    <w:p>
      <w:pPr>
        <w:pStyle w:val="Heading1"/>
        <w:spacing w:after="140" w:before="280"/>
      </w:pPr>
      <w:r>
        <w:rPr>
          <w:rFonts w:ascii="Arial" w:cs="Arial" w:eastAsia="Arial" w:hAnsi="Arial"/>
          <w:b/>
          <w:bCs/>
          <w:sz w:val="26"/>
          <w:szCs w:val="26"/>
        </w:rPr>
        <w:t xml:space="preserve">References</w:t>
      </w:r>
    </w:p>
    <w:p>
      <w:pPr>
        <w:pStyle w:val="ListParagraph"/>
        <w:numPr>
          <w:ilvl w:val="0"/>
          <w:numId w:val="3"/>
        </w:numPr>
        <w:spacing w:after="80" w:line="264"/>
      </w:pPr>
      <w:r>
        <w:rPr>
          <w:rFonts w:ascii="Georgia" w:cs="Georgia" w:eastAsia="Georgia" w:hAnsi="Georgia"/>
          <w:sz w:val="19"/>
          <w:szCs w:val="19"/>
        </w:rPr>
        <w:t xml:space="preserve">Zou, A. et al. (2023). Representation Engineering: A Top-Down Approach to AI Transparency. arXiv:2310.01405.</w:t>
      </w:r>
    </w:p>
    <w:p>
      <w:pPr>
        <w:pStyle w:val="ListParagraph"/>
        <w:numPr>
          <w:ilvl w:val="0"/>
          <w:numId w:val="3"/>
        </w:numPr>
        <w:spacing w:after="80" w:line="264"/>
      </w:pPr>
      <w:r>
        <w:rPr>
          <w:rFonts w:ascii="Georgia" w:cs="Georgia" w:eastAsia="Georgia" w:hAnsi="Georgia"/>
          <w:sz w:val="19"/>
          <w:szCs w:val="19"/>
        </w:rPr>
        <w:t xml:space="preserve">Park, K., Choe, Y. J., Veitch, V. (2024). The Linear Representation Hypothesis and the Geometry of Large Language Models. ICML / PMLR 235:39643. arXiv:2311.03658.</w:t>
      </w:r>
    </w:p>
    <w:p>
      <w:pPr>
        <w:pStyle w:val="ListParagraph"/>
        <w:numPr>
          <w:ilvl w:val="0"/>
          <w:numId w:val="3"/>
        </w:numPr>
        <w:spacing w:after="80" w:line="264"/>
      </w:pPr>
      <w:r>
        <w:rPr>
          <w:rFonts w:ascii="Georgia" w:cs="Georgia" w:eastAsia="Georgia" w:hAnsi="Georgia"/>
          <w:sz w:val="19"/>
          <w:szCs w:val="19"/>
        </w:rPr>
        <w:t xml:space="preserve">Turner, A. et al. (2023). Steering Language Models With Activation Engineering. arXiv:2308.10248.</w:t>
      </w:r>
    </w:p>
    <w:p>
      <w:pPr>
        <w:pStyle w:val="ListParagraph"/>
        <w:numPr>
          <w:ilvl w:val="0"/>
          <w:numId w:val="3"/>
        </w:numPr>
        <w:spacing w:after="80" w:line="264"/>
      </w:pPr>
      <w:r>
        <w:rPr>
          <w:rFonts w:ascii="Georgia" w:cs="Georgia" w:eastAsia="Georgia" w:hAnsi="Georgia"/>
          <w:sz w:val="19"/>
          <w:szCs w:val="19"/>
        </w:rPr>
        <w:t xml:space="preserve">Sofroniew, N. et al. (2026). Emotion Concepts and their Function in a Large Language Model. Transformer Circuits Thread. arXiv:2604.07729.</w:t>
      </w:r>
    </w:p>
    <w:p>
      <w:pPr>
        <w:pStyle w:val="ListParagraph"/>
        <w:numPr>
          <w:ilvl w:val="0"/>
          <w:numId w:val="3"/>
        </w:numPr>
        <w:spacing w:after="80" w:line="264"/>
      </w:pPr>
      <w:r>
        <w:rPr>
          <w:rFonts w:ascii="Georgia" w:cs="Georgia" w:eastAsia="Georgia" w:hAnsi="Georgia"/>
          <w:sz w:val="19"/>
          <w:szCs w:val="19"/>
        </w:rPr>
        <w:t xml:space="preserve">Lu, C., Gallagher, J., Michala, J., Fish, K., Lindsey, J. (2026). The Assistant Axis: Situating and Stabilizing the Default Persona of Language Models. arXiv:2601.10387.</w:t>
      </w:r>
    </w:p>
    <w:p>
      <w:pPr>
        <w:pStyle w:val="ListParagraph"/>
        <w:numPr>
          <w:ilvl w:val="0"/>
          <w:numId w:val="3"/>
        </w:numPr>
        <w:spacing w:after="80" w:line="264"/>
      </w:pPr>
      <w:r>
        <w:rPr>
          <w:rFonts w:ascii="Georgia" w:cs="Georgia" w:eastAsia="Georgia" w:hAnsi="Georgia"/>
          <w:sz w:val="19"/>
          <w:szCs w:val="19"/>
        </w:rPr>
        <w:t xml:space="preserve">Betz, H. D. (ed.) (1992). The Greek Magical Papyri in Translation, Including the Demotic Spells. 2nd ed., Univ. of Chicago Press.</w:t>
      </w:r>
    </w:p>
    <w:p>
      <w:pPr>
        <w:pStyle w:val="ListParagraph"/>
        <w:numPr>
          <w:ilvl w:val="0"/>
          <w:numId w:val="3"/>
        </w:numPr>
        <w:spacing w:after="80" w:line="264"/>
      </w:pPr>
      <w:r>
        <w:rPr>
          <w:rFonts w:ascii="Georgia" w:cs="Georgia" w:eastAsia="Georgia" w:hAnsi="Georgia"/>
          <w:sz w:val="19"/>
          <w:szCs w:val="19"/>
        </w:rPr>
        <w:t xml:space="preserve">Hwang, T. (2026). Be Not Afraid: A Character Geometry of the Angelic Hierarchy (self-published working paper; not peer-reviewed).</w:t>
      </w:r>
    </w:p>
    <w:p>
      <w:pPr>
        <w:pBdr>
          <w:bottom w:val="single" w:color="8A7A5C" w:sz="6" w:space="1"/>
        </w:pBdr>
        <w:spacing w:after="120" w:before="60"/>
      </w:pPr>
    </w:p>
    <w:p>
      <w:pPr>
        <w:spacing w:after="60" w:before="80"/>
      </w:pPr>
      <w:r>
        <w:rPr>
          <w:rFonts w:ascii="Georgia" w:cs="Georgia" w:eastAsia="Georgia" w:hAnsi="Georgia"/>
          <w:i/>
          <w:iCs/>
          <w:color w:val="555555"/>
          <w:sz w:val="18"/>
          <w:szCs w:val="18"/>
        </w:rPr>
        <w:t xml:space="preserve">Reference note. Citations [1–6] are externally indexed (arXiv / ICML / Transformer Circuits / Chicago UP) and verified. The angelic-hierarchy paper is a real but self-published, non-peer-reviewed source, cited as such; this study descends from its method.</w:t>
      </w:r>
    </w:p>
    <w:p>
      <w:pPr>
        <w:spacing w:before="80"/>
      </w:pPr>
      <w:r>
        <w:rPr>
          <w:rFonts w:ascii="Georgia" w:cs="Georgia" w:eastAsia="Georgia" w:hAnsi="Georgia"/>
          <w:i/>
          <w:iCs/>
          <w:color w:val="555555"/>
          <w:sz w:val="18"/>
          <w:szCs w:val="18"/>
        </w:rPr>
        <w:t xml:space="preserve">Data &amp; code: voces-residual-stream (v6 — carries the voces-vs-controls-in-Greek decider). Four pre-registered falsifier verdicts and the same-strings de-confound are recorded in the run’s breakage log. The earlier “abstraction reading gets first real evidence” banner is retracted in v6.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88888"/>
        <w:sz w:val="16"/>
        <w:szCs w:val="16"/>
      </w:rPr>
      <w:t xml:space="preserve">ICMI Working Paper No. 27 — preprint draft</w:t>
    </w:r>
    <w:r>
      <w:rPr>
        <w:rFonts w:ascii="Arial" w:cs="Arial" w:eastAsia="Arial" w:hAnsi="Arial"/>
        <w:sz w:val="16"/>
        <w:szCs w:val="16"/>
      </w:rPr>
      <w:t xml:space="preserve">	</w:t>
    </w:r>
    <w:r>
      <w:rPr>
        <w:rFonts w:ascii="Arial" w:cs="Arial" w:eastAsia="Arial" w:hAnsi="Arial"/>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sz w:val="26"/>
      <w:szCs w:val="26"/>
    </w:rPr>
  </w:style>
  <w:style w:type="paragraph" w:styleId="Heading2">
    <w:name w:val="Heading 2"/>
    <w:basedOn w:val="Normal"/>
    <w:next w:val="Normal"/>
    <w:qFormat/>
    <w:pPr>
      <w:spacing w:after="100" w:before="200"/>
      <w:outlineLvl w:val="1"/>
    </w:pPr>
    <w:rPr>
      <w:rFonts w:ascii="Arial" w:cs="Arial" w:eastAsia="Arial" w:hAnsi="Arial"/>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ICMI</dc:creator>
  <cp:lastModifiedBy>Un-named</cp:lastModifiedBy>
  <cp:revision>1</cp:revision>
  <dcterms:created xsi:type="dcterms:W3CDTF">2026-06-24T23:26:43.531Z</dcterms:created>
  <dcterms:modified xsi:type="dcterms:W3CDTF">2026-06-24T23:26:43.531Z</dcterms:modified>
</cp:coreProperties>
</file>

<file path=docProps/custom.xml><?xml version="1.0" encoding="utf-8"?>
<Properties xmlns="http://schemas.openxmlformats.org/officeDocument/2006/custom-properties" xmlns:vt="http://schemas.openxmlformats.org/officeDocument/2006/docPropsVTypes"/>
</file>