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/>
        <w:t xml:space="preserve">OCR ENTERPRISE REPORT</w:t>
      </w:r>
    </w:p>
    <w:p>
      <w:pPr/>
      <w:r>
        <w:rPr>
          <w:b/>
          <w:color w:val="365F91"/>
        </w:rPr>
        <w:t xml:space="preserve">Reader-first document verification package</w:t>
      </w:r>
    </w:p>
    <w:tbl>
      <w:tblPr>
        <w:tblW w:w="9000" w:type="dxa"/>
        <w:tblBorders>
          <w:top w:val="single" w:sz="4" w:color="B8CCE4"/>
          <w:left w:val="single" w:sz="4" w:color="B8CCE4"/>
          <w:bottom w:val="single" w:sz="4" w:color="B8CCE4"/>
          <w:right w:val="single" w:sz="4" w:color="B8CCE4"/>
          <w:insideH w:val="single" w:sz="4" w:color="D9E2F3"/>
          <w:insideV w:val="single" w:sz="4" w:color="D9E2F3"/>
        </w:tblBorders>
      </w:tblPr>
      <w:tr>
        <w:tc>
          <w:tcPr>
            <w:tcW w:w="4500" w:type="dxa"/>
          </w:tcPr>
          <w:p>
            <w:pPr/>
            <w:r>
              <w:rPr>
                <w:b/>
              </w:rPr>
              <w:t xml:space="preserve">Document ID</w:t>
            </w:r>
          </w:p>
        </w:tc>
        <w:tc>
          <w:tcPr>
            <w:tcW w:w="4500" w:type="dxa"/>
          </w:tcPr>
          <w:p>
            <w:pPr/>
            <w:r>
              <w:rPr/>
              <w:t xml:space="preserve">{{document_id}}</w:t>
            </w:r>
          </w:p>
        </w:tc>
      </w:tr>
      <w:tr>
        <w:tc>
          <w:tcPr>
            <w:tcW w:w="4500" w:type="dxa"/>
          </w:tcPr>
          <w:p>
            <w:pPr/>
            <w:r>
              <w:rPr>
                <w:b/>
              </w:rPr>
              <w:t xml:space="preserve">Generated</w:t>
            </w:r>
          </w:p>
        </w:tc>
        <w:tc>
          <w:tcPr>
            <w:tcW w:w="4500" w:type="dxa"/>
          </w:tcPr>
          <w:p>
            <w:pPr/>
            <w:r>
              <w:rPr/>
              <w:t xml:space="preserve">{{generated_at}}</w:t>
            </w:r>
          </w:p>
        </w:tc>
      </w:tr>
      <w:tr>
        <w:tc>
          <w:tcPr>
            <w:tcW w:w="4500" w:type="dxa"/>
          </w:tcPr>
          <w:p>
            <w:pPr/>
            <w:r>
              <w:rPr>
                <w:b/>
              </w:rPr>
              <w:t xml:space="preserve">Security label</w:t>
            </w:r>
          </w:p>
        </w:tc>
        <w:tc>
          <w:tcPr>
            <w:tcW w:w="4500" w:type="dxa"/>
          </w:tcPr>
          <w:p>
            <w:pPr/>
            <w:r>
              <w:rPr/>
              <w:t xml:space="preserve">{{security_label}}</w:t>
            </w:r>
          </w:p>
        </w:tc>
      </w:tr>
    </w:tbl>
    <w:p>
      <w:pPr>
        <w:pStyle w:val="Heading1"/>
      </w:pPr>
      <w:r>
        <w:rPr/>
        <w:t xml:space="preserve">1. Executive information</w:t>
      </w:r>
    </w:p>
    <w:p>
      <w:pPr/>
      <w:r>
        <w:rPr/>
        <w:t xml:space="preserve">Files: 1 | Passed QA: 1 | Review required: 0</w:t>
      </w:r>
    </w:p>
    <w:p>
      <w:pPr>
        <w:pStyle w:val="Heading1"/>
      </w:pPr>
      <w:r>
        <w:rPr/>
        <w:t xml:space="preserve">2. Review-needed highlights</w:t>
      </w:r>
    </w:p>
    <w:p>
      <w:pPr/>
      <w:r>
        <w:rPr/>
        <w:t xml:space="preserve">No automated review flags. Confirm against source evidence before consequential use.</w:t>
      </w:r>
    </w:p>
    <w:p>
      <w:pPr>
        <w:pStyle w:val="Heading1"/>
      </w:pPr>
      <w:r>
        <w:rPr/>
        <w:t xml:space="preserve">3. File index</w:t>
      </w:r>
    </w:p>
    <w:tbl>
      <w:tblPr>
        <w:tblW w:w="9000" w:type="dxa"/>
        <w:tblBorders>
          <w:top w:val="single" w:sz="4" w:color="B8CCE4"/>
          <w:left w:val="single" w:sz="4" w:color="B8CCE4"/>
          <w:bottom w:val="single" w:sz="4" w:color="B8CCE4"/>
          <w:right w:val="single" w:sz="4" w:color="B8CCE4"/>
          <w:insideH w:val="single" w:sz="4" w:color="D9E2F3"/>
          <w:insideV w:val="single" w:sz="4" w:color="D9E2F3"/>
        </w:tblBorders>
      </w:tblPr>
      <w:tr>
        <w:tc>
          <w:tcPr>
            <w:tcW w:w="4500" w:type="dxa"/>
          </w:tcPr>
          <w:p>
            <w:pPr/>
            <w:r>
              <w:rPr>
                <w:b/>
              </w:rPr>
              <w:t xml:space="preserve">File</w:t>
            </w:r>
          </w:p>
        </w:tc>
        <w:tc>
          <w:tcPr>
            <w:tcW w:w="4500" w:type="dxa"/>
          </w:tcPr>
          <w:p>
            <w:pPr/>
            <w:r>
              <w:rPr/>
              <w:t xml:space="preserve">QA / confidence</w:t>
            </w:r>
          </w:p>
        </w:tc>
      </w:tr>
      <w:tr>
        <w:tc>
          <w:tcPr>
            <w:tcW w:w="4500" w:type="dxa"/>
          </w:tcPr>
          <w:p>
            <w:pPr/>
            <w:r>
              <w:rPr>
                <w:b/>
              </w:rPr>
              <w:t xml:space="preserve">1. {{source_filename}}</w:t>
            </w:r>
          </w:p>
        </w:tc>
        <w:tc>
          <w:tcPr>
            <w:tcW w:w="4500" w:type="dxa"/>
          </w:tcPr>
          <w:p>
            <w:pPr/>
            <w:r>
              <w:rPr/>
              <w:t xml:space="preserve">PASS / 88.0%</w:t>
            </w:r>
          </w:p>
        </w:tc>
      </w:tr>
    </w:tbl>
    <w:p>
      <w:r>
        <w:br w:type="page"/>
      </w:r>
    </w:p>
    <w:p>
      <w:pPr>
        <w:pStyle w:val="Heading1"/>
      </w:pPr>
      <w:r>
        <w:rPr/>
        <w:t xml:space="preserve">4. File 1: {{source_filename}}</w:t>
      </w:r>
    </w:p>
    <w:p>
      <w:pPr>
        <w:pStyle w:val="Heading2"/>
      </w:pPr>
      <w:r>
        <w:rPr/>
        <w:t xml:space="preserve">Executive information</w:t>
      </w:r>
    </w:p>
    <w:tbl>
      <w:tblPr>
        <w:tblW w:w="9000" w:type="dxa"/>
        <w:tblBorders>
          <w:top w:val="single" w:sz="4" w:color="B8CCE4"/>
          <w:left w:val="single" w:sz="4" w:color="B8CCE4"/>
          <w:bottom w:val="single" w:sz="4" w:color="B8CCE4"/>
          <w:right w:val="single" w:sz="4" w:color="B8CCE4"/>
          <w:insideH w:val="single" w:sz="4" w:color="D9E2F3"/>
          <w:insideV w:val="single" w:sz="4" w:color="D9E2F3"/>
        </w:tblBorders>
      </w:tblPr>
      <w:tr>
        <w:tc>
          <w:tcPr>
            <w:tcW w:w="4500" w:type="dxa"/>
          </w:tcPr>
          <w:p>
            <w:pPr/>
            <w:r>
              <w:rPr>
                <w:b/>
              </w:rPr>
              <w:t xml:space="preserve">QA status</w:t>
            </w:r>
          </w:p>
        </w:tc>
        <w:tc>
          <w:tcPr>
            <w:tcW w:w="4500" w:type="dxa"/>
          </w:tcPr>
          <w:p>
            <w:pPr/>
            <w:r>
              <w:rPr/>
              <w:t xml:space="preserve">PASS</w:t>
            </w:r>
          </w:p>
        </w:tc>
      </w:tr>
      <w:tr>
        <w:tc>
          <w:tcPr>
            <w:tcW w:w="4500" w:type="dxa"/>
          </w:tcPr>
          <w:p>
            <w:pPr/>
            <w:r>
              <w:rPr>
                <w:b/>
              </w:rPr>
              <w:t xml:space="preserve">Confidence</w:t>
            </w:r>
          </w:p>
        </w:tc>
        <w:tc>
          <w:tcPr>
            <w:tcW w:w="4500" w:type="dxa"/>
          </w:tcPr>
          <w:p>
            <w:pPr/>
            <w:r>
              <w:rPr/>
              <w:t xml:space="preserve">88.0%</w:t>
            </w:r>
          </w:p>
        </w:tc>
      </w:tr>
      <w:tr>
        <w:tc>
          <w:tcPr>
            <w:tcW w:w="4500" w:type="dxa"/>
          </w:tcPr>
          <w:p>
            <w:pPr/>
            <w:r>
              <w:rPr>
                <w:b/>
              </w:rPr>
              <w:t xml:space="preserve">Language / engine</w:t>
            </w:r>
          </w:p>
        </w:tc>
        <w:tc>
          <w:tcPr>
            <w:tcW w:w="4500" w:type="dxa"/>
          </w:tcPr>
          <w:p>
            <w:pPr/>
            <w:r>
              <w:rPr/>
              <w:t xml:space="preserve">{{language}} / {{engine}}</w:t>
            </w:r>
          </w:p>
        </w:tc>
      </w:tr>
      <w:tr>
        <w:tc>
          <w:tcPr>
            <w:tcW w:w="4500" w:type="dxa"/>
          </w:tcPr>
          <w:p>
            <w:pPr/>
            <w:r>
              <w:rPr>
                <w:b/>
              </w:rPr>
              <w:t xml:space="preserve">Pages / dimensions</w:t>
            </w:r>
          </w:p>
        </w:tc>
        <w:tc>
          <w:tcPr>
            <w:tcW w:w="4500" w:type="dxa"/>
          </w:tcPr>
          <w:p>
            <w:pPr/>
            <w:r>
              <w:rPr/>
              <w:t xml:space="preserve">{{pages}} / {{dimensions}}</w:t>
            </w:r>
          </w:p>
        </w:tc>
      </w:tr>
      <w:tr>
        <w:tc>
          <w:tcPr>
            <w:tcW w:w="4500" w:type="dxa"/>
          </w:tcPr>
          <w:p>
            <w:pPr/>
            <w:r>
              <w:rPr>
                <w:b/>
              </w:rPr>
              <w:t xml:space="preserve">Validation</w:t>
            </w:r>
          </w:p>
        </w:tc>
        <w:tc>
          <w:tcPr>
            <w:tcW w:w="4500" w:type="dxa"/>
          </w:tcPr>
          <w:p>
            <w:pPr/>
            <w:r>
              <w:rPr/>
              <w:t xml:space="preserve">valid</w:t>
            </w:r>
          </w:p>
        </w:tc>
      </w:tr>
      <w:tr>
        <w:tc>
          <w:tcPr>
            <w:tcW w:w="4500" w:type="dxa"/>
          </w:tcPr>
          <w:p>
            <w:pPr/>
            <w:r>
              <w:rPr>
                <w:b/>
              </w:rPr>
              <w:t xml:space="preserve">Review required</w:t>
            </w:r>
          </w:p>
        </w:tc>
        <w:tc>
          <w:tcPr>
            <w:tcW w:w="4500" w:type="dxa"/>
          </w:tcPr>
          <w:p>
            <w:pPr/>
            <w:r>
              <w:rPr/>
              <w:t xml:space="preserve">no</w:t>
            </w:r>
          </w:p>
        </w:tc>
      </w:tr>
    </w:tbl>
    <w:p>
      <w:pPr>
        <w:pStyle w:val="Heading2"/>
      </w:pPr>
      <w:r>
        <w:rPr/>
        <w:t xml:space="preserve">읽기용 정리본</w:t>
      </w:r>
    </w:p>
    <w:p>
      <w:pPr/>
      <w:r>
        <w:rPr>
          <w:color w:val="59636E"/>
        </w:rPr>
        <w:t xml:space="preserve">표시 정규화본입니다. 권위 있는 교정본이 아니며, 줄바꿈·빈 줄·중복 공백만 보수적으로 정리했습니다. 의미 해석이나 문자 교정은 하지 않았습니다.</w:t>
      </w:r>
    </w:p>
    <w:tbl>
      <w:tblPr>
        <w:tblW w:w="9000" w:type="dxa"/>
        <w:tblBorders>
          <w:top w:val="single" w:sz="4" w:color="B8CCE4"/>
          <w:left w:val="single" w:sz="4" w:color="B8CCE4"/>
          <w:bottom w:val="single" w:sz="4" w:color="B8CCE4"/>
          <w:right w:val="single" w:sz="4" w:color="B8CCE4"/>
          <w:insideH w:val="single" w:sz="4" w:color="D9E2F3"/>
          <w:insideV w:val="single" w:sz="4" w:color="D9E2F3"/>
        </w:tblBorders>
      </w:tblPr>
      <w:tr>
        <w:tc>
          <w:tcPr>
            <w:tcW w:w="4500" w:type="dxa"/>
          </w:tcPr>
          <w:p>
            <w:pPr/>
            <w:r>
              <w:rPr>
                <w:b/>
              </w:rPr>
              <w:t xml:space="preserve">상호:</w:t>
            </w:r>
          </w:p>
        </w:tc>
        <w:tc>
          <w:tcPr>
            <w:tcW w:w="4500" w:type="dxa"/>
          </w:tcPr>
          <w:p>
            <w:pPr/>
            <w:r>
              <w:rPr/>
              <w:t xml:space="preserve">{{value}}</w:t>
            </w:r>
          </w:p>
        </w:tc>
      </w:tr>
      <w:tr>
        <w:tc>
          <w:tcPr>
            <w:tcW w:w="4500" w:type="dxa"/>
          </w:tcPr>
          <w:p>
            <w:pPr/>
            <w:r>
              <w:rPr>
                <w:b/>
              </w:rPr>
              <w:t xml:space="preserve">금액</w:t>
            </w:r>
          </w:p>
        </w:tc>
        <w:tc>
          <w:tcPr>
            <w:tcW w:w="4500" w:type="dxa"/>
          </w:tcPr>
          <w:p>
            <w:pPr/>
            <w:r>
              <w:rPr/>
              <w:t xml:space="preserve">{{amount}}</w:t>
            </w:r>
          </w:p>
        </w:tc>
      </w:tr>
    </w:tbl>
    <w:p>
      <w:pPr/>
      <w:r>
        <w:rPr/>
        <w:t xml:space="preserve">{{raw_ocr}}</w:t>
      </w:r>
    </w:p>
    <w:p>
      <w:pPr>
        <w:pStyle w:val="Heading2"/>
      </w:pPr>
      <w:r>
        <w:rPr/>
        <w:t xml:space="preserve">Corrected/normalized text (separate derived result)</w:t>
      </w:r>
    </w:p>
    <w:p>
      <w:pPr/>
      <w:r>
        <w:rPr>
          <w:color w:val="59636E"/>
        </w:rPr>
        <w:t xml:space="preserve">This derived text is separate from the reading view and immutable raw OCR.</w:t>
      </w:r>
    </w:p>
    <w:p>
      <w:pPr/>
      <w:r>
        <w:rPr/>
        <w:t xml:space="preserve">{{corrected_text}}</w:t>
      </w:r>
    </w:p>
    <w:p>
      <w:pPr>
        <w:pStyle w:val="Heading2"/>
      </w:pPr>
      <w:r>
        <w:rPr/>
        <w:t xml:space="preserve">Source comparison and evidence</w:t>
      </w:r>
    </w:p>
    <w:p>
      <w:pPr/>
      <w:r>
        <w:rPr/>
        <w:t xml:space="preserve">Source SHA-256: {{source_sha256}} | Cache: {{cache}} | Raw preservation: preserved</w:t>
      </w:r>
    </w:p>
    <w:p>
      <w:pPr>
        <w:pStyle w:val="Heading2"/>
      </w:pPr>
      <w:r>
        <w:rPr/>
        <w:t xml:space="preserve">Original source image unavailable for direct embedding (source retained and identified by digest).</w:t>
      </w:r>
    </w:p>
    <w:p>
      <w:r>
        <w:br w:type="page"/>
      </w:r>
    </w:p>
    <w:p>
      <w:pPr>
        <w:pStyle w:val="Heading1"/>
      </w:pPr>
      <w:r>
        <w:rPr/>
        <w:t xml:space="preserve">Appendix A. RAW OCR (감사용 원문)</w:t>
      </w:r>
    </w:p>
    <w:p>
      <w:pPr/>
      <w:r>
        <w:rPr>
          <w:color w:val="59636E"/>
        </w:rPr>
        <w:t xml:space="preserve">result.json에서 읽은 변경 불가 감사 증거입니다. 읽기용 정리본 및 별도 교정본과 분리되어 있으며 원문 기록은 수정되지 않습니다.</w:t>
      </w:r>
    </w:p>
    <w:p>
      <w:pPr>
        <w:pStyle w:val="Heading2"/>
      </w:pPr>
      <w:r>
        <w:rPr/>
        <w:t xml:space="preserve">A.1 {{source_filename}}</w:t>
      </w:r>
    </w:p>
    <w:p>
      <w:pPr/>
      <w:r>
        <w:rPr/>
        <w:t xml:space="preserve">Source SHA-256: {{source_sha256}} | Immutable: yes | Raw preservation: preserved</w:t>
      </w:r>
    </w:p>
    <w:p>
      <w:pPr/>
      <w:r>
        <w:rPr/>
        <w:t xml:space="preserve">상호: {{value}}
금액  {{amount}}
{{raw_ocr}}</w:t>
      </w:r>
    </w:p>
    <w:sectPr>
      <w:headerReference w:type="default" r:id="rIdHeader"/>
      <w:footerReference w:type="default" r:id="rIdFooter"/>
      <w:pgSz w:w="12240" w:h="15840"/>
      <w:pgMar w:top="1080" w:right="1080" w:bottom="1080" w:left="108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PAGE"/>
  </w:p>
</w:ftr>
</file>

<file path=word/header1.xml><?xml version="1.0" encoding="utf-8"?>
<w:hdr xmlns:w="http://schemas.openxmlformats.org/wordprocessingml/2006/main">
  <w:p>
    <w:r>
      <w:t>ClawPod OCR | {{security_label}} | {{document_id}}</w:t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0"/>
    </w:rPr>
  </w:style>
  <w:style w:type="paragraph" w:styleId="Title">
    <w:name w:val="Title"/>
    <w:rPr>
      <w:b/>
      <w:color w:val="17365D"/>
      <w:sz w:val="36"/>
    </w:rPr>
  </w:style>
  <w:style w:type="paragraph" w:styleId="Heading1">
    <w:name w:val="heading 1"/>
    <w:rPr>
      <w:b/>
      <w:color w:val="365F91"/>
      <w:sz w:val="28"/>
    </w:rPr>
  </w:style>
  <w:style w:type="paragraph" w:styleId="Heading2">
    <w:name w:val="heading 2"/>
    <w:rPr>
      <w:b/>
      <w:color w:val="4F81BD"/>
      <w:sz w:val="24"/>
    </w:r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