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6FDA" w14:textId="77777777" w:rsidR="00EC1CF3" w:rsidRDefault="003C2132">
      <w:pPr>
        <w:pStyle w:val="tablehead"/>
        <w:numPr>
          <w:ilvl w:val="0"/>
          <w:numId w:val="0"/>
        </w:numPr>
        <w:ind w:left="720" w:hanging="720"/>
      </w:pPr>
      <w:proofErr w:type="spellStart"/>
      <w:r>
        <w:t>Supplmentary</w:t>
      </w:r>
      <w:proofErr w:type="spellEnd"/>
      <w:r>
        <w:t xml:space="preserve"> Table I. List of the 30 COGs used in the study.</w:t>
      </w:r>
    </w:p>
    <w:tbl>
      <w:tblPr>
        <w:tblW w:w="9462" w:type="dxa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725"/>
        <w:gridCol w:w="4316"/>
        <w:gridCol w:w="2522"/>
        <w:gridCol w:w="1002"/>
      </w:tblGrid>
      <w:tr w:rsidR="00EC1CF3" w14:paraId="38F9399C" w14:textId="77777777">
        <w:trPr>
          <w:cantSplit/>
          <w:trHeight w:val="240"/>
          <w:jc w:val="center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3CE98" w14:textId="77777777" w:rsidR="00EC1CF3" w:rsidRDefault="003C2132">
            <w:pPr>
              <w:pStyle w:val="TableContents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COG</w:t>
            </w:r>
          </w:p>
        </w:tc>
        <w:tc>
          <w:tcPr>
            <w:tcW w:w="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4898A3E" w14:textId="77777777" w:rsidR="00EC1CF3" w:rsidRDefault="003C2132">
            <w:pPr>
              <w:pStyle w:val="TableContents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Length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B892B17" w14:textId="77777777" w:rsidR="00EC1CF3" w:rsidRDefault="003C2132">
            <w:pPr>
              <w:pStyle w:val="TableContents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COG Name</w:t>
            </w:r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846DE88" w14:textId="77777777" w:rsidR="00EC1CF3" w:rsidRDefault="003C2132">
            <w:pPr>
              <w:pStyle w:val="TableContents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Functional Pathway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3E4B2" w14:textId="77777777" w:rsidR="00EC1CF3" w:rsidRDefault="003C2132">
            <w:pPr>
              <w:pStyle w:val="TableContents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mean </w:t>
            </w:r>
            <w:proofErr w:type="spellStart"/>
            <w:r>
              <w:rPr>
                <w:b/>
                <w:sz w:val="16"/>
              </w:rPr>
              <w:t>gCF</w:t>
            </w:r>
            <w:proofErr w:type="spellEnd"/>
          </w:p>
        </w:tc>
      </w:tr>
      <w:tr w:rsidR="00EC1CF3" w14:paraId="09077153" w14:textId="77777777">
        <w:trPr>
          <w:trHeight w:val="320"/>
          <w:jc w:val="center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3F15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COG0012</w:t>
            </w:r>
          </w:p>
        </w:tc>
        <w:tc>
          <w:tcPr>
            <w:tcW w:w="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ED5A2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456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1A8B76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Ribosome-binding ATPase </w:t>
            </w:r>
            <w:proofErr w:type="spellStart"/>
            <w:r>
              <w:rPr>
                <w:sz w:val="16"/>
              </w:rPr>
              <w:t>YchF</w:t>
            </w:r>
            <w:proofErr w:type="spellEnd"/>
            <w:r>
              <w:rPr>
                <w:sz w:val="16"/>
              </w:rPr>
              <w:t>, GTP1/OBG family</w:t>
            </w:r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090C27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Protein translation/Stress Response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80ECC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52.99</w:t>
            </w:r>
          </w:p>
        </w:tc>
      </w:tr>
      <w:tr w:rsidR="00EC1CF3" w14:paraId="240E1337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3277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COG0016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5EB1F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802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8DD219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Phenylalanyl-tRNA synthetase alpha subunit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5FBE02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Aminoacyl-tRNA synthetases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09264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61.94</w:t>
            </w:r>
          </w:p>
        </w:tc>
      </w:tr>
      <w:tr w:rsidR="00EC1CF3" w14:paraId="18162086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03D8E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COG0048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A5116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995D1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S12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94BF2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77056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44.78</w:t>
            </w:r>
          </w:p>
        </w:tc>
      </w:tr>
      <w:tr w:rsidR="00EC1CF3" w14:paraId="00D0DFC8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A76B2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COG0049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D83F1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FA1B12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S7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ED4BCB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8184D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51.49</w:t>
            </w:r>
          </w:p>
        </w:tc>
      </w:tr>
      <w:tr w:rsidR="00EC1CF3" w14:paraId="3C454D81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25A25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COG0052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D0F32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717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0C78B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S2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8070C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464A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61.19</w:t>
            </w:r>
          </w:p>
        </w:tc>
      </w:tr>
      <w:tr w:rsidR="00EC1CF3" w14:paraId="35FBACC0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B1F9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COG0080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B8840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3ADF10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L11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03CC3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BE48C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54.48</w:t>
            </w:r>
          </w:p>
        </w:tc>
      </w:tr>
      <w:tr w:rsidR="00EC1CF3" w14:paraId="7EAD5E19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1F182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COG0081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EE077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518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A1AA7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15543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CE30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61.94</w:t>
            </w:r>
          </w:p>
        </w:tc>
      </w:tr>
      <w:tr w:rsidR="00EC1CF3" w14:paraId="538DC852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FE2E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COG0087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AFF76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532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B31B9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L3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35216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5059B2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60.45</w:t>
            </w:r>
          </w:p>
        </w:tc>
      </w:tr>
      <w:tr w:rsidR="00EC1CF3" w14:paraId="7787EE52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4AD6A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COG0091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193E2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579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72193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L22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23E170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073BA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51.49</w:t>
            </w:r>
          </w:p>
        </w:tc>
      </w:tr>
      <w:tr w:rsidR="00EC1CF3" w14:paraId="5F21F471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EC7C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BD3379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107B5C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S3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FD66AB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7CD7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61.19</w:t>
            </w:r>
          </w:p>
        </w:tc>
      </w:tr>
      <w:tr w:rsidR="00EC1CF3" w14:paraId="2E04ED79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AB857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COG0093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2C0E1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250C0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L14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4B3E8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BE1D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45.52</w:t>
            </w:r>
          </w:p>
        </w:tc>
      </w:tr>
      <w:tr w:rsidR="00EC1CF3" w14:paraId="24072C86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6FD0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COG0094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F670C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515DB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L5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84B34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DFAD4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52.24</w:t>
            </w:r>
          </w:p>
        </w:tc>
      </w:tr>
      <w:tr w:rsidR="00EC1CF3" w14:paraId="0D8A4744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43DF3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COG0096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D6B58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FE6AD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S8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54699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33F9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47.01</w:t>
            </w:r>
          </w:p>
        </w:tc>
      </w:tr>
      <w:tr w:rsidR="00EC1CF3" w14:paraId="26D490AB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DCA7E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COG0097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2275E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12EE9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L6P/L9E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5833D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93A7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53.73</w:t>
            </w:r>
          </w:p>
        </w:tc>
      </w:tr>
      <w:tr w:rsidR="00EC1CF3" w14:paraId="63787F18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BEB4C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COG0098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2938A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566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6EADF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S5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F14B40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4B152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49.25</w:t>
            </w:r>
          </w:p>
        </w:tc>
      </w:tr>
      <w:tr w:rsidR="00EC1CF3" w14:paraId="1997EE0B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09F7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COG0099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E1CF8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470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E426B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S13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AE3A2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F9FE2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50.00</w:t>
            </w:r>
          </w:p>
        </w:tc>
      </w:tr>
      <w:tr w:rsidR="00EC1CF3" w14:paraId="246E0BE6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93E79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COG0100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28BCF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E6F8A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S11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DEB24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9444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53.73</w:t>
            </w:r>
          </w:p>
        </w:tc>
      </w:tr>
      <w:tr w:rsidR="00EC1CF3" w14:paraId="5B190313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CB4CC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COG0102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4E0A9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F8626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L13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E4ABD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A1327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47.01</w:t>
            </w:r>
          </w:p>
        </w:tc>
      </w:tr>
      <w:tr w:rsidR="00EC1CF3" w14:paraId="473ECEAC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7CAA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COG0103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45CE2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775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022FB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S9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EE5ED2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86D1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51.49</w:t>
            </w:r>
          </w:p>
        </w:tc>
      </w:tr>
      <w:tr w:rsidR="00EC1CF3" w14:paraId="76A6CB49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8B6DDB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COG0172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024E7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849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A87FD6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Seryl</w:t>
            </w:r>
            <w:proofErr w:type="spellEnd"/>
            <w:r>
              <w:rPr>
                <w:sz w:val="16"/>
              </w:rPr>
              <w:t>-tRNA synthetase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10FC4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Aminoacyl-tRNA synthetases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AC3CD6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61.19</w:t>
            </w:r>
          </w:p>
        </w:tc>
      </w:tr>
      <w:tr w:rsidR="00EC1CF3" w14:paraId="60BDDB8B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D19EE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COG0184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FCB3AE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A0529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S15P/S13E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8C4E8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E7B5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47.76</w:t>
            </w:r>
          </w:p>
        </w:tc>
      </w:tr>
      <w:tr w:rsidR="00EC1CF3" w14:paraId="3810263D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9C4CC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COG0186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3A0345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698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9C68E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S17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70282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029C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37.31</w:t>
            </w:r>
          </w:p>
        </w:tc>
      </w:tr>
      <w:tr w:rsidR="00EC1CF3" w14:paraId="10AE003C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7D5A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COG0197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ECBCF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605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1B14C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L16/L10AE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F8A1C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2784D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52.24</w:t>
            </w:r>
          </w:p>
        </w:tc>
      </w:tr>
      <w:tr w:rsidR="00EC1CF3" w14:paraId="1A41E8AC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BC49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COG0200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BC23AB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566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5422A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L15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C1364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C400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49.25</w:t>
            </w:r>
          </w:p>
        </w:tc>
      </w:tr>
      <w:tr w:rsidR="00EC1CF3" w14:paraId="681058BA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7DFE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COG0201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A6985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744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2DE97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Preprotein translocase subunit </w:t>
            </w:r>
            <w:proofErr w:type="spellStart"/>
            <w:r>
              <w:rPr>
                <w:sz w:val="16"/>
              </w:rPr>
              <w:t>SecY</w:t>
            </w:r>
            <w:proofErr w:type="spellEnd"/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661464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Protein Translocation/Secretion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0F9E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66.42</w:t>
            </w:r>
          </w:p>
        </w:tc>
      </w:tr>
      <w:tr w:rsidR="00EC1CF3" w14:paraId="1C9CCFA8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8C5C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COG0202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38B7A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695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E9DF9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DNA-directed RNA polymerase, alpha subunit/40 </w:t>
            </w:r>
            <w:proofErr w:type="spellStart"/>
            <w:r>
              <w:rPr>
                <w:sz w:val="16"/>
              </w:rPr>
              <w:t>kD</w:t>
            </w:r>
            <w:proofErr w:type="spellEnd"/>
            <w:r>
              <w:rPr>
                <w:sz w:val="16"/>
              </w:rPr>
              <w:t xml:space="preserve"> subunit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32F1E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Transcription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7618A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65.67</w:t>
            </w:r>
          </w:p>
        </w:tc>
      </w:tr>
      <w:tr w:rsidR="00EC1CF3" w14:paraId="623A159D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725B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COG0256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CEB47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EE5B61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L18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344E6A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0F88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47.76</w:t>
            </w:r>
          </w:p>
        </w:tc>
      </w:tr>
      <w:tr w:rsidR="00EC1CF3" w14:paraId="34BC4F51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5C11CB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COG0495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239488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2226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05DB94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Leucyl-tRNA synthetase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7C5A31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Aminoacyl-tRNA synthetases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0F9463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58.21</w:t>
            </w:r>
          </w:p>
        </w:tc>
      </w:tr>
      <w:tr w:rsidR="00EC1CF3" w14:paraId="1DDE2C25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B967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COG0522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091ED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489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F1DBE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Ribosomal protein S4 or related protein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58D072E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Ribosome Biogenesis and Function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92B47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51.49</w:t>
            </w:r>
          </w:p>
        </w:tc>
      </w:tr>
      <w:tr w:rsidR="00EC1CF3" w14:paraId="79FF3DED" w14:textId="77777777">
        <w:trPr>
          <w:trHeight w:val="320"/>
          <w:jc w:val="center"/>
        </w:trPr>
        <w:tc>
          <w:tcPr>
            <w:tcW w:w="8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049C0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COG0533</w:t>
            </w:r>
          </w:p>
        </w:tc>
        <w:tc>
          <w:tcPr>
            <w:tcW w:w="7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62A416F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1038</w:t>
            </w:r>
          </w:p>
        </w:tc>
        <w:tc>
          <w:tcPr>
            <w:tcW w:w="43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1D34B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tRNA A37 </w:t>
            </w:r>
            <w:proofErr w:type="spellStart"/>
            <w:r>
              <w:rPr>
                <w:sz w:val="16"/>
              </w:rPr>
              <w:t>threonylcarbamoyltransferase</w:t>
            </w:r>
            <w:proofErr w:type="spellEnd"/>
            <w:r>
              <w:rPr>
                <w:sz w:val="16"/>
              </w:rPr>
              <w:t xml:space="preserve"> TsaD</w:t>
            </w:r>
          </w:p>
        </w:tc>
        <w:tc>
          <w:tcPr>
            <w:tcW w:w="25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7D0269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tRNA modification</w:t>
            </w:r>
          </w:p>
        </w:tc>
        <w:tc>
          <w:tcPr>
            <w:tcW w:w="10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2687C" w14:textId="77777777" w:rsidR="00EC1CF3" w:rsidRDefault="003C2132">
            <w:pPr>
              <w:pStyle w:val="TableContents"/>
              <w:jc w:val="center"/>
              <w:rPr>
                <w:sz w:val="16"/>
              </w:rPr>
            </w:pPr>
            <w:r>
              <w:rPr>
                <w:sz w:val="16"/>
              </w:rPr>
              <w:t>60.45</w:t>
            </w:r>
          </w:p>
        </w:tc>
      </w:tr>
    </w:tbl>
    <w:p w14:paraId="4FF7A7FB" w14:textId="77777777" w:rsidR="00EC1CF3" w:rsidRDefault="00EC1CF3">
      <w:pPr>
        <w:pStyle w:val="tablefootnote"/>
        <w:numPr>
          <w:ilvl w:val="0"/>
          <w:numId w:val="0"/>
        </w:numPr>
        <w:spacing w:after="0"/>
        <w:ind w:left="58" w:hanging="29"/>
        <w:jc w:val="both"/>
      </w:pPr>
    </w:p>
    <w:p w14:paraId="6AF41DD3" w14:textId="77777777" w:rsidR="00EC1CF3" w:rsidRDefault="00EC1CF3">
      <w:pPr>
        <w:pStyle w:val="tablefootnote"/>
        <w:numPr>
          <w:ilvl w:val="0"/>
          <w:numId w:val="0"/>
        </w:numPr>
        <w:spacing w:after="0"/>
        <w:ind w:left="58" w:hanging="29"/>
        <w:jc w:val="both"/>
      </w:pPr>
    </w:p>
    <w:p w14:paraId="32291918" w14:textId="77777777" w:rsidR="00EC1CF3" w:rsidRDefault="00EC1CF3">
      <w:pPr>
        <w:pStyle w:val="tablefootnote"/>
        <w:numPr>
          <w:ilvl w:val="0"/>
          <w:numId w:val="0"/>
        </w:numPr>
        <w:spacing w:after="0"/>
        <w:ind w:left="58" w:hanging="29"/>
        <w:jc w:val="both"/>
      </w:pPr>
    </w:p>
    <w:p w14:paraId="6DB487DB" w14:textId="77777777" w:rsidR="00EC1CF3" w:rsidRDefault="00EC1CF3">
      <w:pPr>
        <w:pStyle w:val="BodyText"/>
      </w:pPr>
    </w:p>
    <w:p w14:paraId="41CCCA1B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87236DD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00AF99F3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BB1B4B3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1B6E246D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B78301A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7CDA52B9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5EA47805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69D388C" w14:textId="77777777" w:rsidR="00EC1CF3" w:rsidRDefault="003C2132">
      <w:pPr>
        <w:pStyle w:val="BodyText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</w:p>
    <w:p w14:paraId="388F3FCE" w14:textId="52B1652F" w:rsidR="00EC1CF3" w:rsidRDefault="003C2132" w:rsidP="00CE1298">
      <w:r>
        <w:rPr>
          <w:noProof/>
          <w:lang w:bidi="ar-SA"/>
        </w:rPr>
        <w:drawing>
          <wp:anchor distT="0" distB="0" distL="0" distR="0" simplePos="0" relativeHeight="2" behindDoc="0" locked="0" layoutInCell="0" allowOverlap="1" wp14:anchorId="4797BF3E" wp14:editId="23907C46">
            <wp:simplePos x="0" y="0"/>
            <wp:positionH relativeFrom="column">
              <wp:posOffset>10160</wp:posOffset>
            </wp:positionH>
            <wp:positionV relativeFrom="paragraph">
              <wp:posOffset>26035</wp:posOffset>
            </wp:positionV>
            <wp:extent cx="6054725" cy="403288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Supplementary Figure 1. </w:t>
      </w:r>
      <w:r w:rsidR="00CE1298" w:rsidRPr="00CE1298">
        <w:rPr>
          <w:b/>
          <w:bCs/>
          <w:sz w:val="16"/>
          <w:szCs w:val="16"/>
        </w:rPr>
        <w:t xml:space="preserve">Heatmap of </w:t>
      </w:r>
      <w:proofErr w:type="spellStart"/>
      <w:r w:rsidRPr="00CE1298">
        <w:rPr>
          <w:b/>
          <w:bCs/>
          <w:sz w:val="16"/>
          <w:szCs w:val="16"/>
        </w:rPr>
        <w:t>Shimodaira</w:t>
      </w:r>
      <w:proofErr w:type="spellEnd"/>
      <w:r w:rsidRPr="00CE1298">
        <w:rPr>
          <w:b/>
          <w:bCs/>
          <w:sz w:val="16"/>
          <w:szCs w:val="16"/>
        </w:rPr>
        <w:t>-Hasegawa (SH)</w:t>
      </w:r>
      <w:r w:rsidR="00CE1298" w:rsidRPr="00CE1298">
        <w:rPr>
          <w:b/>
          <w:bCs/>
          <w:sz w:val="16"/>
          <w:szCs w:val="16"/>
        </w:rPr>
        <w:t xml:space="preserve"> test </w:t>
      </w:r>
      <w:r w:rsidR="00CE1298" w:rsidRPr="00CE1298">
        <w:rPr>
          <w:b/>
          <w:bCs/>
          <w:i/>
          <w:iCs/>
          <w:sz w:val="16"/>
          <w:szCs w:val="16"/>
        </w:rPr>
        <w:t>p</w:t>
      </w:r>
      <w:r w:rsidR="00CE1298" w:rsidRPr="00CE1298">
        <w:rPr>
          <w:b/>
          <w:bCs/>
          <w:sz w:val="16"/>
          <w:szCs w:val="16"/>
        </w:rPr>
        <w:t>-values</w:t>
      </w:r>
      <w:r>
        <w:rPr>
          <w:sz w:val="16"/>
          <w:szCs w:val="16"/>
        </w:rPr>
        <w:t xml:space="preserve">. </w:t>
      </w:r>
      <w:r w:rsidR="00CE1298">
        <w:rPr>
          <w:sz w:val="16"/>
          <w:szCs w:val="16"/>
        </w:rPr>
        <w:t xml:space="preserve">Cells represent the </w:t>
      </w:r>
      <w:r w:rsidR="00CE1298" w:rsidRPr="00CE1298">
        <w:rPr>
          <w:i/>
          <w:iCs/>
          <w:sz w:val="16"/>
          <w:szCs w:val="16"/>
        </w:rPr>
        <w:t>p</w:t>
      </w:r>
      <w:r w:rsidR="00CE1298">
        <w:rPr>
          <w:sz w:val="16"/>
          <w:szCs w:val="16"/>
        </w:rPr>
        <w:t xml:space="preserve">-values resulting from pairwise SH tests between the individual COG gene alignment on the </w:t>
      </w:r>
      <w:r w:rsidR="00CE1298">
        <w:rPr>
          <w:sz w:val="16"/>
          <w:szCs w:val="16"/>
        </w:rPr>
        <w:t>individual</w:t>
      </w:r>
      <w:r w:rsidR="00CE1298">
        <w:rPr>
          <w:sz w:val="16"/>
          <w:szCs w:val="16"/>
        </w:rPr>
        <w:t xml:space="preserve"> COG gene trees. Significant results (</w:t>
      </w:r>
      <w:r w:rsidR="00CE1298" w:rsidRPr="00CE1298">
        <w:rPr>
          <w:i/>
          <w:iCs/>
          <w:sz w:val="16"/>
          <w:szCs w:val="16"/>
        </w:rPr>
        <w:t>p</w:t>
      </w:r>
      <w:r w:rsidR="00CE1298">
        <w:rPr>
          <w:i/>
          <w:iCs/>
          <w:sz w:val="16"/>
          <w:szCs w:val="16"/>
        </w:rPr>
        <w:t xml:space="preserve"> </w:t>
      </w:r>
      <w:r w:rsidR="00CE1298" w:rsidRPr="00CE1298">
        <w:rPr>
          <w:sz w:val="16"/>
          <w:szCs w:val="16"/>
        </w:rPr>
        <w:t>≤</w:t>
      </w:r>
      <w:r w:rsidR="00CE1298">
        <w:rPr>
          <w:sz w:val="16"/>
          <w:szCs w:val="16"/>
        </w:rPr>
        <w:t xml:space="preserve"> 0.01) are shown in white. Non-significant results are indicated by blue shading, ranging from light blue (</w:t>
      </w:r>
      <w:r w:rsidR="00CE1298" w:rsidRPr="00CE1298">
        <w:rPr>
          <w:i/>
          <w:iCs/>
          <w:sz w:val="16"/>
          <w:szCs w:val="16"/>
        </w:rPr>
        <w:t>p</w:t>
      </w:r>
      <w:r w:rsidR="00CE1298">
        <w:rPr>
          <w:sz w:val="16"/>
          <w:szCs w:val="16"/>
        </w:rPr>
        <w:t xml:space="preserve"> = 0.01) to dark blue (</w:t>
      </w:r>
      <w:r w:rsidR="00CE1298">
        <w:rPr>
          <w:i/>
          <w:iCs/>
          <w:sz w:val="16"/>
          <w:szCs w:val="16"/>
        </w:rPr>
        <w:t>p</w:t>
      </w:r>
      <w:r w:rsidR="00CE1298">
        <w:rPr>
          <w:sz w:val="16"/>
          <w:szCs w:val="16"/>
        </w:rPr>
        <w:t xml:space="preserve"> = 1).</w:t>
      </w:r>
      <w:r>
        <w:rPr>
          <w:sz w:val="16"/>
          <w:szCs w:val="16"/>
        </w:rPr>
        <w:t xml:space="preserve"> </w:t>
      </w:r>
    </w:p>
    <w:p w14:paraId="22EF468A" w14:textId="77777777" w:rsidR="00EC1CF3" w:rsidRDefault="00EC1CF3">
      <w:pPr>
        <w:pStyle w:val="BodyText"/>
        <w:rPr>
          <w:sz w:val="16"/>
          <w:szCs w:val="16"/>
        </w:rPr>
      </w:pPr>
    </w:p>
    <w:p w14:paraId="5071D6CD" w14:textId="77777777" w:rsidR="00EC1CF3" w:rsidRDefault="00EC1CF3">
      <w:pPr>
        <w:pStyle w:val="BodyText"/>
        <w:rPr>
          <w:sz w:val="16"/>
          <w:szCs w:val="16"/>
        </w:rPr>
      </w:pPr>
    </w:p>
    <w:p w14:paraId="3A4A58EE" w14:textId="77777777" w:rsidR="00EC1CF3" w:rsidRDefault="00EC1CF3">
      <w:pPr>
        <w:pStyle w:val="BodyText"/>
        <w:rPr>
          <w:sz w:val="16"/>
          <w:szCs w:val="16"/>
        </w:rPr>
      </w:pPr>
    </w:p>
    <w:p w14:paraId="51426FDC" w14:textId="77777777" w:rsidR="00EC1CF3" w:rsidRDefault="00EC1CF3">
      <w:pPr>
        <w:pStyle w:val="BodyText"/>
        <w:rPr>
          <w:sz w:val="16"/>
          <w:szCs w:val="16"/>
        </w:rPr>
      </w:pPr>
    </w:p>
    <w:p w14:paraId="7CCA3D1C" w14:textId="77777777" w:rsidR="00EC1CF3" w:rsidRDefault="00EC1CF3">
      <w:pPr>
        <w:pStyle w:val="BodyText"/>
        <w:rPr>
          <w:sz w:val="16"/>
          <w:szCs w:val="16"/>
        </w:rPr>
      </w:pPr>
    </w:p>
    <w:p w14:paraId="7597547A" w14:textId="77777777" w:rsidR="00EC1CF3" w:rsidRDefault="00EC1CF3">
      <w:pPr>
        <w:pStyle w:val="BodyText"/>
        <w:rPr>
          <w:sz w:val="16"/>
          <w:szCs w:val="16"/>
        </w:rPr>
      </w:pPr>
    </w:p>
    <w:p w14:paraId="4990CF85" w14:textId="77777777" w:rsidR="00EC1CF3" w:rsidRDefault="00EC1CF3">
      <w:pPr>
        <w:pStyle w:val="BodyText"/>
        <w:rPr>
          <w:sz w:val="16"/>
          <w:szCs w:val="16"/>
        </w:rPr>
      </w:pPr>
    </w:p>
    <w:p w14:paraId="5375FD41" w14:textId="77777777" w:rsidR="00EC1CF3" w:rsidRDefault="00EC1CF3">
      <w:pPr>
        <w:pStyle w:val="BodyText"/>
        <w:rPr>
          <w:sz w:val="16"/>
          <w:szCs w:val="16"/>
        </w:rPr>
      </w:pPr>
    </w:p>
    <w:p w14:paraId="70817B94" w14:textId="77777777" w:rsidR="00EC1CF3" w:rsidRDefault="00EC1CF3">
      <w:pPr>
        <w:pStyle w:val="BodyText"/>
      </w:pPr>
    </w:p>
    <w:p w14:paraId="326EDC38" w14:textId="77777777" w:rsidR="00EC1CF3" w:rsidRDefault="00EC1CF3">
      <w:pPr>
        <w:pStyle w:val="BodyText"/>
      </w:pPr>
    </w:p>
    <w:p w14:paraId="62032922" w14:textId="77777777" w:rsidR="00EC1CF3" w:rsidRDefault="00EC1CF3">
      <w:pPr>
        <w:pStyle w:val="BodyText"/>
      </w:pPr>
    </w:p>
    <w:p w14:paraId="2E4DE08F" w14:textId="77777777" w:rsidR="00EC1CF3" w:rsidRDefault="00EC1CF3">
      <w:pPr>
        <w:pStyle w:val="BodyText"/>
      </w:pPr>
    </w:p>
    <w:p w14:paraId="7CAC944E" w14:textId="77777777" w:rsidR="00EC1CF3" w:rsidRDefault="00EC1CF3">
      <w:pPr>
        <w:pStyle w:val="BodyText"/>
      </w:pPr>
    </w:p>
    <w:p w14:paraId="03C263AF" w14:textId="77777777" w:rsidR="00EC1CF3" w:rsidRDefault="00EC1CF3">
      <w:pPr>
        <w:pStyle w:val="BodyText"/>
      </w:pPr>
    </w:p>
    <w:p w14:paraId="5376E10D" w14:textId="77777777" w:rsidR="00EC1CF3" w:rsidRDefault="00EC1CF3">
      <w:pPr>
        <w:pStyle w:val="BodyText"/>
      </w:pPr>
    </w:p>
    <w:p w14:paraId="12A49D92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503DA874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8744FBE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5124118D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FC22CC8" w14:textId="77777777" w:rsidR="00EC1CF3" w:rsidRDefault="003C2132">
      <w:pPr>
        <w:pStyle w:val="BodyText"/>
        <w:jc w:val="both"/>
      </w:pPr>
      <w:r>
        <w:rPr>
          <w:noProof/>
          <w:lang w:bidi="ar-SA"/>
        </w:rPr>
        <w:lastRenderedPageBreak/>
        <w:drawing>
          <wp:anchor distT="0" distB="0" distL="0" distR="0" simplePos="0" relativeHeight="3" behindDoc="0" locked="0" layoutInCell="0" allowOverlap="1" wp14:anchorId="78FC5F98" wp14:editId="04EC46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5048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Supplementary Figure 2a. </w:t>
      </w:r>
      <w:r>
        <w:rPr>
          <w:b/>
          <w:bCs/>
          <w:sz w:val="16"/>
          <w:szCs w:val="16"/>
        </w:rPr>
        <w:t>Maximum-likelihood Phylogeny of 30 COGs across the Tree of Life.</w:t>
      </w:r>
      <w:r>
        <w:rPr>
          <w:sz w:val="16"/>
          <w:szCs w:val="16"/>
        </w:rPr>
        <w:t xml:space="preserve"> The tree was the publish</w:t>
      </w:r>
      <w:r w:rsidR="00457B22">
        <w:rPr>
          <w:sz w:val="16"/>
          <w:szCs w:val="16"/>
        </w:rPr>
        <w:t>ed Tree of Life (CC). Branches we</w:t>
      </w:r>
      <w:r>
        <w:rPr>
          <w:sz w:val="16"/>
          <w:szCs w:val="16"/>
        </w:rPr>
        <w:t xml:space="preserve">re </w:t>
      </w:r>
      <w:r w:rsidR="00457B22">
        <w:rPr>
          <w:sz w:val="16"/>
          <w:szCs w:val="16"/>
        </w:rPr>
        <w:t>labelled</w:t>
      </w:r>
      <w:r>
        <w:rPr>
          <w:sz w:val="16"/>
          <w:szCs w:val="16"/>
        </w:rPr>
        <w:t xml:space="preserve"> with Gene Concordance Factors (</w:t>
      </w:r>
      <w:proofErr w:type="spellStart"/>
      <w:r>
        <w:rPr>
          <w:sz w:val="16"/>
          <w:szCs w:val="16"/>
        </w:rPr>
        <w:t>gCF</w:t>
      </w:r>
      <w:proofErr w:type="spellEnd"/>
      <w:r>
        <w:rPr>
          <w:sz w:val="16"/>
          <w:szCs w:val="16"/>
        </w:rPr>
        <w:t>), Site Concordance Factors (</w:t>
      </w:r>
      <w:proofErr w:type="spellStart"/>
      <w:r>
        <w:rPr>
          <w:sz w:val="16"/>
          <w:szCs w:val="16"/>
        </w:rPr>
        <w:t>sCF</w:t>
      </w:r>
      <w:proofErr w:type="spellEnd"/>
      <w:r>
        <w:rPr>
          <w:sz w:val="16"/>
          <w:szCs w:val="16"/>
        </w:rPr>
        <w:t xml:space="preserve">), and bootstrap support values. Tip labels are prefixed by Kingdom (A: Archaea; B: Bacteria; E: </w:t>
      </w:r>
      <w:proofErr w:type="spellStart"/>
      <w:r>
        <w:rPr>
          <w:sz w:val="16"/>
          <w:szCs w:val="16"/>
        </w:rPr>
        <w:t>Eukaryota</w:t>
      </w:r>
      <w:proofErr w:type="spellEnd"/>
      <w:r>
        <w:rPr>
          <w:sz w:val="16"/>
          <w:szCs w:val="16"/>
        </w:rPr>
        <w:t>), followed by taxonomic names. The tree is rooted on the Eukaryote-Archaea clade.</w:t>
      </w:r>
    </w:p>
    <w:p w14:paraId="073CD757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441DE0A0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493F208F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15D0DDE7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08DD9321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376212E9" w14:textId="63FD867C" w:rsidR="00EC1CF3" w:rsidRDefault="003C2132">
      <w:pPr>
        <w:pStyle w:val="BodyText"/>
        <w:jc w:val="both"/>
      </w:pPr>
      <w:r>
        <w:rPr>
          <w:noProof/>
          <w:lang w:bidi="ar-SA"/>
        </w:rPr>
        <w:lastRenderedPageBreak/>
        <w:drawing>
          <wp:anchor distT="0" distB="0" distL="0" distR="0" simplePos="0" relativeHeight="4" behindDoc="0" locked="0" layoutInCell="0" allowOverlap="1" wp14:anchorId="77492A7B" wp14:editId="4CEF99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9551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Supplementary Figure 2b. </w:t>
      </w:r>
      <w:r>
        <w:rPr>
          <w:b/>
          <w:bCs/>
          <w:sz w:val="16"/>
          <w:szCs w:val="16"/>
        </w:rPr>
        <w:t>Maximum-likelihood Phylogeny of 30 COGs across the Tree of Life.</w:t>
      </w:r>
      <w:r>
        <w:rPr>
          <w:sz w:val="16"/>
          <w:szCs w:val="16"/>
        </w:rPr>
        <w:t xml:space="preserve"> The tree was inferred with a </w:t>
      </w:r>
      <w:r w:rsidR="00F119D4">
        <w:rPr>
          <w:sz w:val="16"/>
          <w:szCs w:val="16"/>
        </w:rPr>
        <w:t>single best estimated model (LG)</w:t>
      </w:r>
      <w:r>
        <w:rPr>
          <w:sz w:val="16"/>
          <w:szCs w:val="16"/>
        </w:rPr>
        <w:t xml:space="preserve">. Branches are </w:t>
      </w:r>
      <w:proofErr w:type="spellStart"/>
      <w:r>
        <w:rPr>
          <w:sz w:val="16"/>
          <w:szCs w:val="16"/>
        </w:rPr>
        <w:t>labeled</w:t>
      </w:r>
      <w:proofErr w:type="spellEnd"/>
      <w:r>
        <w:rPr>
          <w:sz w:val="16"/>
          <w:szCs w:val="16"/>
        </w:rPr>
        <w:t xml:space="preserve"> with Gene Concordance Factors (</w:t>
      </w:r>
      <w:proofErr w:type="spellStart"/>
      <w:r>
        <w:rPr>
          <w:sz w:val="16"/>
          <w:szCs w:val="16"/>
        </w:rPr>
        <w:t>gCF</w:t>
      </w:r>
      <w:proofErr w:type="spellEnd"/>
      <w:r>
        <w:rPr>
          <w:sz w:val="16"/>
          <w:szCs w:val="16"/>
        </w:rPr>
        <w:t>), Site Concordance Factors (</w:t>
      </w:r>
      <w:proofErr w:type="spellStart"/>
      <w:r>
        <w:rPr>
          <w:sz w:val="16"/>
          <w:szCs w:val="16"/>
        </w:rPr>
        <w:t>sCF</w:t>
      </w:r>
      <w:proofErr w:type="spellEnd"/>
      <w:r>
        <w:rPr>
          <w:sz w:val="16"/>
          <w:szCs w:val="16"/>
        </w:rPr>
        <w:t xml:space="preserve">), and bootstrap support values. Tip labels are prefixed by Kingdom (A: Archaea; B: Bacteria; E: </w:t>
      </w:r>
      <w:proofErr w:type="spellStart"/>
      <w:r>
        <w:rPr>
          <w:sz w:val="16"/>
          <w:szCs w:val="16"/>
        </w:rPr>
        <w:t>Eukaryota</w:t>
      </w:r>
      <w:proofErr w:type="spellEnd"/>
      <w:r>
        <w:rPr>
          <w:sz w:val="16"/>
          <w:szCs w:val="16"/>
        </w:rPr>
        <w:t>), followed by taxonomic names. The tree is rooted on the Eukaryote-Archaea clade.</w:t>
      </w:r>
    </w:p>
    <w:p w14:paraId="487C37C8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074C3E7" w14:textId="2280499B" w:rsidR="00EC1CF3" w:rsidRDefault="003C2132">
      <w:pPr>
        <w:pStyle w:val="BodyText"/>
        <w:jc w:val="both"/>
        <w:rPr>
          <w:sz w:val="16"/>
          <w:szCs w:val="16"/>
        </w:rPr>
      </w:pPr>
      <w:r>
        <w:rPr>
          <w:noProof/>
          <w:lang w:bidi="ar-SA"/>
        </w:rPr>
        <w:lastRenderedPageBreak/>
        <w:drawing>
          <wp:anchor distT="0" distB="0" distL="0" distR="0" simplePos="0" relativeHeight="5" behindDoc="0" locked="0" layoutInCell="0" allowOverlap="1" wp14:anchorId="1EEF4DD8" wp14:editId="5D8A09A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2289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Supplementary Figure 2c. </w:t>
      </w:r>
      <w:r>
        <w:rPr>
          <w:b/>
          <w:bCs/>
          <w:sz w:val="16"/>
          <w:szCs w:val="16"/>
        </w:rPr>
        <w:t>Maximum-likelihood Phylogeny of 30 COGs across the Tree of Life.</w:t>
      </w:r>
      <w:r>
        <w:rPr>
          <w:sz w:val="16"/>
          <w:szCs w:val="16"/>
        </w:rPr>
        <w:t xml:space="preserve"> The tree</w:t>
      </w:r>
      <w:r w:rsidR="00F119D4">
        <w:rPr>
          <w:sz w:val="16"/>
          <w:szCs w:val="16"/>
        </w:rPr>
        <w:t xml:space="preserve"> (C30P)</w:t>
      </w:r>
      <w:r>
        <w:rPr>
          <w:sz w:val="16"/>
          <w:szCs w:val="16"/>
        </w:rPr>
        <w:t xml:space="preserve"> was inferred with partitioned models applied to each gene locus. Branches are </w:t>
      </w:r>
      <w:proofErr w:type="spellStart"/>
      <w:r>
        <w:rPr>
          <w:sz w:val="16"/>
          <w:szCs w:val="16"/>
        </w:rPr>
        <w:t>labeled</w:t>
      </w:r>
      <w:proofErr w:type="spellEnd"/>
      <w:r>
        <w:rPr>
          <w:sz w:val="16"/>
          <w:szCs w:val="16"/>
        </w:rPr>
        <w:t xml:space="preserve"> with Gene Concordance Factors (</w:t>
      </w:r>
      <w:proofErr w:type="spellStart"/>
      <w:r>
        <w:rPr>
          <w:sz w:val="16"/>
          <w:szCs w:val="16"/>
        </w:rPr>
        <w:t>gCF</w:t>
      </w:r>
      <w:proofErr w:type="spellEnd"/>
      <w:r>
        <w:rPr>
          <w:sz w:val="16"/>
          <w:szCs w:val="16"/>
        </w:rPr>
        <w:t>), Site Concordance Factors (</w:t>
      </w:r>
      <w:proofErr w:type="spellStart"/>
      <w:r>
        <w:rPr>
          <w:sz w:val="16"/>
          <w:szCs w:val="16"/>
        </w:rPr>
        <w:t>sCF</w:t>
      </w:r>
      <w:proofErr w:type="spellEnd"/>
      <w:r>
        <w:rPr>
          <w:sz w:val="16"/>
          <w:szCs w:val="16"/>
        </w:rPr>
        <w:t xml:space="preserve">), and bootstrap support values. Tip labels are prefixed by Kingdom (A: Archaea; B: Bacteria; E: </w:t>
      </w:r>
      <w:proofErr w:type="spellStart"/>
      <w:r>
        <w:rPr>
          <w:sz w:val="16"/>
          <w:szCs w:val="16"/>
        </w:rPr>
        <w:t>Eukaryota</w:t>
      </w:r>
      <w:proofErr w:type="spellEnd"/>
      <w:r>
        <w:rPr>
          <w:sz w:val="16"/>
          <w:szCs w:val="16"/>
        </w:rPr>
        <w:t>), followed by taxonomic names. The tree is rooted on the Eukaryote-Archaea clade.</w:t>
      </w:r>
    </w:p>
    <w:p w14:paraId="7A8C635C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76CCB695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26855D34" w14:textId="77777777" w:rsidR="00EC1CF3" w:rsidRDefault="00EC1CF3">
      <w:pPr>
        <w:pStyle w:val="BodyText"/>
        <w:jc w:val="both"/>
        <w:rPr>
          <w:sz w:val="16"/>
          <w:szCs w:val="16"/>
        </w:rPr>
      </w:pPr>
    </w:p>
    <w:p w14:paraId="65555D18" w14:textId="77777777" w:rsidR="00EC1CF3" w:rsidRDefault="003C2132">
      <w:pPr>
        <w:pStyle w:val="tablehead"/>
        <w:numPr>
          <w:ilvl w:val="0"/>
          <w:numId w:val="0"/>
        </w:numPr>
        <w:ind w:left="720" w:hanging="720"/>
      </w:pPr>
      <w:r>
        <w:lastRenderedPageBreak/>
        <w:t xml:space="preserve">Supplementary Table 2. </w:t>
      </w:r>
      <w:r>
        <w:rPr>
          <w:b/>
          <w:bCs/>
        </w:rPr>
        <w:t xml:space="preserve">Summary of partitioned model parameters for the C30P supermatrix tree. </w:t>
      </w:r>
      <w:r>
        <w:t xml:space="preserve">The table lists the 30 gene partitions in their concatenated order, including the specific substitution models (determined by </w:t>
      </w:r>
      <w:proofErr w:type="spellStart"/>
      <w:r>
        <w:t>ModelTest</w:t>
      </w:r>
      <w:proofErr w:type="spellEnd"/>
      <w:r>
        <w:t xml:space="preserve">-NG and </w:t>
      </w:r>
      <w:proofErr w:type="spellStart"/>
      <w:r>
        <w:t>AICc</w:t>
      </w:r>
      <w:proofErr w:type="spellEnd"/>
      <w:r>
        <w:t>), starting and ending sequence position within the supermatrix.</w:t>
      </w:r>
    </w:p>
    <w:tbl>
      <w:tblPr>
        <w:tblW w:w="5602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309"/>
        <w:gridCol w:w="1280"/>
        <w:gridCol w:w="3013"/>
      </w:tblGrid>
      <w:tr w:rsidR="00EC1CF3" w14:paraId="179E5D74" w14:textId="77777777">
        <w:trPr>
          <w:trHeight w:val="256"/>
          <w:jc w:val="center"/>
        </w:trPr>
        <w:tc>
          <w:tcPr>
            <w:tcW w:w="1309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16E14D5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</w:t>
            </w:r>
          </w:p>
        </w:tc>
        <w:tc>
          <w:tcPr>
            <w:tcW w:w="1280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5C5FEFF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</w:t>
            </w:r>
          </w:p>
        </w:tc>
        <w:tc>
          <w:tcPr>
            <w:tcW w:w="3013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6785EB3C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Gene Position on Concatenated Alignment</w:t>
            </w:r>
          </w:p>
        </w:tc>
      </w:tr>
      <w:tr w:rsidR="00EC1CF3" w14:paraId="67CE47E9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3173D9E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COG0016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447B0D3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3FB6EDD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1-802</w:t>
            </w:r>
          </w:p>
        </w:tc>
      </w:tr>
      <w:tr w:rsidR="00EC1CF3" w14:paraId="4E4B8415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FA99F7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COG0102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9569E2C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6AFEDC0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803-1152</w:t>
            </w:r>
          </w:p>
        </w:tc>
      </w:tr>
      <w:tr w:rsidR="00EC1CF3" w14:paraId="3329FA83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216F29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COG0012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056495D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7ED4576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1153-1608</w:t>
            </w:r>
          </w:p>
        </w:tc>
      </w:tr>
      <w:tr w:rsidR="00EC1CF3" w14:paraId="4A3DD2FD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C7C433C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COG0522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762C583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E414D43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1609-2097</w:t>
            </w:r>
          </w:p>
        </w:tc>
      </w:tr>
      <w:tr w:rsidR="00EC1CF3" w14:paraId="2820F912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0D410F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COG0091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229BEAD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28DE1EC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2098-2676</w:t>
            </w:r>
          </w:p>
        </w:tc>
      </w:tr>
      <w:tr w:rsidR="00EC1CF3" w14:paraId="573599D9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13FFF55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COG0103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D72ECBB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CF0A6A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2677-3451</w:t>
            </w:r>
          </w:p>
        </w:tc>
      </w:tr>
      <w:tr w:rsidR="00EC1CF3" w14:paraId="030178BF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3E5C037B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COG0052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6AFE63DE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3C4A21DA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3452-4168</w:t>
            </w:r>
          </w:p>
        </w:tc>
      </w:tr>
      <w:tr w:rsidR="00EC1CF3" w14:paraId="1B0B3D97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A81F4FA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COG0049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16A0008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3400BA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4169-4515</w:t>
            </w:r>
          </w:p>
        </w:tc>
      </w:tr>
      <w:tr w:rsidR="00EC1CF3" w14:paraId="6979116E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19468760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COG0533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41C4263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CFB22F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4516-5553</w:t>
            </w:r>
          </w:p>
        </w:tc>
      </w:tr>
      <w:tr w:rsidR="00EC1CF3" w14:paraId="3F1A3413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49E8F8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COG0184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31F56E2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2F8FEA3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5554-6313</w:t>
            </w:r>
          </w:p>
        </w:tc>
      </w:tr>
      <w:tr w:rsidR="00EC1CF3" w14:paraId="1937003A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B4C97CA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COG0186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746806E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5DCF88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6314-7011</w:t>
            </w:r>
          </w:p>
        </w:tc>
      </w:tr>
      <w:tr w:rsidR="00EC1CF3" w14:paraId="383C5928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E1078D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COG0048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08F91D7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7ECF33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7012-7319</w:t>
            </w:r>
          </w:p>
        </w:tc>
      </w:tr>
      <w:tr w:rsidR="00EC1CF3" w14:paraId="6053B1B3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7E351FE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COG0256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714FE7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WAG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B72DB4B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7320-7593</w:t>
            </w:r>
          </w:p>
        </w:tc>
      </w:tr>
      <w:tr w:rsidR="00EC1CF3" w14:paraId="4D9426DA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05D4F79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COG0087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62C4F33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7CE73975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7594-8125</w:t>
            </w:r>
          </w:p>
        </w:tc>
      </w:tr>
      <w:tr w:rsidR="00EC1CF3" w14:paraId="45468B54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7A36205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COG0202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61F43813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71181E1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8126-8820</w:t>
            </w:r>
          </w:p>
        </w:tc>
      </w:tr>
      <w:tr w:rsidR="00EC1CF3" w14:paraId="3AB4DCC4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3E5BF9D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COG0093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698CB59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620930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8821-8993</w:t>
            </w:r>
          </w:p>
        </w:tc>
      </w:tr>
      <w:tr w:rsidR="00EC1CF3" w14:paraId="236A762F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7861CA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7F05F72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22E76DC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8994-9407</w:t>
            </w:r>
          </w:p>
        </w:tc>
      </w:tr>
      <w:tr w:rsidR="00EC1CF3" w14:paraId="15A4CC4B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644A03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COG0201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1C3788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52F4D53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9408-10151</w:t>
            </w:r>
          </w:p>
        </w:tc>
      </w:tr>
      <w:tr w:rsidR="00EC1CF3" w14:paraId="03638114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E3E11E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COG0099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E413DF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07F2A9AA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10152-10621</w:t>
            </w:r>
          </w:p>
        </w:tc>
      </w:tr>
      <w:tr w:rsidR="00EC1CF3" w14:paraId="0C142E30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1B5B971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COG0197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23BFF10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58E385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10622-11226</w:t>
            </w:r>
          </w:p>
        </w:tc>
      </w:tr>
      <w:tr w:rsidR="00EC1CF3" w14:paraId="62CECC74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7D3C8CF9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COG0096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16F92CB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703600E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11227-11393</w:t>
            </w:r>
          </w:p>
        </w:tc>
      </w:tr>
      <w:tr w:rsidR="00EC1CF3" w14:paraId="3FEC1562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3286734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COG0081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6B005AC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07A7802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11394-11911</w:t>
            </w:r>
          </w:p>
        </w:tc>
      </w:tr>
      <w:tr w:rsidR="00EC1CF3" w14:paraId="6586915F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5EFD39C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COG0098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339F483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00A21830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11912-12477</w:t>
            </w:r>
          </w:p>
        </w:tc>
      </w:tr>
      <w:tr w:rsidR="00EC1CF3" w14:paraId="19F04A30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7683E29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COG0094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3C98DAE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4F12A928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12478-12763</w:t>
            </w:r>
          </w:p>
        </w:tc>
      </w:tr>
      <w:tr w:rsidR="00EC1CF3" w14:paraId="26F77E5B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325AC112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COG0080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5EAD9AC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45173921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12764-13021</w:t>
            </w:r>
          </w:p>
        </w:tc>
      </w:tr>
      <w:tr w:rsidR="00EC1CF3" w14:paraId="0EFE049A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7FB73AF4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COG0097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335D90F0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278E090D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13022-13268</w:t>
            </w:r>
          </w:p>
        </w:tc>
      </w:tr>
      <w:tr w:rsidR="00EC1CF3" w14:paraId="16200A6D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4203495C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COG0172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132217DB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LG+I+G4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DF9E05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13269-14117</w:t>
            </w:r>
          </w:p>
        </w:tc>
      </w:tr>
      <w:tr w:rsidR="00EC1CF3" w14:paraId="4EEE04F6" w14:textId="77777777">
        <w:trPr>
          <w:trHeight w:val="256"/>
          <w:jc w:val="center"/>
        </w:trPr>
        <w:tc>
          <w:tcPr>
            <w:tcW w:w="1309" w:type="dxa"/>
            <w:tcMar>
              <w:left w:w="30" w:type="dxa"/>
              <w:right w:w="30" w:type="dxa"/>
            </w:tcMar>
            <w:vAlign w:val="bottom"/>
          </w:tcPr>
          <w:p w14:paraId="663CC080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COG0100</w:t>
            </w:r>
          </w:p>
        </w:tc>
        <w:tc>
          <w:tcPr>
            <w:tcW w:w="1280" w:type="dxa"/>
            <w:tcMar>
              <w:left w:w="30" w:type="dxa"/>
              <w:right w:w="30" w:type="dxa"/>
            </w:tcMar>
            <w:vAlign w:val="bottom"/>
          </w:tcPr>
          <w:p w14:paraId="43B1E49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Mar>
              <w:left w:w="30" w:type="dxa"/>
              <w:right w:w="30" w:type="dxa"/>
            </w:tcMar>
            <w:vAlign w:val="bottom"/>
          </w:tcPr>
          <w:p w14:paraId="1A9B328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14118-14327</w:t>
            </w:r>
          </w:p>
        </w:tc>
      </w:tr>
      <w:tr w:rsidR="00EC1CF3" w14:paraId="65B842F8" w14:textId="77777777">
        <w:trPr>
          <w:trHeight w:val="256"/>
          <w:jc w:val="center"/>
        </w:trPr>
        <w:tc>
          <w:tcPr>
            <w:tcW w:w="1309" w:type="dxa"/>
            <w:tcBorders>
              <w:bottom w:val="single" w:sz="2" w:space="0" w:color="000000"/>
            </w:tcBorders>
            <w:vAlign w:val="bottom"/>
          </w:tcPr>
          <w:p w14:paraId="1C4139BF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COG0200</w:t>
            </w:r>
          </w:p>
        </w:tc>
        <w:tc>
          <w:tcPr>
            <w:tcW w:w="1280" w:type="dxa"/>
            <w:tcBorders>
              <w:bottom w:val="single" w:sz="2" w:space="0" w:color="000000"/>
            </w:tcBorders>
            <w:vAlign w:val="bottom"/>
          </w:tcPr>
          <w:p w14:paraId="0D5108D7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LG+G4</w:t>
            </w:r>
          </w:p>
        </w:tc>
        <w:tc>
          <w:tcPr>
            <w:tcW w:w="3013" w:type="dxa"/>
            <w:tcBorders>
              <w:bottom w:val="single" w:sz="2" w:space="0" w:color="000000"/>
            </w:tcBorders>
            <w:vAlign w:val="bottom"/>
          </w:tcPr>
          <w:p w14:paraId="78CCD946" w14:textId="77777777" w:rsidR="00EC1CF3" w:rsidRDefault="003C21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14328-14893</w:t>
            </w:r>
          </w:p>
        </w:tc>
      </w:tr>
    </w:tbl>
    <w:p w14:paraId="68EE1DB3" w14:textId="77777777" w:rsidR="00EC1CF3" w:rsidRDefault="00EC1CF3"/>
    <w:p w14:paraId="11F654AA" w14:textId="77777777" w:rsidR="00EC1CF3" w:rsidRDefault="00EC1CF3">
      <w:pPr>
        <w:jc w:val="center"/>
      </w:pPr>
    </w:p>
    <w:p w14:paraId="321AC22B" w14:textId="77777777" w:rsidR="00EC1CF3" w:rsidRDefault="00EC1CF3">
      <w:pPr>
        <w:spacing w:before="240" w:after="120"/>
        <w:ind w:left="720" w:hanging="720"/>
      </w:pPr>
    </w:p>
    <w:sectPr w:rsidR="00EC1CF3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EC4"/>
    <w:multiLevelType w:val="multilevel"/>
    <w:tmpl w:val="E5AC77F4"/>
    <w:lvl w:ilvl="0">
      <w:start w:val="1"/>
      <w:numFmt w:val="lowerLetter"/>
      <w:pStyle w:val="tablefootnote"/>
      <w:lvlText w:val="%1."/>
      <w:lvlJc w:val="right"/>
      <w:pPr>
        <w:tabs>
          <w:tab w:val="num" w:pos="0"/>
        </w:tabs>
        <w:ind w:left="418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9E33DA7"/>
    <w:multiLevelType w:val="multilevel"/>
    <w:tmpl w:val="DC9AAB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DC2A41"/>
    <w:multiLevelType w:val="multilevel"/>
    <w:tmpl w:val="8FD67788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09221216">
    <w:abstractNumId w:val="2"/>
  </w:num>
  <w:num w:numId="2" w16cid:durableId="998651054">
    <w:abstractNumId w:val="0"/>
  </w:num>
  <w:num w:numId="3" w16cid:durableId="54560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CF3"/>
    <w:rsid w:val="003C2132"/>
    <w:rsid w:val="00457B22"/>
    <w:rsid w:val="00A32AB6"/>
    <w:rsid w:val="00CE1298"/>
    <w:rsid w:val="00E94CDD"/>
    <w:rsid w:val="00EC1CF3"/>
    <w:rsid w:val="00F1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4EFF"/>
  <w15:docId w15:val="{01FC2315-84D7-4541-AED1-E0B4C983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head">
    <w:name w:val="table head"/>
    <w:qFormat/>
    <w:pPr>
      <w:numPr>
        <w:numId w:val="1"/>
      </w:numPr>
      <w:overflowPunct w:val="0"/>
      <w:spacing w:before="240" w:after="120" w:line="216" w:lineRule="auto"/>
      <w:jc w:val="center"/>
    </w:pPr>
    <w:rPr>
      <w:rFonts w:ascii="Times New Roman" w:eastAsia="SimSun" w:hAnsi="Times New Roman" w:cs="Times New Roman"/>
      <w:smallCaps/>
      <w:kern w:val="0"/>
      <w:sz w:val="16"/>
      <w:szCs w:val="16"/>
      <w:lang w:val="en-US" w:eastAsia="en-US" w:bidi="ar-SA"/>
    </w:rPr>
  </w:style>
  <w:style w:type="paragraph" w:customStyle="1" w:styleId="tablefootnote">
    <w:name w:val="table footnote"/>
    <w:qFormat/>
    <w:pPr>
      <w:numPr>
        <w:numId w:val="2"/>
      </w:numPr>
      <w:overflowPunct w:val="0"/>
      <w:spacing w:before="60" w:after="30"/>
      <w:ind w:left="58" w:hanging="29"/>
      <w:jc w:val="right"/>
    </w:pPr>
    <w:rPr>
      <w:rFonts w:ascii="Times New Roman" w:eastAsia="SimSun" w:hAnsi="Times New Roman" w:cs="Times New Roman"/>
      <w:kern w:val="0"/>
      <w:sz w:val="12"/>
      <w:szCs w:val="1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FA49C-88CD-422D-B74E-F784DD93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molecular IOI</cp:lastModifiedBy>
  <cp:revision>4</cp:revision>
  <dcterms:created xsi:type="dcterms:W3CDTF">2026-01-12T11:09:00Z</dcterms:created>
  <dcterms:modified xsi:type="dcterms:W3CDTF">2026-04-09T11:46:00Z</dcterms:modified>
  <dc:language>en-GB</dc:language>
</cp:coreProperties>
</file>