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60"/>
      </w:pPr>
      <w:r>
        <w:rPr>
          <w:b/>
          <w:bCs/>
          <w:sz w:val="32"/>
          <w:szCs w:val="32"/>
          <w:rFonts w:ascii="Times New Roman" w:cs="Times New Roman" w:eastAsia="Times New Roman" w:hAnsi="Times New Roman"/>
        </w:rPr>
        <w:t xml:space="preserve">CHAPTER 5: IMPLEMENTATION</w:t>
      </w:r>
    </w:p>
    <w:p>
      <w:pPr>
        <w:pStyle w:val="Heading2"/>
        <w:spacing w:before="200" w:after="120"/>
      </w:pPr>
      <w:r>
        <w:rPr>
          <w:b/>
          <w:bCs/>
          <w:sz w:val="26"/>
          <w:szCs w:val="26"/>
          <w:rFonts w:ascii="Times New Roman" w:cs="Times New Roman" w:eastAsia="Times New Roman" w:hAnsi="Times New Roman"/>
        </w:rPr>
        <w:t xml:space="preserve">5.1  Introduction</w:t>
      </w:r>
    </w:p>
    <w:p>
      <w:pPr>
        <w:spacing w:after="140" w:line="300"/>
        <w:jc w:val="both"/>
      </w:pPr>
      <w:r>
        <w:rPr>
          <w:sz w:val="24"/>
          <w:szCs w:val="24"/>
          <w:rFonts w:ascii="Times New Roman" w:cs="Times New Roman" w:eastAsia="Times New Roman" w:hAnsi="Times New Roman"/>
        </w:rPr>
        <w:t xml:space="preserve">This chapter describes how the RentBridge system was implemented from the design presented in Chapter 4. It covers the development environment and tools, the overall system architecture, the database implementation, and the implementation of each core module, with representative code excerpts. Screenshots of the working system are provided as figures throughout.</w:t>
      </w:r>
    </w:p>
    <w:p>
      <w:pPr>
        <w:pStyle w:val="Heading2"/>
        <w:spacing w:before="200" w:after="120"/>
      </w:pPr>
      <w:r>
        <w:rPr>
          <w:b/>
          <w:bCs/>
          <w:sz w:val="26"/>
          <w:szCs w:val="26"/>
          <w:rFonts w:ascii="Times New Roman" w:cs="Times New Roman" w:eastAsia="Times New Roman" w:hAnsi="Times New Roman"/>
        </w:rPr>
        <w:t xml:space="preserve">5.2  Development Environment and Tools</w:t>
      </w:r>
    </w:p>
    <w:p>
      <w:pPr>
        <w:spacing w:after="140" w:line="300"/>
        <w:jc w:val="both"/>
      </w:pPr>
      <w:r>
        <w:rPr>
          <w:sz w:val="24"/>
          <w:szCs w:val="24"/>
          <w:rFonts w:ascii="Times New Roman" w:cs="Times New Roman" w:eastAsia="Times New Roman" w:hAnsi="Times New Roman"/>
        </w:rPr>
        <w:t xml:space="preserve">RentBridge was developed as a server-rendered web application on the following stack:</w:t>
      </w:r>
    </w:p>
    <w:p>
      <w:pPr>
        <w:pStyle w:val="ListParagraph"/>
        <w:numPr>
          <w:ilvl w:val="0"/>
          <w:numId w:val="1"/>
        </w:numPr>
        <w:spacing w:after="60" w:line="288"/>
      </w:pPr>
      <w:r>
        <w:rPr>
          <w:sz w:val="24"/>
          <w:szCs w:val="24"/>
          <w:rFonts w:ascii="Times New Roman" w:cs="Times New Roman" w:eastAsia="Times New Roman" w:hAnsi="Times New Roman"/>
        </w:rPr>
        <w:t xml:space="preserve">XAMPP — Apache web server, PHP 8, and MariaDB (database dbrb_2026).</w:t>
      </w:r>
    </w:p>
    <w:p>
      <w:pPr>
        <w:pStyle w:val="ListParagraph"/>
        <w:numPr>
          <w:ilvl w:val="0"/>
          <w:numId w:val="1"/>
        </w:numPr>
        <w:spacing w:after="60" w:line="288"/>
      </w:pPr>
      <w:r>
        <w:rPr>
          <w:sz w:val="24"/>
          <w:szCs w:val="24"/>
          <w:rFonts w:ascii="Times New Roman" w:cs="Times New Roman" w:eastAsia="Times New Roman" w:hAnsi="Times New Roman"/>
        </w:rPr>
        <w:t xml:space="preserve">PHP (PDO) for server-side logic, using a lightweight page-per-endpoint structure without a heavyweight framework.</w:t>
      </w:r>
    </w:p>
    <w:p>
      <w:pPr>
        <w:pStyle w:val="ListParagraph"/>
        <w:numPr>
          <w:ilvl w:val="0"/>
          <w:numId w:val="1"/>
        </w:numPr>
        <w:spacing w:after="60" w:line="288"/>
      </w:pPr>
      <w:r>
        <w:rPr>
          <w:sz w:val="24"/>
          <w:szCs w:val="24"/>
          <w:rFonts w:ascii="Times New Roman" w:cs="Times New Roman" w:eastAsia="Times New Roman" w:hAnsi="Times New Roman"/>
        </w:rPr>
        <w:t>Bootstrap 5 for the responsive user interface, with the Google Maps JavaScript API for the interactive property-location picker and a keyless Google Maps embed for read-only map display.</w:t>
      </w:r>
    </w:p>
    <w:p>
      <w:pPr>
        <w:pStyle w:val="ListParagraph"/>
        <w:numPr>
          <w:ilvl w:val="0"/>
          <w:numId w:val="1"/>
        </w:numPr>
        <w:spacing w:after="60" w:line="288"/>
      </w:pPr>
      <w:r>
        <w:rPr>
          <w:sz w:val="24"/>
          <w:szCs w:val="24"/>
          <w:rFonts w:ascii="Times New Roman" w:cs="Times New Roman" w:eastAsia="Times New Roman" w:hAnsi="Times New Roman"/>
        </w:rPr>
        <w:t xml:space="preserve">Composer libraries: mPDF and dompdf (contract PDF generation) and PHPMailer (email notifications).</w:t>
      </w:r>
    </w:p>
    <w:p>
      <w:pPr>
        <w:pStyle w:val="ListParagraph"/>
        <w:numPr>
          <w:ilvl w:val="0"/>
          <w:numId w:val="1"/>
        </w:numPr>
        <w:spacing w:after="60" w:line="288"/>
      </w:pPr>
      <w:r>
        <w:rPr>
          <w:sz w:val="24"/>
          <w:szCs w:val="24"/>
          <w:rFonts w:ascii="Times New Roman" w:cs="Times New Roman" w:eastAsia="Times New Roman" w:hAnsi="Times New Roman"/>
        </w:rPr>
        <w:t xml:space="preserve">Git for version control, with the repository hosted on GitHub.</w:t>
      </w:r>
    </w:p>
    <w:p>
      <w:pPr>
        <w:pStyle w:val="ListParagraph"/>
        <w:numPr>
          <w:ilvl w:val="0"/>
          <w:numId w:val="1"/>
        </w:numPr>
        <w:spacing w:after="60" w:line="288"/>
      </w:pPr>
      <w:r>
        <w:rPr>
          <w:sz w:val="24"/>
          <w:szCs w:val="24"/>
          <w:rFonts w:ascii="Times New Roman" w:cs="Times New Roman" w:eastAsia="Times New Roman" w:hAnsi="Times New Roman"/>
        </w:rPr>
        <w:t xml:space="preserve">PHPUnit (backend unit/integration tests) and Playwright (end-to-end browser tests), described in Chapter 6.</w:t>
      </w:r>
    </w:p>
    <w:p>
      <w:pPr>
        <w:pStyle w:val="Heading2"/>
        <w:spacing w:before="200" w:after="120"/>
      </w:pPr>
      <w:r>
        <w:rPr>
          <w:b/>
          <w:bCs/>
          <w:sz w:val="26"/>
          <w:szCs w:val="26"/>
          <w:rFonts w:ascii="Times New Roman" w:cs="Times New Roman" w:eastAsia="Times New Roman" w:hAnsi="Times New Roman"/>
        </w:rPr>
        <w:t xml:space="preserve">5.3  System Architecture</w:t>
      </w:r>
    </w:p>
    <w:p>
      <w:pPr>
        <w:spacing w:after="140" w:line="300"/>
        <w:jc w:val="both"/>
      </w:pPr>
      <w:r>
        <w:rPr>
          <w:sz w:val="24"/>
          <w:szCs w:val="24"/>
          <w:rFonts w:ascii="Times New Roman" w:cs="Times New Roman" w:eastAsia="Times New Roman" w:hAnsi="Times New Roman"/>
        </w:rPr>
        <w:t xml:space="preserve">The application follows a layered structure. A central configuration layer provides a single PDO database connection; a shared includes layer holds reusable logic and the per-role page layouts; and role-specific folders (student, landlord, agent, admin) contain the pages for each user type. Each page is a front controller that handles its own request, performs authorization, executes the required logic, and renders the response.</w:t>
      </w:r>
    </w:p>
    <w:p>
      <w:r>
        <w:drawing>
          <wp:inline xmlns:a="http://schemas.openxmlformats.org/drawingml/2006/main" xmlns:pic="http://schemas.openxmlformats.org/drawingml/2006/picture">
            <wp:extent cx="5029200" cy="3536156"/>
            <wp:docPr id="13" name="Picture 13"/>
            <wp:cNvGraphicFramePr>
              <a:graphicFrameLocks noChangeAspect="1"/>
            </wp:cNvGraphicFramePr>
            <a:graphic>
              <a:graphicData uri="http://schemas.openxmlformats.org/drawingml/2006/picture">
                <pic:pic>
                  <pic:nvPicPr>
                    <pic:cNvPr id="0" name="fig5_1_folder_structure.png"/>
                    <pic:cNvPicPr/>
                  </pic:nvPicPr>
                  <pic:blipFill>
                    <a:blip r:embed="rId19"/>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5.1: RentBridge folder / architecture overview</w:t>
      </w:r>
    </w:p>
    <w:p>
      <w:pPr>
        <w:spacing w:after="140" w:line="300"/>
        <w:jc w:val="both"/>
      </w:pPr>
      <w:r>
        <w:rPr>
          <w:sz w:val="24"/>
          <w:szCs w:val="24"/>
          <w:rFonts w:ascii="Times New Roman" w:cs="Times New Roman" w:eastAsia="Times New Roman" w:hAnsi="Times New Roman"/>
        </w:rPr>
        <w:t xml:space="preserve">A single database connection is shared per request through a PDO singleton, and every protected page enforces the user’s role before doing any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function db(): PDO {              // config/database.php</w:t>
            </w:r>
          </w:p>
          <w:p>
            <w:pPr>
              <w:spacing w:after="0" w:line="240"/>
            </w:pPr>
            <w:r>
              <w:rPr>
                <w:sz w:val="18"/>
                <w:szCs w:val="18"/>
                <w:rFonts w:ascii="Consolas" w:cs="Consolas" w:eastAsia="Consolas" w:hAnsi="Consolas"/>
              </w:rPr>
              <w:t xml:space="preserve">    static $pdo = null;</w:t>
            </w:r>
          </w:p>
          <w:p>
            <w:pPr>
              <w:spacing w:after="0" w:line="240"/>
            </w:pPr>
            <w:r>
              <w:rPr>
                <w:sz w:val="18"/>
                <w:szCs w:val="18"/>
                <w:rFonts w:ascii="Consolas" w:cs="Consolas" w:eastAsia="Consolas" w:hAnsi="Consolas"/>
              </w:rPr>
              <w:t xml:space="preserve">    if ($pdo === null) {</w:t>
            </w:r>
          </w:p>
          <w:p>
            <w:pPr>
              <w:spacing w:after="0" w:line="240"/>
            </w:pPr>
            <w:r>
              <w:rPr>
                <w:sz w:val="18"/>
                <w:szCs w:val="18"/>
                <w:rFonts w:ascii="Consolas" w:cs="Consolas" w:eastAsia="Consolas" w:hAnsi="Consolas"/>
              </w:rPr>
              <w:t xml:space="preserve">        $pdo = new PDO("mysql:host=".DB_HOST.";dbname=".DB_NAME.";charset=utf8mb4",</w:t>
            </w:r>
          </w:p>
          <w:p>
            <w:pPr>
              <w:spacing w:after="0" w:line="240"/>
            </w:pPr>
            <w:r>
              <w:rPr>
                <w:sz w:val="18"/>
                <w:szCs w:val="18"/>
                <w:rFonts w:ascii="Consolas" w:cs="Consolas" w:eastAsia="Consolas" w:hAnsi="Consolas"/>
              </w:rPr>
              <w:t xml:space="preserve">                       DB_USER, DB_PASS, [PDO::ATTR_ERRMODE =&gt; PDO::ERRMODE_EXCEPTION,</w:t>
            </w:r>
          </w:p>
          <w:p>
            <w:pPr>
              <w:spacing w:after="0" w:line="240"/>
            </w:pPr>
            <w:r>
              <w:rPr>
                <w:sz w:val="18"/>
                <w:szCs w:val="18"/>
                <w:rFonts w:ascii="Consolas" w:cs="Consolas" w:eastAsia="Consolas" w:hAnsi="Consolas"/>
              </w:rPr>
              <w:t xml:space="preserve">                       PDO::ATTR_EMULATE_PREPARES =&gt; false]);</w:t>
            </w:r>
          </w:p>
          <w:p>
            <w:pPr>
              <w:spacing w:after="0" w:line="240"/>
            </w:pPr>
            <w:r>
              <w:rPr>
                <w:sz w:val="18"/>
                <w:szCs w:val="18"/>
                <w:rFonts w:ascii="Consolas" w:cs="Consolas" w:eastAsia="Consolas" w:hAnsi="Consolas"/>
              </w:rPr>
              <w:t xml:space="preserve">    }</w:t>
            </w:r>
          </w:p>
          <w:p>
            <w:pPr>
              <w:spacing w:after="0" w:line="240"/>
            </w:pPr>
            <w:r>
              <w:rPr>
                <w:sz w:val="18"/>
                <w:szCs w:val="18"/>
                <w:rFonts w:ascii="Consolas" w:cs="Consolas" w:eastAsia="Consolas" w:hAnsi="Consolas"/>
              </w:rPr>
              <w:t xml:space="preserve">    return $pdo;</w:t>
            </w:r>
          </w:p>
          <w:p>
            <w:pPr>
              <w:spacing w:after="0" w:line="240"/>
            </w:pPr>
            <w:r>
              <w:rPr>
                <w:sz w:val="18"/>
                <w:szCs w:val="18"/>
                <w:rFonts w:ascii="Consolas" w:cs="Consolas" w:eastAsia="Consolas" w:hAnsi="Consolas"/>
              </w:rPr>
              <w:t xml:space="preserve">}</w:t>
            </w:r>
          </w:p>
          <w:p>
            <w:pPr>
              <w:spacing w:after="0" w:line="240"/>
            </w:pPr>
            <w:r>
              <w:rPr>
                <w:sz w:val="18"/>
                <w:szCs w:val="18"/>
                <w:rFonts w:ascii="Consolas" w:cs="Consolas" w:eastAsia="Consolas" w:hAnsi="Consolas"/>
              </w:rPr>
              <w:t xml:space="preserve"> </w:t>
            </w:r>
          </w:p>
          <w:p>
            <w:pPr>
              <w:spacing w:after="0" w:line="240"/>
            </w:pPr>
            <w:r>
              <w:rPr>
                <w:sz w:val="18"/>
                <w:szCs w:val="18"/>
                <w:rFonts w:ascii="Consolas" w:cs="Consolas" w:eastAsia="Consolas" w:hAnsi="Consolas"/>
              </w:rPr>
              <w:t xml:space="preserve">require_role('landlord');   // includes/auth.php — session + role gate</w:t>
            </w:r>
          </w:p>
        </w:tc>
      </w:tr>
    </w:tbl>
    <w:p>
      <w:pPr>
        <w:pStyle w:val="Heading2"/>
        <w:spacing w:before="200" w:after="120"/>
      </w:pPr>
      <w:r>
        <w:rPr>
          <w:b/>
          <w:bCs/>
          <w:sz w:val="26"/>
          <w:szCs w:val="26"/>
          <w:rFonts w:ascii="Times New Roman" w:cs="Times New Roman" w:eastAsia="Times New Roman" w:hAnsi="Times New Roman"/>
        </w:rPr>
        <w:t xml:space="preserve">5.4  Database Implementation</w:t>
      </w:r>
    </w:p>
    <w:p>
      <w:pPr>
        <w:spacing w:after="140" w:line="300"/>
        <w:jc w:val="both"/>
      </w:pPr>
      <w:r>
        <w:rPr>
          <w:sz w:val="24"/>
          <w:szCs w:val="24"/>
          <w:rFonts w:ascii="Times New Roman" w:cs="Times New Roman" w:eastAsia="Times New Roman" w:hAnsi="Times New Roman"/>
        </w:rPr>
        <w:t xml:space="preserve">The physical schema (Chapter 4) is implemented as 30 InnoDB tables in the dbrb_2026 database. All data access uses PDO prepared statements with bound parameters, which prevents SQL injection and keeps user input strictly as data. Foreign-key constraints enforce referential integrity, and schema changes are applied through incremental SQL migration files kept under the migrations folder.</w:t>
      </w:r>
    </w:p>
    <w:p>
      <w:pPr>
        <w:pStyle w:val="Heading2"/>
        <w:spacing w:before="200" w:after="120"/>
      </w:pPr>
      <w:r>
        <w:rPr>
          <w:b/>
          <w:bCs/>
          <w:sz w:val="26"/>
          <w:szCs w:val="26"/>
          <w:rFonts w:ascii="Times New Roman" w:cs="Times New Roman" w:eastAsia="Times New Roman" w:hAnsi="Times New Roman"/>
        </w:rPr>
        <w:t xml:space="preserve">5.5  Core Module Implementation</w:t>
      </w:r>
    </w:p>
    <w:p>
      <w:pPr>
        <w:pStyle w:val="Heading3"/>
        <w:spacing w:before="160" w:after="100"/>
      </w:pPr>
      <w:r>
        <w:rPr>
          <w:b/>
          <w:bCs/>
          <w:sz w:val="24"/>
          <w:szCs w:val="24"/>
          <w:rFonts w:ascii="Times New Roman" w:cs="Times New Roman" w:eastAsia="Times New Roman" w:hAnsi="Times New Roman"/>
        </w:rPr>
        <w:t xml:space="preserve">5.5.1  Authentication and Role-Based Access</w:t>
      </w:r>
    </w:p>
    <w:p>
      <w:pPr>
        <w:spacing w:after="140" w:line="300"/>
        <w:jc w:val="both"/>
      </w:pPr>
      <w:r>
        <w:rPr>
          <w:sz w:val="24"/>
          <w:szCs w:val="24"/>
          <w:rFonts w:ascii="Times New Roman" w:cs="Times New Roman" w:eastAsia="Times New Roman" w:hAnsi="Times New Roman"/>
        </w:rPr>
        <w:t xml:space="preserve">Users register and log in through the auth module. Passwords are hashed, sessions identify the logged-in user, and every state-changing form is protected by a CSRF token. Authorization is centralised in require_role(), and all output is escaped through a helper to prevent cross-site scripting.</w:t>
      </w:r>
    </w:p>
    <w:p>
      <w:r>
        <w:drawing>
          <wp:inline xmlns:a="http://schemas.openxmlformats.org/drawingml/2006/main" xmlns:pic="http://schemas.openxmlformats.org/drawingml/2006/picture">
            <wp:extent cx="5029200" cy="5641451"/>
            <wp:docPr id="11" name="Picture 11"/>
            <wp:cNvGraphicFramePr>
              <a:graphicFrameLocks noChangeAspect="1"/>
            </wp:cNvGraphicFramePr>
            <a:graphic>
              <a:graphicData uri="http://schemas.openxmlformats.org/drawingml/2006/picture">
                <pic:pic>
                  <pic:nvPicPr>
                    <pic:cNvPr id="0" name="fig5_2b_register.png"/>
                    <pic:cNvPicPr/>
                  </pic:nvPicPr>
                  <pic:blipFill>
                    <a:blip r:embed="rId17"/>
                    <a:stretch>
                      <a:fillRect/>
                    </a:stretch>
                  </pic:blipFill>
                  <pic:spPr>
                    <a:xfrm>
                      <a:off x="0" y="0"/>
                      <a:ext cx="5029200" cy="5641451"/>
                    </a:xfrm>
                    <a:prstGeom prst="rect"/>
                  </pic:spPr>
                </pic:pic>
              </a:graphicData>
            </a:graphic>
          </wp:inline>
        </w:drawing>
      </w:r>
    </w:p>
    <w:p>
      <w:r>
        <w:drawing>
          <wp:inline xmlns:a="http://schemas.openxmlformats.org/drawingml/2006/main" xmlns:pic="http://schemas.openxmlformats.org/drawingml/2006/picture">
            <wp:extent cx="5029200" cy="3536156"/>
            <wp:docPr id="12" name="Picture 12"/>
            <wp:cNvGraphicFramePr>
              <a:graphicFrameLocks noChangeAspect="1"/>
            </wp:cNvGraphicFramePr>
            <a:graphic>
              <a:graphicData uri="http://schemas.openxmlformats.org/drawingml/2006/picture">
                <pic:pic>
                  <pic:nvPicPr>
                    <pic:cNvPr id="0" name="fig5_2_login.png"/>
                    <pic:cNvPicPr/>
                  </pic:nvPicPr>
                  <pic:blipFill>
                    <a:blip r:embed="rId18"/>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5.2: Login and registration screens</w:t>
      </w:r>
    </w:p>
    <w:p>
      <w:pPr>
        <w:pStyle w:val="Heading3"/>
        <w:spacing w:before="160" w:after="100"/>
      </w:pPr>
      <w:r>
        <w:rPr>
          <w:b/>
          <w:bCs/>
          <w:sz w:val="24"/>
          <w:szCs w:val="24"/>
          <w:rFonts w:ascii="Times New Roman" w:cs="Times New Roman" w:eastAsia="Times New Roman" w:hAnsi="Times New Roman"/>
        </w:rPr>
        <w:t xml:space="preserve">5.5.2  Property Listing, Search and Map</w:t>
      </w:r>
    </w:p>
    <w:p>
      <w:pPr>
        <w:spacing w:after="140" w:line="300"/>
        <w:jc w:val="both"/>
      </w:pPr>
      <w:r>
        <w:rPr>
          <w:sz w:val="24"/>
          <w:szCs w:val="24"/>
          <w:rFonts w:ascii="Times New Roman" w:cs="Times New Roman" w:eastAsia="Times New Roman" w:hAnsi="Times New Roman"/>
        </w:rPr>
        <w:t>Landlords create listings through a multi-step form that captures the property details, photos, ownership documents, and an exact location. The location is set through an interactive Google Maps pin-drop drawer: the landlord searches an address, uses their current location, or clicks the map to drop a pin, and the property's address, city, and postcode are filled in automatically by reverse geocoding the pinned coordinates (a pasted Google Maps link, or manual latitude/longitude entry, are also supported as fallbacks when no map API key is configured). Students browse and filter listings, save favourites, and view each property on a read-only map with a directions link.</w:t>
      </w:r>
    </w:p>
    <w:p>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ig5_3_add_property.png"/>
                    <pic:cNvPicPr/>
                  </pic:nvPicPr>
                  <pic:blipFill>
                    <a:blip r:embed="rId16"/>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5.3: Add-property form with the interactive map pin</w:t>
      </w:r>
    </w:p>
    <w:p>
      <w:r>
        <w:drawing>
          <wp:inline xmlns:a="http://schemas.openxmlformats.org/drawingml/2006/main" xmlns:pic="http://schemas.openxmlformats.org/drawingml/2006/picture">
            <wp:extent cx="5029200" cy="7178397"/>
            <wp:docPr id="9" name="Picture 9"/>
            <wp:cNvGraphicFramePr>
              <a:graphicFrameLocks noChangeAspect="1"/>
            </wp:cNvGraphicFramePr>
            <a:graphic>
              <a:graphicData uri="http://schemas.openxmlformats.org/drawingml/2006/picture">
                <pic:pic>
                  <pic:nvPicPr>
                    <pic:cNvPr id="0" name="fig5_4_property_detail.png"/>
                    <pic:cNvPicPr/>
                  </pic:nvPicPr>
                  <pic:blipFill>
                    <a:blip r:embed="rId15"/>
                    <a:stretch>
                      <a:fillRect/>
                    </a:stretch>
                  </pic:blipFill>
                  <pic:spPr>
                    <a:xfrm>
                      <a:off x="0" y="0"/>
                      <a:ext cx="5029200" cy="7178397"/>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5.4: Property detail page with location map</w:t>
      </w:r>
    </w:p>
    <w:p>
      <w:pPr>
        <w:pStyle w:val="Heading3"/>
        <w:spacing w:before="160" w:after="100"/>
      </w:pPr>
      <w:r>
        <w:rPr>
          <w:b/>
          <w:bCs/>
          <w:sz w:val="24"/>
          <w:szCs w:val="24"/>
          <w:rFonts w:ascii="Times New Roman" w:cs="Times New Roman" w:eastAsia="Times New Roman" w:hAnsi="Times New Roman"/>
        </w:rPr>
        <w:t xml:space="preserve">5.5.3  Tenancy and Find Housemate</w:t>
      </w:r>
    </w:p>
    <w:p>
      <w:pPr>
        <w:spacing w:after="140" w:line="300"/>
        <w:jc w:val="both"/>
      </w:pPr>
      <w:r>
        <w:rPr>
          <w:sz w:val="24"/>
          <w:szCs w:val="24"/>
          <w:rFonts w:ascii="Times New Roman" w:cs="Times New Roman" w:eastAsia="Times New Roman" w:hAnsi="Times New Roman"/>
        </w:rPr>
        <w:t xml:space="preserve">Students request a tenancy by choosing a move-in date and a semester-based duration. Durations are aligned to the academic calendar rather than fixed months — one semester is treated as approximately eighteen weeks, and two semesters as approximately nine months to include the inter-semester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case 'semester_4':  // 1 UTeM long semester (lectures + exams)</w:t>
            </w:r>
          </w:p>
          <w:p>
            <w:pPr>
              <w:spacing w:after="0" w:line="240"/>
            </w:pPr>
            <w:r>
              <w:rPr>
                <w:sz w:val="18"/>
                <w:szCs w:val="18"/>
                <w:rFonts w:ascii="Consolas" w:cs="Consolas" w:eastAsia="Consolas" w:hAnsi="Consolas"/>
              </w:rPr>
              <w:t xml:space="preserve">    $endTs = strtotime('+18 weeks', $startTs); break;</w:t>
            </w:r>
          </w:p>
          <w:p>
            <w:pPr>
              <w:spacing w:after="0" w:line="240"/>
            </w:pPr>
            <w:r>
              <w:rPr>
                <w:sz w:val="18"/>
                <w:szCs w:val="18"/>
                <w:rFonts w:ascii="Consolas" w:cs="Consolas" w:eastAsia="Consolas" w:hAnsi="Consolas"/>
              </w:rPr>
              <w:t xml:space="preserve">case 'academic_8':  // 2 semesters incl. the semester break</w:t>
            </w:r>
          </w:p>
          <w:p>
            <w:pPr>
              <w:spacing w:after="0" w:line="240"/>
            </w:pPr>
            <w:r>
              <w:rPr>
                <w:sz w:val="18"/>
                <w:szCs w:val="18"/>
                <w:rFonts w:ascii="Consolas" w:cs="Consolas" w:eastAsia="Consolas" w:hAnsi="Consolas"/>
              </w:rPr>
              <w:t xml:space="preserve">    $endTs = strtotime('+39 weeks', $startTs); break;</w:t>
            </w:r>
          </w:p>
        </w:tc>
      </w:tr>
    </w:tbl>
    <w:p>
      <w:pPr>
        <w:spacing w:after="140" w:line="300"/>
        <w:jc w:val="both"/>
      </w:pPr>
      <w:r>
        <w:rPr>
          <w:sz w:val="24"/>
          <w:szCs w:val="24"/>
          <w:rFonts w:ascii="Times New Roman" w:cs="Times New Roman" w:eastAsia="Times New Roman" w:hAnsi="Times New Roman"/>
        </w:rPr>
        <w:t xml:space="preserve">The Find Housemate feature lets a student post a listing to recruit co-tenants, receive applications, and form a group that shares a single joint tenancy.</w:t>
      </w:r>
    </w:p>
    <w:p>
      <w:r>
        <w:drawing>
          <wp:inline xmlns:a="http://schemas.openxmlformats.org/drawingml/2006/main" xmlns:pic="http://schemas.openxmlformats.org/drawingml/2006/picture">
            <wp:extent cx="5029200" cy="5033176"/>
            <wp:docPr id="7" name="Picture 7"/>
            <wp:cNvGraphicFramePr>
              <a:graphicFrameLocks noChangeAspect="1"/>
            </wp:cNvGraphicFramePr>
            <a:graphic>
              <a:graphicData uri="http://schemas.openxmlformats.org/drawingml/2006/picture">
                <pic:pic>
                  <pic:nvPicPr>
                    <pic:cNvPr id="0" name="fig5_5c_tenant_form.png"/>
                    <pic:cNvPicPr/>
                  </pic:nvPicPr>
                  <pic:blipFill>
                    <a:blip r:embed="rId13"/>
                    <a:stretch>
                      <a:fillRect/>
                    </a:stretch>
                  </pic:blipFill>
                  <pic:spPr>
                    <a:xfrm>
                      <a:off x="0" y="0"/>
                      <a:ext cx="5029200" cy="5033176"/>
                    </a:xfrm>
                    <a:prstGeom prst="rect"/>
                  </pic:spPr>
                </pic:pic>
              </a:graphicData>
            </a:graphic>
          </wp:inline>
        </w:drawing>
      </w:r>
    </w:p>
    <w:p>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fig5_5_find_housemates.png"/>
                    <pic:cNvPicPr/>
                  </pic:nvPicPr>
                  <pic:blipFill>
                    <a:blip r:embed="rId14"/>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5.5: Tenancy request and Find Housemate screens</w:t>
      </w:r>
    </w:p>
    <w:p>
      <w:pPr>
        <w:pStyle w:val="Heading3"/>
        <w:spacing w:before="160" w:after="100"/>
      </w:pPr>
      <w:r>
        <w:rPr>
          <w:b/>
          <w:bCs/>
          <w:sz w:val="24"/>
          <w:szCs w:val="24"/>
          <w:rFonts w:ascii="Times New Roman" w:cs="Times New Roman" w:eastAsia="Times New Roman" w:hAnsi="Times New Roman"/>
        </w:rPr>
        <w:t xml:space="preserve">5.5.4  Agent Verification</w:t>
      </w:r>
    </w:p>
    <w:p>
      <w:pPr>
        <w:spacing w:after="140" w:line="300"/>
        <w:jc w:val="both"/>
      </w:pPr>
      <w:r>
        <w:rPr>
          <w:sz w:val="24"/>
          <w:szCs w:val="24"/>
          <w:rFonts w:ascii="Times New Roman" w:cs="Times New Roman" w:eastAsia="Times New Roman" w:hAnsi="Times New Roman"/>
        </w:rPr>
        <w:t xml:space="preserve">An assigned UTeM staff agent physically inspects each property, records an inspection checklist, uploads photos, and sets an outcome. The progress of a property through this pipeline is shown to landlords and admins with a status progress bar (Pending → Awaiting inspection → Inspection complete → Available), derived from the property’s stored fields.</w:t>
      </w:r>
    </w:p>
    <w:p>
      <w:r>
        <w:drawing>
          <wp:inline xmlns:a="http://schemas.openxmlformats.org/drawingml/2006/main" xmlns:pic="http://schemas.openxmlformats.org/drawingml/2006/picture">
            <wp:extent cx="5029200" cy="4142630"/>
            <wp:docPr id="5" name="Picture 5"/>
            <wp:cNvGraphicFramePr>
              <a:graphicFrameLocks noChangeAspect="1"/>
            </wp:cNvGraphicFramePr>
            <a:graphic>
              <a:graphicData uri="http://schemas.openxmlformats.org/drawingml/2006/picture">
                <pic:pic>
                  <pic:nvPicPr>
                    <pic:cNvPr id="0" name="fig5_6_agent_inspection.png"/>
                    <pic:cNvPicPr/>
                  </pic:nvPicPr>
                  <pic:blipFill>
                    <a:blip r:embed="rId11"/>
                    <a:stretch>
                      <a:fillRect/>
                    </a:stretch>
                  </pic:blipFill>
                  <pic:spPr>
                    <a:xfrm>
                      <a:off x="0" y="0"/>
                      <a:ext cx="5029200" cy="4142630"/>
                    </a:xfrm>
                    <a:prstGeom prst="rect"/>
                  </pic:spPr>
                </pic:pic>
              </a:graphicData>
            </a:graphic>
          </wp:inline>
        </w:drawing>
      </w:r>
    </w:p>
    <w:p>
      <w:r>
        <w:drawing>
          <wp:inline xmlns:a="http://schemas.openxmlformats.org/drawingml/2006/main" xmlns:pic="http://schemas.openxmlformats.org/drawingml/2006/picture">
            <wp:extent cx="5029200" cy="5907819"/>
            <wp:docPr id="6" name="Picture 6"/>
            <wp:cNvGraphicFramePr>
              <a:graphicFrameLocks noChangeAspect="1"/>
            </wp:cNvGraphicFramePr>
            <a:graphic>
              <a:graphicData uri="http://schemas.openxmlformats.org/drawingml/2006/picture">
                <pic:pic>
                  <pic:nvPicPr>
                    <pic:cNvPr id="0" name="fig5_6b_status_progress.png"/>
                    <pic:cNvPicPr/>
                  </pic:nvPicPr>
                  <pic:blipFill>
                    <a:blip r:embed="rId12"/>
                    <a:stretch>
                      <a:fillRect/>
                    </a:stretch>
                  </pic:blipFill>
                  <pic:spPr>
                    <a:xfrm>
                      <a:off x="0" y="0"/>
                      <a:ext cx="5029200" cy="5907819"/>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5.6: Agent inspection screen and the property status progress bar</w:t>
      </w:r>
    </w:p>
    <w:p>
      <w:pPr>
        <w:pStyle w:val="Heading3"/>
        <w:spacing w:before="160" w:after="100"/>
      </w:pPr>
      <w:r>
        <w:rPr>
          <w:b/>
          <w:bCs/>
          <w:sz w:val="24"/>
          <w:szCs w:val="24"/>
          <w:rFonts w:ascii="Times New Roman" w:cs="Times New Roman" w:eastAsia="Times New Roman" w:hAnsi="Times New Roman"/>
        </w:rPr>
        <w:t xml:space="preserve">5.5.5  Contract Generation and Multi-Party E-Signing</w:t>
      </w:r>
    </w:p>
    <w:p>
      <w:pPr>
        <w:spacing w:after="140" w:line="300"/>
        <w:jc w:val="both"/>
      </w:pPr>
      <w:r>
        <w:rPr>
          <w:sz w:val="24"/>
          <w:szCs w:val="24"/>
          <w:rFonts w:ascii="Times New Roman" w:cs="Times New Roman" w:eastAsia="Times New Roman" w:hAnsi="Times New Roman"/>
        </w:rPr>
        <w:t xml:space="preserve">When a tenancy is confirmed, the system generates a formal tenancy-agreement PDF (using mPDF) containing the parties, the property, the tenancy schedule, and the standard terms. All parties then sign in order: each co-tenant with an account signs in their own session on a signature pad, followed by the landlord; co-tenants without an account wet-sign the printed copy. Once fully signed, the system regenerates the agreement with the captured signatures embedded on the signature lines and marks the tenancy active. The standard terms are held in a single source, including a clause covering the semester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9. The rental period runs continuously from the Start Date to the End Date</w:t>
            </w:r>
          </w:p>
          <w:p>
            <w:pPr>
              <w:spacing w:after="0" w:line="240"/>
            </w:pPr>
            <w:r>
              <w:rPr>
                <w:sz w:val="18"/>
                <w:szCs w:val="18"/>
                <w:rFonts w:ascii="Consolas" w:cs="Consolas" w:eastAsia="Consolas" w:hAnsi="Consolas"/>
              </w:rPr>
              <w:t xml:space="preserve">   stated in this Agreement, inclusive of any mid-semester or inter-semester</w:t>
            </w:r>
          </w:p>
          <w:p>
            <w:pPr>
              <w:spacing w:after="0" w:line="240"/>
            </w:pPr>
            <w:r>
              <w:rPr>
                <w:sz w:val="18"/>
                <w:szCs w:val="18"/>
                <w:rFonts w:ascii="Consolas" w:cs="Consolas" w:eastAsia="Consolas" w:hAnsi="Consolas"/>
              </w:rPr>
              <w:t xml:space="preserve">   break that falls within this period. Monthly rent is payable for every</w:t>
            </w:r>
          </w:p>
          <w:p>
            <w:pPr>
              <w:spacing w:after="0" w:line="240"/>
            </w:pPr>
            <w:r>
              <w:rPr>
                <w:sz w:val="18"/>
                <w:szCs w:val="18"/>
                <w:rFonts w:ascii="Consolas" w:cs="Consolas" w:eastAsia="Consolas" w:hAnsi="Consolas"/>
              </w:rPr>
              <w:t xml:space="preserve">   month of the period regardless of academic breaks ...</w:t>
            </w:r>
          </w:p>
        </w:tc>
      </w:tr>
    </w:tbl>
    <w:p>
      <w:r>
        <w:drawing>
          <wp:inline xmlns:a="http://schemas.openxmlformats.org/drawingml/2006/main" xmlns:pic="http://schemas.openxmlformats.org/drawingml/2006/picture">
            <wp:extent cx="5029200" cy="4003482"/>
            <wp:docPr id="4" name="Picture 4"/>
            <wp:cNvGraphicFramePr>
              <a:graphicFrameLocks noChangeAspect="1"/>
            </wp:cNvGraphicFramePr>
            <a:graphic>
              <a:graphicData uri="http://schemas.openxmlformats.org/drawingml/2006/picture">
                <pic:pic>
                  <pic:nvPicPr>
                    <pic:cNvPr id="0" name="fig5_7_contract_sign.png"/>
                    <pic:cNvPicPr/>
                  </pic:nvPicPr>
                  <pic:blipFill>
                    <a:blip r:embed="rId10"/>
                    <a:stretch>
                      <a:fillRect/>
                    </a:stretch>
                  </pic:blipFill>
                  <pic:spPr>
                    <a:xfrm>
                      <a:off x="0" y="0"/>
                      <a:ext cx="5029200" cy="4003482"/>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5.7: Contract signing screen and the signed agreement PDF</w:t>
      </w:r>
    </w:p>
    <w:p>
      <w:pPr>
        <w:pStyle w:val="Heading3"/>
        <w:spacing w:before="160" w:after="100"/>
      </w:pPr>
      <w:r>
        <w:rPr>
          <w:b/>
          <w:bCs/>
          <w:sz w:val="24"/>
          <w:szCs w:val="24"/>
          <w:rFonts w:ascii="Times New Roman" w:cs="Times New Roman" w:eastAsia="Times New Roman" w:hAnsi="Times New Roman"/>
        </w:rPr>
        <w:t xml:space="preserve">5.5.6  Agent Commission</w:t>
      </w:r>
    </w:p>
    <w:p>
      <w:pPr>
        <w:spacing w:after="140" w:line="300"/>
        <w:jc w:val="both"/>
      </w:pPr>
      <w:r>
        <w:rPr>
          <w:sz w:val="24"/>
          <w:szCs w:val="24"/>
          <w:rFonts w:ascii="Times New Roman" w:cs="Times New Roman" w:eastAsia="Times New Roman" w:hAnsi="Times New Roman"/>
        </w:rPr>
        <w:t xml:space="preserve">When a contract activates, a commission record is created for the verifying agent. The commission is one month’s rent plus 6% SST, computed and stored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$commissionAmt = $baseRent;                 // 100% of one month rent</w:t>
            </w:r>
          </w:p>
          <w:p>
            <w:pPr>
              <w:spacing w:after="0" w:line="240"/>
            </w:pPr>
            <w:r>
              <w:rPr>
                <w:sz w:val="18"/>
                <w:szCs w:val="18"/>
                <w:rFonts w:ascii="Consolas" w:cs="Consolas" w:eastAsia="Consolas" w:hAnsi="Consolas"/>
              </w:rPr>
              <w:t xml:space="preserve">$sstAmt        = round($commissionAmt * 0.06, 2);  // 6% SST</w:t>
            </w:r>
          </w:p>
          <w:p>
            <w:pPr>
              <w:spacing w:after="0" w:line="240"/>
            </w:pPr>
            <w:r>
              <w:rPr>
                <w:sz w:val="18"/>
                <w:szCs w:val="18"/>
                <w:rFonts w:ascii="Consolas" w:cs="Consolas" w:eastAsia="Consolas" w:hAnsi="Consolas"/>
              </w:rPr>
              <w:t xml:space="preserve">$totalPayable  = round($commissionAmt + $sstAmt, 2);</w:t>
            </w:r>
          </w:p>
        </w:tc>
      </w:tr>
    </w:tbl>
    <w:p>
      <w:pPr>
        <w:pStyle w:val="Heading3"/>
        <w:spacing w:before="160" w:after="100"/>
      </w:pPr>
      <w:r>
        <w:rPr>
          <w:b/>
          <w:bCs/>
          <w:sz w:val="24"/>
          <w:szCs w:val="24"/>
          <w:rFonts w:ascii="Times New Roman" w:cs="Times New Roman" w:eastAsia="Times New Roman" w:hAnsi="Times New Roman"/>
        </w:rPr>
        <w:t xml:space="preserve">5.5.7  Messaging, Notifications and Moderation</w:t>
      </w:r>
    </w:p>
    <w:p>
      <w:pPr>
        <w:spacing w:after="140" w:line="300"/>
        <w:jc w:val="both"/>
      </w:pPr>
      <w:r>
        <w:rPr>
          <w:sz w:val="24"/>
          <w:szCs w:val="24"/>
          <w:rFonts w:ascii="Times New Roman" w:cs="Times New Roman" w:eastAsia="Times New Roman" w:hAnsi="Times New Roman"/>
        </w:rPr>
        <w:t xml:space="preserve">Users communicate through in-app conversations (including group chats for housemate groups). System events raise notifications, and a reporting mechanism lets users flag misconduct for admin review.</w:t>
      </w:r>
    </w:p>
    <w:p>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fig5_8b_notifications.png"/>
                    <pic:cNvPicPr/>
                  </pic:nvPicPr>
                  <pic:blipFill>
                    <a:blip r:embed="rId8"/>
                    <a:stretch>
                      <a:fillRect/>
                    </a:stretch>
                  </pic:blipFill>
                  <pic:spPr>
                    <a:xfrm>
                      <a:off x="0" y="0"/>
                      <a:ext cx="5029200" cy="3536156"/>
                    </a:xfrm>
                    <a:prstGeom prst="rect"/>
                  </pic:spPr>
                </pic:pic>
              </a:graphicData>
            </a:graphic>
          </wp:inline>
        </w:drawing>
      </w:r>
    </w:p>
    <w:p>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fig5_8_chat.png"/>
                    <pic:cNvPicPr/>
                  </pic:nvPicPr>
                  <pic:blipFill>
                    <a:blip r:embed="rId9"/>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5.8: Chat and notifications</w:t>
      </w:r>
    </w:p>
    <w:p>
      <w:pPr>
        <w:pStyle w:val="Heading3"/>
        <w:spacing w:before="160" w:after="100"/>
      </w:pPr>
      <w:r>
        <w:rPr>
          <w:b/>
          <w:bCs/>
          <w:sz w:val="24"/>
          <w:szCs w:val="24"/>
          <w:rFonts w:ascii="Times New Roman" w:cs="Times New Roman" w:eastAsia="Times New Roman" w:hAnsi="Times New Roman"/>
        </w:rPr>
        <w:t xml:space="preserve">5.5.8  Academic-Calendar Importer</w:t>
      </w:r>
    </w:p>
    <w:p>
      <w:pPr>
        <w:spacing w:after="140" w:line="300"/>
        <w:jc w:val="both"/>
      </w:pPr>
      <w:r>
        <w:rPr>
          <w:sz w:val="24"/>
          <w:szCs w:val="24"/>
          <w:rFonts w:ascii="Times New Roman" w:cs="Times New Roman" w:eastAsia="Times New Roman" w:hAnsi="Times New Roman"/>
        </w:rPr>
        <w:t xml:space="preserve">To keep tenancy durations aligned with the official calendar, an admin tool lets the administrator upload the UTeM academic-calendar PDF; the system sends it to a GPT-4o vision model (via the OpenAI Responses API) to extract the semester start and end dates, which the administrator reviews and confirms before they are saved. Extracted values are never written to the database without human confirmation.</w:t>
      </w:r>
    </w:p>
    <w:p>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fig5_9_calendar_importer.png"/>
                    <pic:cNvPicPr/>
                  </pic:nvPicPr>
                  <pic:blipFill>
                    <a:blip r:embed="rId7"/>
                    <a:stretch>
                      <a:fillRect/>
                    </a:stretch>
                  </pic:blipFill>
                  <pic:spPr>
                    <a:xfrm>
                      <a:off x="0" y="0"/>
                      <a:ext cx="5029200" cy="3536156"/>
                    </a:xfrm>
                    <a:prstGeom prst="rect"/>
                  </pic:spPr>
                </pic:pic>
              </a:graphicData>
            </a:graphic>
          </wp:inline>
        </w:drawing>
      </w:r>
    </w:p>
    <w:p>
      <w:pPr>
        <w:spacing w:before="40" w:after="160"/>
        <w:jc w:val="center"/>
      </w:pPr>
      <w:r>
        <w:rPr>
          <w:b/>
          <w:i/>
          <w:iCs/>
          <w:sz w:val="22"/>
          <w:szCs w:val="22"/>
          <w:rFonts w:ascii="Times New Roman" w:cs="Times New Roman" w:eastAsia="Times New Roman" w:hAnsi="Times New Roman"/>
        </w:rPr>
        <w:t>Figure 5.9: Academic-calendar importer (upload, extract, confirm)</w:t>
      </w:r>
    </w:p>
    <w:p>
      <w:pPr>
        <w:pStyle w:val="Heading2"/>
        <w:spacing w:before="200" w:after="120"/>
      </w:pPr>
      <w:r>
        <w:rPr>
          <w:b/>
          <w:bCs/>
          <w:sz w:val="26"/>
          <w:szCs w:val="26"/>
          <w:rFonts w:ascii="Times New Roman" w:cs="Times New Roman" w:eastAsia="Times New Roman" w:hAnsi="Times New Roman"/>
        </w:rPr>
        <w:t xml:space="preserve">5.6  Deployment</w:t>
      </w:r>
    </w:p>
    <w:p>
      <w:pPr>
        <w:spacing w:after="140" w:line="300"/>
        <w:jc w:val="both"/>
      </w:pPr>
      <w:r>
        <w:rPr>
          <w:rFonts w:ascii="Times New Roman" w:hAnsi="Times New Roman"/>
          <w:sz w:val="24"/>
        </w:rPr>
        <w:t>To validate the system beyond the local development environment, RentBridge was deployed to Render, a container-based hosting platform that runs the application inside a Docker image with Apache and PHP 8.2, with the production database hosted as a managed MySQL instance on Aiven. Preparing for and operating this deployment surfaced several issues that only appear once the system leaves a fully-trusted local environment, described below.</w:t>
      </w:r>
    </w:p>
    <w:p>
      <w:pPr>
        <w:spacing w:after="140" w:line="300"/>
        <w:jc w:val="both"/>
      </w:pPr>
      <w:r>
        <w:rPr>
          <w:rFonts w:ascii="Times New Roman" w:hAnsi="Times New Roman"/>
          <w:sz w:val="24"/>
        </w:rPr>
        <w:t>A review of the deployment configuration found that includes/mail_config.php had live SMTP credentials committed directly to the project's public GitHub repository. This file was refactored to the same environment-variable-first pattern already used for the Google Maps and OpenAI API keys, with a git-ignored local file as an optional fallback for development, so no credential needs to be committed again. The database-connection error handler was also changed to log the underlying error server-side rather than display it in the browser, and a leftover debug flag that force-enabled PHP error display regardless of the production configuration was removed.</w:t>
      </w:r>
    </w:p>
    <w:p>
      <w:pPr>
        <w:spacing w:after="140" w:line="300"/>
        <w:jc w:val="both"/>
      </w:pPr>
      <w:r>
        <w:rPr>
          <w:rFonts w:ascii="Times New Roman" w:hAnsi="Times New Roman"/>
          <w:sz w:val="24"/>
        </w:rPr>
        <w:t>Before deployment, all incremental SQL migration files were audited against the development database to confirm they had been correctly applied; any migration found pending was applied at that time.</w:t>
      </w:r>
    </w:p>
    <w:p>
      <w:pPr>
        <w:pStyle w:val="ListParagraph"/>
        <w:numPr>
          <w:ilvl w:val="0"/>
          <w:numId w:val="1"/>
        </w:numPr>
        <w:spacing w:after="60" w:line="288"/>
      </w:pPr>
      <w:r>
        <w:rPr>
          <w:rFonts w:ascii="Times New Roman" w:hAnsi="Times New Roman"/>
          <w:sz w:val="24"/>
        </w:rPr>
        <w:t>Render's container filesystem is ephemeral: any file written to the uploads/ folder, property photos, generated and signed tenancy-agreement PDFs, e-signature images, and ownership documents, is discarded on every restart or redeploy, unlike the persistent disk assumed during local development.</w:t>
      </w:r>
    </w:p>
    <w:p>
      <w:pPr>
        <w:pStyle w:val="ListParagraph"/>
        <w:numPr>
          <w:ilvl w:val="0"/>
          <w:numId w:val="1"/>
        </w:numPr>
        <w:spacing w:after="60" w:line="288"/>
      </w:pPr>
      <w:r>
        <w:rPr>
          <w:rFonts w:ascii="Times New Roman" w:hAnsi="Times New Roman"/>
          <w:sz w:val="24"/>
        </w:rPr>
        <w:t>This was addressed by introducing an object-storage abstraction (includes/storage.php) backed by Cloudflare R2, an S3-compatible object store, accessed through the official AWS SDK for PHP. Every upload, read, and delete operation in the codebase was routed through this abstraction instead of the local filesystem, with an automatic fallback to local disk when no object-storage credentials are configured, so local development required no change.</w:t>
      </w:r>
    </w:p>
    <w:p>
      <w:pPr>
        <w:pStyle w:val="ListParagraph"/>
        <w:numPr>
          <w:ilvl w:val="0"/>
          <w:numId w:val="1"/>
        </w:numPr>
        <w:spacing w:after="60" w:line="288"/>
      </w:pPr>
      <w:r>
        <w:rPr>
          <w:rFonts w:ascii="Times New Roman" w:hAnsi="Times New Roman"/>
          <w:sz w:val="24"/>
        </w:rPr>
        <w:t>Public assets (property photos, avatars, and inspection photos) are served by redirecting their upload folders to the bucket's public URL whenever the requested file is not present locally, using an Apache rewrite condition on the request filename. This meant none of the roughly seventeen templates that display these images needed to change. Private assets (contracts, e-signatures, and ownership documents) continued to be served only through their existing authorization-checked PHP endpoints, whose internals were updated to stream each file's bytes from the object store instead of the local disk.</w:t>
      </w:r>
    </w:p>
    <w:p>
      <w:pPr>
        <w:pStyle w:val="ListParagraph"/>
        <w:numPr>
          <w:ilvl w:val="0"/>
          <w:numId w:val="1"/>
        </w:numPr>
      </w:pPr>
      <w:r>
        <w:t>The new configuration file for object storage was initially excluded from version control by following the pattern used for other files that hold locally-pasted development credentials. Because that file is required unconditionally by the storage abstraction, its absence from the deployed repository caused every page that renders a user's avatar to fail in production; the file was corrected to hold no credentials of its own, real values are supplied through the hosting platform's environment variables, and committed normally.</w:t>
      </w:r>
    </w:p>
    <w:p>
      <w:pPr>
        <w:spacing w:after="140" w:line="300"/>
        <w:jc w:val="both"/>
      </w:pPr>
      <w:r>
        <w:rPr>
          <w:rFonts w:ascii="Times New Roman" w:hAnsi="Times New Roman"/>
          <w:sz w:val="24"/>
        </w:rPr>
        <w:t>Before the production database was migrated, the full automated test suite was re-run to confirm no regression: all thirteen PHPUnit backend tests and all thirty-nine Playwright end-to-end tests passed, with one pre-existing test skipped for an environment-dependent condition unrelated to this work. This process also diagnosed and corrected a genuine gap in the end-to-end test for the multi-party contract-signing flow, where the test had not driven the landlord's signature and so never observed the tenancy reach its fully active state before checking that late co-tenant addition was correctly blocked.</w:t>
      </w:r>
    </w:p>
    <w:p>
      <w:r>
        <w:t>An operational incident during this phase illustrated a further reliability consideration of the chosen hosting: the production database became fully unreachable for approximately one hour and forty-one minutes after Aiven migrated it to a new underlying server instance, confirmed from the database's own service log by a change in the reported server instance name. This is expected behaviour for a single-node database plan, which has no standby to fail over to during maintenance, rather than a defect in the application. Two improvements followed from this: the database-connection failure handler was changed to return an HTTP 503 Service Unavailable status instead of the default 200 OK, so that uptime-monitoring tools can correctly detect an outage instead of seeing an apparently normal response; and a free external monitor was configured to check the live site every five minutes and alert by email.</w:t>
      </w:r>
    </w:p>
    <w:p>
      <w:pPr>
        <w:spacing w:before="40" w:after="160"/>
        <w:jc w:val="center"/>
      </w:pPr>
      <w:r>
        <w:rPr>
          <w:rFonts w:ascii="Times New Roman" w:hAnsi="Times New Roman"/>
          <w:b/>
          <w:i/>
          <w:sz w:val="22"/>
        </w:rPr>
        <w:t>Figure 5.10: Render service dashboard showing the deployed application and its Aiven database connection  [insert screenshot]</w:t>
      </w:r>
    </w:p>
    <w:p>
      <w:pPr>
        <w:pStyle w:val="Heading2"/>
        <w:spacing w:before="200" w:after="120"/>
      </w:pPr>
      <w:r>
        <w:rPr>
          <w:b/>
          <w:bCs/>
          <w:sz w:val="26"/>
          <w:szCs w:val="26"/>
          <w:rFonts w:ascii="Times New Roman" w:cs="Times New Roman" w:eastAsia="Times New Roman" w:hAnsi="Times New Roman"/>
        </w:rPr>
        <w:t xml:space="preserve">5.7  Summary</w:t>
      </w:r>
    </w:p>
    <w:p>
      <w:pPr>
        <w:spacing w:after="140" w:line="300"/>
        <w:jc w:val="both"/>
      </w:pPr>
      <w:r>
        <w:rPr>
          <w:sz w:val="24"/>
          <w:szCs w:val="24"/>
          <w:rFonts w:ascii="Times New Roman" w:cs="Times New Roman" w:eastAsia="Times New Roman" w:hAnsi="Times New Roman"/>
        </w:rPr>
        <w:t xml:space="preserve">This chapter described the implementation of RentBridge, from the development environment and layered architecture to the database and each core module — authentication, property listing with maps, semester-based tenancies and Find Housemate, agent verification, multi-party e-signed contracts, commission accounting, and messaging — and its deployment to a production hosting environment. The implemented system realises the design of Chapter 4 and is validated by the testing described in Chapter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2026-08-31T17:26:55.451Z</dcterms:created>
  <dcterms:modified xsi:type="dcterms:W3CDTF">2026-08-31T17:26:55.454Z</dcterms:modified>
</cp:coreProperties>
</file>

<file path=docProps/custom.xml><?xml version="1.0" encoding="utf-8"?>
<Properties xmlns="http://schemas.openxmlformats.org/officeDocument/2006/custom-properties" xmlns:vt="http://schemas.openxmlformats.org/officeDocument/2006/docPropsVTypes"/>
</file>