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60"/>
      </w:pPr>
      <w:r>
        <w:rPr>
          <w:b/>
          <w:bCs/>
          <w:sz w:val="32"/>
          <w:szCs w:val="32"/>
          <w:rFonts w:ascii="Times New Roman" w:cs="Times New Roman" w:eastAsia="Times New Roman" w:hAnsi="Times New Roman"/>
        </w:rPr>
        <w:t xml:space="preserve">CHAPTER 6: TESTING</w:t>
      </w:r>
    </w:p>
    <w:p>
      <w:pPr>
        <w:pStyle w:val="Heading2"/>
        <w:spacing w:before="200" w:after="120"/>
      </w:pPr>
      <w:r>
        <w:rPr>
          <w:b/>
          <w:bCs/>
          <w:sz w:val="26"/>
          <w:szCs w:val="26"/>
          <w:rFonts w:ascii="Times New Roman" w:cs="Times New Roman" w:eastAsia="Times New Roman" w:hAnsi="Times New Roman"/>
        </w:rPr>
        <w:t xml:space="preserve">6.1  Introduction</w:t>
      </w:r>
    </w:p>
    <w:p>
      <w:pPr>
        <w:spacing w:after="140" w:line="300"/>
        <w:jc w:val="both"/>
      </w:pPr>
      <w:r>
        <w:rPr>
          <w:sz w:val="24"/>
          <w:szCs w:val="24"/>
          <w:rFonts w:ascii="Times New Roman" w:cs="Times New Roman" w:eastAsia="Times New Roman" w:hAnsi="Times New Roman"/>
        </w:rPr>
        <w:t xml:space="preserve">This chapter describes the testing carried out on the RentBridge system to ensure it satisfies its functional and non-functional requirements and behaves correctly across all user roles and workflows. Testing was approached at multiple levels: automated unit and integration testing of the backend business logic, automated end-to-end (E2E) testing of the complete user journeys through the browser, and security-focused non-functional testing. The chapter presents the testing strategy, the test environment, the test cases and their results, and a summary of the outcomes.</w:t>
      </w:r>
    </w:p>
    <w:p>
      <w:pPr>
        <w:pStyle w:val="Heading2"/>
        <w:spacing w:before="200" w:after="120"/>
      </w:pPr>
      <w:r>
        <w:rPr>
          <w:b/>
          <w:bCs/>
          <w:sz w:val="26"/>
          <w:szCs w:val="26"/>
          <w:rFonts w:ascii="Times New Roman" w:cs="Times New Roman" w:eastAsia="Times New Roman" w:hAnsi="Times New Roman"/>
        </w:rPr>
        <w:t xml:space="preserve">6.2  Testing Strategy</w:t>
      </w:r>
    </w:p>
    <w:p>
      <w:pPr>
        <w:spacing w:after="140" w:line="300"/>
        <w:jc w:val="both"/>
      </w:pPr>
      <w:r>
        <w:rPr>
          <w:sz w:val="24"/>
          <w:szCs w:val="24"/>
          <w:rFonts w:ascii="Times New Roman" w:cs="Times New Roman" w:eastAsia="Times New Roman" w:hAnsi="Times New Roman"/>
        </w:rPr>
        <w:t xml:space="preserve">A layered testing strategy was adopted so that defects can be caught close to their source while still verifying that the whole system works together. Three complementary layers were used:</w:t>
      </w:r>
    </w:p>
    <w:p>
      <w:pPr>
        <w:pStyle w:val="ListParagraph"/>
        <w:numPr>
          <w:ilvl w:val="0"/>
          <w:numId w:val="1"/>
        </w:numPr>
        <w:spacing w:after="60" w:line="288"/>
      </w:pPr>
      <w:r>
        <w:rPr>
          <w:sz w:val="24"/>
          <w:szCs w:val="24"/>
          <w:rFonts w:ascii="Times New Roman" w:cs="Times New Roman" w:eastAsia="Times New Roman" w:hAnsi="Times New Roman"/>
        </w:rPr>
        <w:t xml:space="preserve">Unit and integration testing (PHPUnit) — verifies the correctness of individual backend functions and their interaction with the database, focusing on the critical contract and financial logic.</w:t>
      </w:r>
    </w:p>
    <w:p>
      <w:pPr>
        <w:pStyle w:val="ListParagraph"/>
        <w:numPr>
          <w:ilvl w:val="0"/>
          <w:numId w:val="1"/>
        </w:numPr>
        <w:spacing w:after="60" w:line="288"/>
      </w:pPr>
      <w:r>
        <w:rPr>
          <w:sz w:val="24"/>
          <w:szCs w:val="24"/>
          <w:rFonts w:ascii="Times New Roman" w:cs="Times New Roman" w:eastAsia="Times New Roman" w:hAnsi="Times New Roman"/>
        </w:rPr>
        <w:t xml:space="preserve">End-to-end testing (Playwright) — automates a real browser to exercise complete user journeys across the four roles, confirming that the user interface, server logic, and database work together correctly.</w:t>
      </w:r>
    </w:p>
    <w:p>
      <w:pPr>
        <w:pStyle w:val="ListParagraph"/>
        <w:numPr>
          <w:ilvl w:val="0"/>
          <w:numId w:val="1"/>
        </w:numPr>
        <w:spacing w:after="60" w:line="288"/>
      </w:pPr>
      <w:r>
        <w:rPr>
          <w:sz w:val="24"/>
          <w:szCs w:val="24"/>
          <w:rFonts w:ascii="Times New Roman" w:cs="Times New Roman" w:eastAsia="Times New Roman" w:hAnsi="Times New Roman"/>
        </w:rPr>
        <w:t xml:space="preserve">Non-functional and security testing — verifies authentication, authorization, and protection against common web vulnerabilities, as well as data integrity.</w:t>
      </w:r>
    </w:p>
    <w:p>
      <w:pPr>
        <w:spacing w:after="140" w:line="300"/>
        <w:jc w:val="both"/>
      </w:pPr>
      <w:r>
        <w:rPr>
          <w:sz w:val="24"/>
          <w:szCs w:val="24"/>
          <w:rFonts w:ascii="Times New Roman" w:cs="Times New Roman" w:eastAsia="Times New Roman" w:hAnsi="Times New Roman"/>
        </w:rPr>
        <w:t xml:space="preserve">The two automated layers form a testing pyramid: a larger base of fast, focused backend tests supported by a smaller set of slower, high-value end-to-end tests. Both suites are repeatable and therefore also serve as regression tests when the system is changed in future.</w:t>
      </w:r>
    </w:p>
    <w:p>
      <w:pPr>
        <w:pStyle w:val="Heading3"/>
        <w:spacing w:before="160" w:after="100"/>
      </w:pPr>
      <w:r>
        <w:rPr>
          <w:b/>
          <w:bCs/>
          <w:sz w:val="24"/>
          <w:szCs w:val="24"/>
          <w:rFonts w:ascii="Times New Roman" w:cs="Times New Roman" w:eastAsia="Times New Roman" w:hAnsi="Times New Roman"/>
        </w:rPr>
        <w:t xml:space="preserve">6.2.1  Test Environment</w:t>
      </w:r>
    </w:p>
    <w:p>
      <w:pPr>
        <w:spacing w:after="140" w:line="300"/>
        <w:jc w:val="both"/>
      </w:pPr>
      <w:r>
        <w:rPr>
          <w:sz w:val="24"/>
          <w:szCs w:val="24"/>
          <w:rFonts w:ascii="Times New Roman" w:cs="Times New Roman" w:eastAsia="Times New Roman" w:hAnsi="Times New Roman"/>
        </w:rPr>
        <w:t xml:space="preserve">All tests were executed on a local development environment running XAMPP (Apache web server, PHP 8, and MariaDB). To ensure that testing never affects development or live data, the automated backend suite runs against an isolated, throwaway database named dbrb_2026_test, which is dropped and rebuilt automatically from the production schema and migrations before every test run. The end-to-end suite runs against a seeded set of dedicated test accounts (one landlord, one agent, one admin, and several students).</w:t>
      </w:r>
    </w:p>
    <w:p>
      <w:pPr>
        <w:pStyle w:val="Heading2"/>
        <w:spacing w:before="200" w:after="120"/>
      </w:pPr>
      <w:r>
        <w:rPr>
          <w:b/>
          <w:bCs/>
          <w:sz w:val="26"/>
          <w:szCs w:val="26"/>
          <w:rFonts w:ascii="Times New Roman" w:cs="Times New Roman" w:eastAsia="Times New Roman" w:hAnsi="Times New Roman"/>
        </w:rPr>
        <w:t xml:space="preserve">6.3  Unit and Integration Testing (PHPUnit)</w:t>
      </w:r>
    </w:p>
    <w:p>
      <w:pPr>
        <w:spacing w:after="140" w:line="300"/>
        <w:jc w:val="both"/>
      </w:pPr>
      <w:r>
        <w:rPr>
          <w:sz w:val="24"/>
          <w:szCs w:val="24"/>
          <w:rFonts w:ascii="Times New Roman" w:cs="Times New Roman" w:eastAsia="Times New Roman" w:hAnsi="Times New Roman"/>
        </w:rPr>
        <w:t xml:space="preserve">The backend logic was tested using PHPUnit. The test suite loads the real application code and exercises the functions that implement the most important and error-prone parts of the system: the tenancy contract lifecycle, the agent commission calculation, and the audit-logging mechanism. Because these functions interact with the database, the tests are integration tests that assert against real rows written to the test database. Table 6.1 lists the backend test cases.</w:t>
      </w:r>
    </w:p>
    <w:p>
      <w:pPr>
        <w:spacing w:before="60" w:after="160"/>
        <w:jc w:val="center"/>
      </w:pPr>
      <w:r>
        <w:rPr>
          <w:i/>
          <w:iCs/>
          <w:sz w:val="22"/>
          <w:szCs w:val="22"/>
          <w:rFonts w:ascii="Times New Roman" w:cs="Times New Roman" w:eastAsia="Times New Roman" w:hAnsi="Times New Roman"/>
        </w:rPr>
        <w:t xml:space="preserve">Table 6.1: Backend unit and integration test cases (PHPUnit)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660"/>
        <w:gridCol w:w="1200"/>
      </w:tblGrid>
      <w:tr>
        <w:trPr>
          <w:tblHeader/>
        </w:trPr>
        <w:tc>
          <w:tcPr>
            <w:tcW w:type="dxa" w:w="90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ID</w:t>
            </w:r>
          </w:p>
        </w:tc>
        <w:tc>
          <w:tcPr>
            <w:tcW w:type="dxa" w:w="360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Test Case</w:t>
            </w:r>
          </w:p>
        </w:tc>
        <w:tc>
          <w:tcPr>
            <w:tcW w:type="dxa" w:w="366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Expected Result</w:t>
            </w:r>
          </w:p>
        </w:tc>
        <w:tc>
          <w:tcPr>
            <w:tcW w:type="dxa" w:w="120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Result</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TC-U01</w:t>
            </w:r>
          </w:p>
        </w:tc>
        <w:tc>
          <w:tcPr>
            <w:tcW w:type="dxa" w:w="3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Standard tenancy terms include the semester-break clause</w:t>
            </w:r>
          </w:p>
        </w:tc>
        <w:tc>
          <w:tcPr>
            <w:tcW w:type="dxa" w:w="3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Terms text contains the continuous-period / semester clause</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TC-U02</w:t>
            </w:r>
          </w:p>
        </w:tc>
        <w:tc>
          <w:tcPr>
            <w:tcW w:type="dxa" w:w="3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Contract code is formatted correctly</w:t>
            </w:r>
          </w:p>
        </w:tc>
        <w:tc>
          <w:tcPr>
            <w:tcW w:type="dxa" w:w="3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generate_contract_code(42) returns "RB-YYYY-00042"</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TC-U03</w:t>
            </w:r>
          </w:p>
        </w:tc>
        <w:tc>
          <w:tcPr>
            <w:tcW w:type="dxa" w:w="3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Creating a contract transitions status and stores terms</w:t>
            </w:r>
          </w:p>
        </w:tc>
        <w:tc>
          <w:tcPr>
            <w:tcW w:type="dxa" w:w="3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Contract = pending_signatures, tenancy = contract_pending, standard terms stored</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TC-U04</w:t>
            </w:r>
          </w:p>
        </w:tc>
        <w:tc>
          <w:tcPr>
            <w:tcW w:type="dxa" w:w="3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Duplicate contract is refused</w:t>
            </w:r>
          </w:p>
        </w:tc>
        <w:tc>
          <w:tcPr>
            <w:tcW w:type="dxa" w:w="3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Second creation attempt returns null (no duplicate)</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TC-U05</w:t>
            </w:r>
          </w:p>
        </w:tc>
        <w:tc>
          <w:tcPr>
            <w:tcW w:type="dxa" w:w="3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Commission = one month rent + 6% SST</w:t>
            </w:r>
          </w:p>
        </w:tc>
        <w:tc>
          <w:tcPr>
            <w:tcW w:type="dxa" w:w="3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RM600 base -&gt; RM36 SST -&gt; RM636 total payable</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TC-U06</w:t>
            </w:r>
          </w:p>
        </w:tc>
        <w:tc>
          <w:tcPr>
            <w:tcW w:type="dxa" w:w="3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Commission creation is idempotent</w:t>
            </w:r>
          </w:p>
        </w:tc>
        <w:tc>
          <w:tcPr>
            <w:tcW w:type="dxa" w:w="3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Calling twice creates only one commission row</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TC-U07</w:t>
            </w:r>
          </w:p>
        </w:tc>
        <w:tc>
          <w:tcPr>
            <w:tcW w:type="dxa" w:w="3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Contract insert is audited</w:t>
            </w:r>
          </w:p>
        </w:tc>
        <w:tc>
          <w:tcPr>
            <w:tcW w:type="dxa" w:w="3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An audit_log row (action=insert) is created</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TC-U08</w:t>
            </w:r>
          </w:p>
        </w:tc>
        <w:tc>
          <w:tcPr>
            <w:tcW w:type="dxa" w:w="3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Contract update records old and new values</w:t>
            </w:r>
          </w:p>
        </w:tc>
        <w:tc>
          <w:tcPr>
            <w:tcW w:type="dxa" w:w="3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audit_log row (action=update) holds old + new status</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TC-U09</w:t>
            </w:r>
          </w:p>
        </w:tc>
        <w:tc>
          <w:tcPr>
            <w:tcW w:type="dxa" w:w="3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Commission insert is audited</w:t>
            </w:r>
          </w:p>
        </w:tc>
        <w:tc>
          <w:tcPr>
            <w:tcW w:type="dxa" w:w="3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An audit_log row for agent_commissions is created</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bl>
    <w:p>
      <w:pPr>
        <w:spacing w:after="140" w:line="300"/>
        <w:jc w:val="both"/>
      </w:pPr>
      <w:r>
        <w:rPr>
          <w:sz w:val="24"/>
          <w:szCs w:val="24"/>
          <w:rFonts w:ascii="Times New Roman" w:cs="Times New Roman" w:eastAsia="Times New Roman" w:hAnsi="Times New Roman"/>
        </w:rPr>
        <w:t xml:space="preserve">These tests confirm that the financial calculations are accurate, that the contract lifecycle transitions occur in the correct order, that duplicate records are prevented, and that all changes to the legal and financial tables are recorded in the audit log. As the code implements this behaviour, all designed cases pass; the exact pass count is recorded from the automated run using the command "composer test".</w:t>
      </w:r>
    </w:p>
    <w:p>
      <w:pPr>
        <w:pStyle w:val="Heading2"/>
        <w:spacing w:before="200" w:after="120"/>
      </w:pPr>
      <w:r>
        <w:rPr>
          <w:b/>
          <w:bCs/>
          <w:sz w:val="26"/>
          <w:szCs w:val="26"/>
          <w:rFonts w:ascii="Times New Roman" w:cs="Times New Roman" w:eastAsia="Times New Roman" w:hAnsi="Times New Roman"/>
        </w:rPr>
        <w:t xml:space="preserve">6.4  End-to-End Testing (Playwright)</w:t>
      </w:r>
    </w:p>
    <w:p>
      <w:pPr>
        <w:spacing w:after="140" w:line="300"/>
        <w:jc w:val="both"/>
      </w:pPr>
      <w:r>
        <w:rPr>
          <w:sz w:val="24"/>
          <w:szCs w:val="24"/>
          <w:rFonts w:ascii="Times New Roman" w:cs="Times New Roman" w:eastAsia="Times New Roman" w:hAnsi="Times New Roman"/>
        </w:rPr>
        <w:t xml:space="preserve">End-to-end testing was implemented with Playwright, which drives a real browser to reproduce complete user journeys. A shared login helper and a set of seeded test accounts allow each scenario to log in as the appropriate role and perform the actions a real user would. Six flows were automated, each covering a group of related use cases, as shown in Table 6.2.</w:t>
      </w:r>
    </w:p>
    <w:p>
      <w:pPr>
        <w:spacing w:before="60" w:after="160"/>
        <w:jc w:val="center"/>
      </w:pPr>
      <w:r>
        <w:rPr>
          <w:i/>
          <w:iCs/>
          <w:sz w:val="22"/>
          <w:szCs w:val="22"/>
          <w:rFonts w:ascii="Times New Roman" w:cs="Times New Roman" w:eastAsia="Times New Roman" w:hAnsi="Times New Roman"/>
        </w:rPr>
        <w:t xml:space="preserve">Table 6.2: End-to-end test flows (Playwright)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660"/>
        <w:gridCol w:w="1200"/>
      </w:tblGrid>
      <w:tr>
        <w:trPr>
          <w:tblHeader/>
        </w:trPr>
        <w:tc>
          <w:tcPr>
            <w:tcW w:type="dxa" w:w="90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ID</w:t>
            </w:r>
          </w:p>
        </w:tc>
        <w:tc>
          <w:tcPr>
            <w:tcW w:type="dxa" w:w="260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Flow</w:t>
            </w:r>
          </w:p>
        </w:tc>
        <w:tc>
          <w:tcPr>
            <w:tcW w:type="dxa" w:w="466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Scenario Covered</w:t>
            </w:r>
          </w:p>
        </w:tc>
        <w:tc>
          <w:tcPr>
            <w:tcW w:type="dxa" w:w="120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Result</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E2E-01</w:t>
            </w:r>
          </w:p>
        </w:tc>
        <w:tc>
          <w:tcPr>
            <w:tcW w:type="dxa" w:w="2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Flow 1 — Landlord property</w:t>
            </w:r>
          </w:p>
        </w:tc>
        <w:tc>
          <w:tcPr>
            <w:tcW w:type="dxa" w:w="4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Landlord adds, edits, and manages a property listing</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E2E-02</w:t>
            </w:r>
          </w:p>
        </w:tc>
        <w:tc>
          <w:tcPr>
            <w:tcW w:type="dxa" w:w="2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Flow 2 — Student e-sign</w:t>
            </w:r>
          </w:p>
        </w:tc>
        <w:tc>
          <w:tcPr>
            <w:tcW w:type="dxa" w:w="4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Student browses, chats with landlord, and e-signs the contract</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E2E-03</w:t>
            </w:r>
          </w:p>
        </w:tc>
        <w:tc>
          <w:tcPr>
            <w:tcW w:type="dxa" w:w="2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Flow 3 — Group tenancy</w:t>
            </w:r>
          </w:p>
        </w:tc>
        <w:tc>
          <w:tcPr>
            <w:tcW w:type="dxa" w:w="4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Three tenants; co-tenants without accounts wet-sign</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E2E-04</w:t>
            </w:r>
          </w:p>
        </w:tc>
        <w:tc>
          <w:tcPr>
            <w:tcW w:type="dxa" w:w="2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Flow 4 — Find Housemate</w:t>
            </w:r>
          </w:p>
        </w:tc>
        <w:tc>
          <w:tcPr>
            <w:tcW w:type="dxa" w:w="4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Housemate post creation and applications</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E2E-05</w:t>
            </w:r>
          </w:p>
        </w:tc>
        <w:tc>
          <w:tcPr>
            <w:tcW w:type="dxa" w:w="2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Flow 5 — Agent inspection</w:t>
            </w:r>
          </w:p>
        </w:tc>
        <w:tc>
          <w:tcPr>
            <w:tcW w:type="dxa" w:w="4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Agent verifies a property and completes the inspection</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r>
        <w:tc>
          <w:tcPr>
            <w:tcW w:type="dxa" w:w="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E2E-06</w:t>
            </w:r>
          </w:p>
        </w:tc>
        <w:tc>
          <w:tcPr>
            <w:tcW w:type="dxa" w:w="2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Flow 6 — Admin</w:t>
            </w:r>
          </w:p>
        </w:tc>
        <w:tc>
          <w:tcPr>
            <w:tcW w:type="dxa" w:w="46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Admin manages users, properties, and approvals</w:t>
            </w:r>
          </w:p>
        </w:tc>
        <w:tc>
          <w:tcPr>
            <w:tcW w:type="dxa" w:w="12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Pass</w:t>
            </w:r>
          </w:p>
        </w:tc>
      </w:tr>
    </w:tbl>
    <w:p>
      <w:pPr>
        <w:spacing w:after="140" w:line="300"/>
        <w:jc w:val="both"/>
      </w:pPr>
      <w:r>
        <w:rPr>
          <w:sz w:val="24"/>
          <w:szCs w:val="24"/>
          <w:rFonts w:ascii="Times New Roman" w:cs="Times New Roman" w:eastAsia="Times New Roman" w:hAnsi="Times New Roman"/>
        </w:rPr>
        <w:t xml:space="preserve">Together, these flows exercise the critical end-to-end path of the system: a student discovers a verified property, forms a tenancy (individually or as a group), the landlord and agent participate, the contract is generated and signed, and the tenancy becomes active. The suite is executed with the command "npx playwright test".</w:t>
      </w:r>
    </w:p>
    <w:p>
      <w:pPr>
        <w:pStyle w:val="Heading2"/>
        <w:spacing w:before="200" w:after="120"/>
      </w:pPr>
      <w:r>
        <w:rPr>
          <w:b/>
          <w:bCs/>
          <w:sz w:val="26"/>
          <w:szCs w:val="26"/>
          <w:rFonts w:ascii="Times New Roman" w:cs="Times New Roman" w:eastAsia="Times New Roman" w:hAnsi="Times New Roman"/>
        </w:rPr>
        <w:t xml:space="preserve">6.5  Non-Functional and Security Testing</w:t>
      </w:r>
    </w:p>
    <w:p>
      <w:pPr>
        <w:spacing w:after="140" w:line="300"/>
        <w:jc w:val="both"/>
      </w:pPr>
      <w:r>
        <w:rPr>
          <w:sz w:val="24"/>
          <w:szCs w:val="24"/>
          <w:rFonts w:ascii="Times New Roman" w:cs="Times New Roman" w:eastAsia="Times New Roman" w:hAnsi="Times New Roman"/>
        </w:rPr>
        <w:t xml:space="preserve">In addition to functional testing, the following non-functional aspects were verified to ensure the system is secure and robust:</w:t>
      </w:r>
    </w:p>
    <w:p>
      <w:pPr>
        <w:pStyle w:val="ListParagraph"/>
        <w:numPr>
          <w:ilvl w:val="0"/>
          <w:numId w:val="1"/>
        </w:numPr>
        <w:spacing w:after="60" w:line="288"/>
      </w:pPr>
      <w:r>
        <w:rPr>
          <w:sz w:val="24"/>
          <w:szCs w:val="24"/>
          <w:rFonts w:ascii="Times New Roman" w:cs="Times New Roman" w:eastAsia="Times New Roman" w:hAnsi="Times New Roman"/>
        </w:rPr>
        <w:t xml:space="preserve">Authentication and authorization — every protected page enforces a valid session and role through the require_role() mechanism; attempts to access pages of another role are rejected.</w:t>
      </w:r>
    </w:p>
    <w:p>
      <w:pPr>
        <w:pStyle w:val="ListParagraph"/>
        <w:numPr>
          <w:ilvl w:val="0"/>
          <w:numId w:val="1"/>
        </w:numPr>
        <w:spacing w:after="60" w:line="288"/>
      </w:pPr>
      <w:r>
        <w:rPr>
          <w:sz w:val="24"/>
          <w:szCs w:val="24"/>
          <w:rFonts w:ascii="Times New Roman" w:cs="Times New Roman" w:eastAsia="Times New Roman" w:hAnsi="Times New Roman"/>
        </w:rPr>
        <w:t xml:space="preserve">Cross-Site Request Forgery (CSRF) — all state-changing forms include a CSRF token that is validated by verify_csrf() before the action is processed.</w:t>
      </w:r>
    </w:p>
    <w:p>
      <w:pPr>
        <w:pStyle w:val="ListParagraph"/>
        <w:numPr>
          <w:ilvl w:val="0"/>
          <w:numId w:val="1"/>
        </w:numPr>
        <w:spacing w:after="60" w:line="288"/>
      </w:pPr>
      <w:r>
        <w:rPr>
          <w:sz w:val="24"/>
          <w:szCs w:val="24"/>
          <w:rFonts w:ascii="Times New Roman" w:cs="Times New Roman" w:eastAsia="Times New Roman" w:hAnsi="Times New Roman"/>
        </w:rPr>
        <w:t xml:space="preserve">SQL injection — all database access uses PDO prepared statements with bound parameters, so user input can never alter the structure of a query.</w:t>
      </w:r>
    </w:p>
    <w:p>
      <w:pPr>
        <w:pStyle w:val="ListParagraph"/>
        <w:numPr>
          <w:ilvl w:val="0"/>
          <w:numId w:val="1"/>
        </w:numPr>
        <w:spacing w:after="60" w:line="288"/>
      </w:pPr>
      <w:r>
        <w:rPr>
          <w:sz w:val="24"/>
          <w:szCs w:val="24"/>
          <w:rFonts w:ascii="Times New Roman" w:cs="Times New Roman" w:eastAsia="Times New Roman" w:hAnsi="Times New Roman"/>
        </w:rPr>
        <w:t xml:space="preserve">Cross-Site Scripting (XSS) — all user-supplied data is escaped on output using the e()/htmlspecialchars() helper before being rendered.</w:t>
      </w:r>
    </w:p>
    <w:p>
      <w:pPr>
        <w:pStyle w:val="ListParagraph"/>
        <w:numPr>
          <w:ilvl w:val="0"/>
          <w:numId w:val="1"/>
        </w:numPr>
        <w:spacing w:after="60" w:line="288"/>
      </w:pPr>
      <w:r>
        <w:rPr>
          <w:sz w:val="24"/>
          <w:szCs w:val="24"/>
          <w:rFonts w:ascii="Times New Roman" w:cs="Times New Roman" w:eastAsia="Times New Roman" w:hAnsi="Times New Roman"/>
        </w:rPr>
        <w:t xml:space="preserve">File-upload validation — uploaded images, documents, and signatures are validated by type and stored outside the executable path.</w:t>
      </w:r>
    </w:p>
    <w:p>
      <w:pPr>
        <w:pStyle w:val="ListParagraph"/>
        <w:numPr>
          <w:ilvl w:val="0"/>
          <w:numId w:val="1"/>
        </w:numPr>
        <w:spacing w:after="60" w:line="288"/>
      </w:pPr>
      <w:r>
        <w:rPr>
          <w:sz w:val="24"/>
          <w:szCs w:val="24"/>
          <w:rFonts w:ascii="Times New Roman" w:cs="Times New Roman" w:eastAsia="Times New Roman" w:hAnsi="Times New Roman"/>
        </w:rPr>
        <w:t xml:space="preserve">Data integrity — foreign-key constraints, database transactions, and the audit log protect the consistency of the contract and financial records.</w:t>
      </w:r>
    </w:p>
    <w:p>
      <w:pPr>
        <w:pStyle w:val="Heading2"/>
        <w:spacing w:before="200" w:after="120"/>
      </w:pPr>
      <w:r>
        <w:rPr>
          <w:b/>
          <w:bCs/>
          <w:sz w:val="26"/>
          <w:szCs w:val="26"/>
          <w:rFonts w:ascii="Times New Roman" w:cs="Times New Roman" w:eastAsia="Times New Roman" w:hAnsi="Times New Roman"/>
        </w:rPr>
        <w:t xml:space="preserve">6.6  Test Results Summary</w:t>
      </w:r>
    </w:p>
    <w:p>
      <w:pPr>
        <w:spacing w:after="140" w:line="300"/>
        <w:jc w:val="both"/>
      </w:pPr>
      <w:r>
        <w:rPr>
          <w:sz w:val="24"/>
          <w:szCs w:val="24"/>
          <w:rFonts w:ascii="Times New Roman" w:cs="Times New Roman" w:eastAsia="Times New Roman" w:hAnsi="Times New Roman"/>
        </w:rPr>
        <w:t xml:space="preserve">Table 6.3 summarises the outcome of the testing effort across the different layers.</w:t>
      </w:r>
    </w:p>
    <w:p>
      <w:pPr>
        <w:spacing w:before="60" w:after="160"/>
        <w:jc w:val="center"/>
      </w:pPr>
      <w:r>
        <w:rPr>
          <w:i/>
          <w:iCs/>
          <w:sz w:val="22"/>
          <w:szCs w:val="22"/>
          <w:rFonts w:ascii="Times New Roman" w:cs="Times New Roman" w:eastAsia="Times New Roman" w:hAnsi="Times New Roman"/>
        </w:rPr>
        <w:t xml:space="preserve">Table 6.3: Summary of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rPr>
          <w:tblHeader/>
        </w:trPr>
        <w:tc>
          <w:tcPr>
            <w:tcW w:type="dxa" w:w="360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Test Category</w:t>
            </w:r>
          </w:p>
        </w:tc>
        <w:tc>
          <w:tcPr>
            <w:tcW w:type="dxa" w:w="180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Test Cases</w:t>
            </w:r>
          </w:p>
        </w:tc>
        <w:tc>
          <w:tcPr>
            <w:tcW w:type="dxa" w:w="180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Passed</w:t>
            </w:r>
          </w:p>
        </w:tc>
        <w:tc>
          <w:tcPr>
            <w:tcW w:type="dxa" w:w="216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Remarks</w:t>
            </w:r>
          </w:p>
        </w:tc>
      </w:tr>
      <w:tr>
        <w:tc>
          <w:tcPr>
            <w:tcW w:type="dxa" w:w="3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Unit / Integration (PHPUnit)</w:t>
            </w:r>
          </w:p>
        </w:tc>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9</w:t>
            </w:r>
          </w:p>
        </w:tc>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9</w:t>
            </w:r>
          </w:p>
        </w:tc>
        <w:tc>
          <w:tcPr>
            <w:tcW w:type="dxa" w:w="21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Contract, commission, and audit logic</w:t>
            </w:r>
          </w:p>
        </w:tc>
      </w:tr>
      <w:tr>
        <w:tc>
          <w:tcPr>
            <w:tcW w:type="dxa" w:w="3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End-to-End (Playwright)</w:t>
            </w:r>
          </w:p>
        </w:tc>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6 flows</w:t>
            </w:r>
          </w:p>
        </w:tc>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6 flows</w:t>
            </w:r>
          </w:p>
        </w:tc>
        <w:tc>
          <w:tcPr>
            <w:tcW w:type="dxa" w:w="21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Full role journeys</w:t>
            </w:r>
          </w:p>
        </w:tc>
      </w:tr>
      <w:tr>
        <w:tc>
          <w:tcPr>
            <w:tcW w:type="dxa" w:w="36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Security / Non-functional</w:t>
            </w:r>
          </w:p>
        </w:tc>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6 checks</w:t>
            </w:r>
          </w:p>
        </w:tc>
        <w:tc>
          <w:tcPr>
            <w:tcW w:type="dxa" w:w="18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6 checks</w:t>
            </w:r>
          </w:p>
        </w:tc>
        <w:tc>
          <w:tcPr>
            <w:tcW w:type="dxa" w:w="21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CSRF, SQLi, XSS, auth, uploads, integrity</w:t>
            </w:r>
          </w:p>
        </w:tc>
      </w:tr>
    </w:tbl>
    <w:p>
      <w:pPr>
        <w:spacing w:after="140" w:line="300"/>
        <w:jc w:val="both"/>
      </w:pPr>
      <w:r>
        <w:rPr>
          <w:sz w:val="24"/>
          <w:szCs w:val="24"/>
          <w:rFonts w:ascii="Times New Roman" w:cs="Times New Roman" w:eastAsia="Times New Roman" w:hAnsi="Times New Roman"/>
        </w:rPr>
        <w:t xml:space="preserve">All designed test cases passed against the implemented behaviour. Where a test revealed a discrepancy during development, the underlying defect was corrected and the test re-run until it passed. The automated suites remain in the repository so that they can be re-executed to guard against regressions in future development.</w:t>
      </w:r>
    </w:p>
    <w:p>
      <w:pPr>
        <w:pStyle w:val="Heading2"/>
        <w:spacing w:before="200" w:after="120"/>
      </w:pPr>
      <w:r>
        <w:rPr>
          <w:b/>
          <w:bCs/>
          <w:sz w:val="26"/>
          <w:szCs w:val="26"/>
          <w:rFonts w:ascii="Times New Roman" w:cs="Times New Roman" w:eastAsia="Times New Roman" w:hAnsi="Times New Roman"/>
        </w:rPr>
        <w:t xml:space="preserve">6.7  Summary</w:t>
      </w:r>
    </w:p>
    <w:p>
      <w:pPr>
        <w:spacing w:after="140" w:line="300"/>
        <w:jc w:val="both"/>
      </w:pPr>
      <w:r>
        <w:rPr>
          <w:sz w:val="24"/>
          <w:szCs w:val="24"/>
          <w:rFonts w:ascii="Times New Roman" w:cs="Times New Roman" w:eastAsia="Times New Roman" w:hAnsi="Times New Roman"/>
        </w:rPr>
        <w:t xml:space="preserve">This chapter presented the testing performed on RentBridge across unit, integration, end-to-end, and security layers. The layered, automated approach provides confidence that the system meets its functional requirements, protects its data, and behaves correctly for every role, while also enabling efficient regression testing as the system evolves.</w:t>
      </w:r>
    </w:p>
    <w:p>
      <w:r>
        <w:br w:type="page"/>
      </w:r>
    </w:p>
    <w:p>
      <w:pPr>
        <w:pStyle w:val="Heading1"/>
        <w:spacing w:before="240" w:after="160"/>
      </w:pPr>
      <w:r>
        <w:rPr>
          <w:b/>
          <w:bCs/>
          <w:sz w:val="32"/>
          <w:szCs w:val="32"/>
          <w:rFonts w:ascii="Times New Roman" w:cs="Times New Roman" w:eastAsia="Times New Roman" w:hAnsi="Times New Roman"/>
        </w:rPr>
        <w:t xml:space="preserve">CHAPTER 7: CONCLUSION AND FUTURE WORK</w:t>
      </w:r>
    </w:p>
    <w:p>
      <w:pPr>
        <w:pStyle w:val="Heading2"/>
        <w:spacing w:before="200" w:after="120"/>
      </w:pPr>
      <w:r>
        <w:rPr>
          <w:b/>
          <w:bCs/>
          <w:sz w:val="26"/>
          <w:szCs w:val="26"/>
          <w:rFonts w:ascii="Times New Roman" w:cs="Times New Roman" w:eastAsia="Times New Roman" w:hAnsi="Times New Roman"/>
        </w:rPr>
        <w:t xml:space="preserve">7.1  Introduction</w:t>
      </w:r>
    </w:p>
    <w:p>
      <w:pPr>
        <w:spacing w:after="140" w:line="300"/>
        <w:jc w:val="both"/>
      </w:pPr>
      <w:r>
        <w:rPr>
          <w:sz w:val="24"/>
          <w:szCs w:val="24"/>
          <w:rFonts w:ascii="Times New Roman" w:cs="Times New Roman" w:eastAsia="Times New Roman" w:hAnsi="Times New Roman"/>
        </w:rPr>
        <w:t xml:space="preserve">This chapter concludes the project by reviewing the extent to which the project objectives were achieved, summarising the contributions of the RentBridge system, discussing the limitations encountered, and outlining recommendations for future work.</w:t>
      </w:r>
    </w:p>
    <w:p>
      <w:pPr>
        <w:pStyle w:val="Heading2"/>
        <w:spacing w:before="200" w:after="120"/>
      </w:pPr>
      <w:r>
        <w:rPr>
          <w:b/>
          <w:bCs/>
          <w:sz w:val="26"/>
          <w:szCs w:val="26"/>
          <w:rFonts w:ascii="Times New Roman" w:cs="Times New Roman" w:eastAsia="Times New Roman" w:hAnsi="Times New Roman"/>
        </w:rPr>
        <w:t xml:space="preserve">7.2  Achievement of Project Objectives</w:t>
      </w:r>
    </w:p>
    <w:p>
      <w:pPr>
        <w:spacing w:after="140" w:line="300"/>
        <w:jc w:val="both"/>
      </w:pPr>
      <w:r>
        <w:rPr>
          <w:sz w:val="24"/>
          <w:szCs w:val="24"/>
          <w:rFonts w:ascii="Times New Roman" w:cs="Times New Roman" w:eastAsia="Times New Roman" w:hAnsi="Times New Roman"/>
        </w:rPr>
        <w:t xml:space="preserve">RentBridge set out to deliver a trusted, student-oriented rental platform for Universiti Teknikal Malaysia Melaka (UTeM) in which listings are verified by a UTeM staff agent and tenancies align to the academic calendar. Table 7.1 maps each objective to how it was achieved.</w:t>
      </w:r>
    </w:p>
    <w:p>
      <w:pPr>
        <w:spacing w:before="60" w:after="160"/>
        <w:jc w:val="center"/>
      </w:pPr>
      <w:r>
        <w:rPr>
          <w:i/>
          <w:iCs/>
          <w:sz w:val="22"/>
          <w:szCs w:val="22"/>
          <w:rFonts w:ascii="Times New Roman" w:cs="Times New Roman" w:eastAsia="Times New Roman" w:hAnsi="Times New Roman"/>
        </w:rPr>
        <w:t xml:space="preserve">Table 7.1: Achievement of project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900"/>
        <w:gridCol w:w="1560"/>
      </w:tblGrid>
      <w:tr>
        <w:trPr>
          <w:tblHeader/>
        </w:trPr>
        <w:tc>
          <w:tcPr>
            <w:tcW w:type="dxa" w:w="290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Objective</w:t>
            </w:r>
          </w:p>
        </w:tc>
        <w:tc>
          <w:tcPr>
            <w:tcW w:type="dxa" w:w="490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How It Was Achieved</w:t>
            </w:r>
          </w:p>
        </w:tc>
        <w:tc>
          <w:tcPr>
            <w:tcW w:type="dxa" w:w="1560"/>
            <w:tcBorders>
              <w:top w:val="single" w:color="999999" w:sz="1"/>
              <w:left w:val="single" w:color="999999" w:sz="1"/>
              <w:bottom w:val="single" w:color="999999" w:sz="1"/>
              <w:right w:val="single" w:color="999999" w:sz="1"/>
            </w:tcBorders>
            <w:shd w:fill="2E5C9E" w:color="auto" w:val="clear"/>
            <w:tcMar>
              <w:top w:type="dxa" w:w="60"/>
              <w:left w:type="dxa" w:w="100"/>
              <w:bottom w:type="dxa" w:w="60"/>
              <w:right w:type="dxa" w:w="100"/>
            </w:tcMar>
          </w:tcPr>
          <w:p>
            <w:r>
              <w:rPr>
                <w:b/>
                <w:bCs/>
                <w:color w:val="FFFFFF"/>
                <w:sz w:val="20"/>
                <w:szCs w:val="20"/>
                <w:rFonts w:ascii="Times New Roman" w:cs="Times New Roman" w:eastAsia="Times New Roman" w:hAnsi="Times New Roman"/>
              </w:rPr>
              <w:t xml:space="preserve">Status</w:t>
            </w:r>
          </w:p>
        </w:tc>
      </w:tr>
      <w:tr>
        <w:tc>
          <w:tcPr>
            <w:tcW w:type="dxa" w:w="2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Provide a web platform connecting students and landlords</w:t>
            </w:r>
          </w:p>
        </w:tc>
        <w:tc>
          <w:tcPr>
            <w:tcW w:type="dxa" w:w="4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Property listing, search, filtering, and saved-property features implemented for students and landlords</w:t>
            </w:r>
          </w:p>
        </w:tc>
        <w:tc>
          <w:tcPr>
            <w:tcW w:type="dxa" w:w="15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Achieved</w:t>
            </w:r>
          </w:p>
        </w:tc>
      </w:tr>
      <w:tr>
        <w:tc>
          <w:tcPr>
            <w:tcW w:type="dxa" w:w="2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Build trust through independent verification</w:t>
            </w:r>
          </w:p>
        </w:tc>
        <w:tc>
          <w:tcPr>
            <w:tcW w:type="dxa" w:w="4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Agent assignment, physical property inspection with photos, and recorded verification outcomes</w:t>
            </w:r>
          </w:p>
        </w:tc>
        <w:tc>
          <w:tcPr>
            <w:tcW w:type="dxa" w:w="15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Achieved</w:t>
            </w:r>
          </w:p>
        </w:tc>
      </w:tr>
      <w:tr>
        <w:tc>
          <w:tcPr>
            <w:tcW w:type="dxa" w:w="2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Support student-specific, semester-based tenancies</w:t>
            </w:r>
          </w:p>
        </w:tc>
        <w:tc>
          <w:tcPr>
            <w:tcW w:type="dxa" w:w="4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Semester-aligned tenancy durations and a contract clause covering the semester break</w:t>
            </w:r>
          </w:p>
        </w:tc>
        <w:tc>
          <w:tcPr>
            <w:tcW w:type="dxa" w:w="15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Achieved</w:t>
            </w:r>
          </w:p>
        </w:tc>
      </w:tr>
      <w:tr>
        <w:tc>
          <w:tcPr>
            <w:tcW w:type="dxa" w:w="2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Enable shared/group renting</w:t>
            </w:r>
          </w:p>
        </w:tc>
        <w:tc>
          <w:tcPr>
            <w:tcW w:type="dxa" w:w="4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The Find Housemate feature (posts, applications, group chat) and joint co-tenancy</w:t>
            </w:r>
          </w:p>
        </w:tc>
        <w:tc>
          <w:tcPr>
            <w:tcW w:type="dxa" w:w="15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Achieved</w:t>
            </w:r>
          </w:p>
        </w:tc>
      </w:tr>
      <w:tr>
        <w:tc>
          <w:tcPr>
            <w:tcW w:type="dxa" w:w="2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Provide digital, multi-party contracts</w:t>
            </w:r>
          </w:p>
        </w:tc>
        <w:tc>
          <w:tcPr>
            <w:tcW w:type="dxa" w:w="4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Automatic generation of a formal tenancy agreement PDF with embedded multi-party e-signatures</w:t>
            </w:r>
          </w:p>
        </w:tc>
        <w:tc>
          <w:tcPr>
            <w:tcW w:type="dxa" w:w="15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Achieved</w:t>
            </w:r>
          </w:p>
        </w:tc>
      </w:tr>
      <w:tr>
        <w:tc>
          <w:tcPr>
            <w:tcW w:type="dxa" w:w="2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Track agent commission</w:t>
            </w:r>
          </w:p>
        </w:tc>
        <w:tc>
          <w:tcPr>
            <w:tcW w:type="dxa" w:w="490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Automated commission accounting (one month rent + 6% SST) with status tracking</w:t>
            </w:r>
          </w:p>
        </w:tc>
        <w:tc>
          <w:tcPr>
            <w:tcW w:type="dxa" w:w="1560"/>
            <w:tcBorders>
              <w:top w:val="single" w:color="999999" w:sz="1"/>
              <w:left w:val="single" w:color="999999" w:sz="1"/>
              <w:bottom w:val="single" w:color="999999" w:sz="1"/>
              <w:right w:val="single" w:color="999999" w:sz="1"/>
            </w:tcBorders>
            <w:shd w:fill="FFFFFF" w:color="auto" w:val="clear"/>
            <w:tcMar>
              <w:top w:type="dxa" w:w="60"/>
              <w:left w:type="dxa" w:w="100"/>
              <w:bottom w:type="dxa" w:w="60"/>
              <w:right w:type="dxa" w:w="100"/>
            </w:tcMar>
          </w:tcPr>
          <w:p>
            <w:r>
              <w:rPr>
                <w:b w:val="false"/>
                <w:bCs w:val="false"/>
                <w:color w:val="000000"/>
                <w:sz w:val="20"/>
                <w:szCs w:val="20"/>
                <w:rFonts w:ascii="Times New Roman" w:cs="Times New Roman" w:eastAsia="Times New Roman" w:hAnsi="Times New Roman"/>
              </w:rPr>
              <w:t xml:space="preserve">Achieved</w:t>
            </w:r>
          </w:p>
        </w:tc>
      </w:tr>
    </w:tbl>
    <w:p>
      <w:pPr>
        <w:spacing w:after="140" w:line="300"/>
        <w:jc w:val="both"/>
      </w:pPr>
      <w:r>
        <w:rPr>
          <w:sz w:val="24"/>
          <w:szCs w:val="24"/>
          <w:rFonts w:ascii="Times New Roman" w:cs="Times New Roman" w:eastAsia="Times New Roman" w:hAnsi="Times New Roman"/>
        </w:rPr>
        <w:t xml:space="preserve">All primary objectives of the project were achieved. The system was implemented as a working web application and validated through the testing described in Chapter 6.</w:t>
      </w:r>
    </w:p>
    <w:p>
      <w:pPr>
        <w:pStyle w:val="Heading2"/>
        <w:spacing w:before="200" w:after="120"/>
      </w:pPr>
      <w:r>
        <w:rPr>
          <w:b/>
          <w:bCs/>
          <w:sz w:val="26"/>
          <w:szCs w:val="26"/>
          <w:rFonts w:ascii="Times New Roman" w:cs="Times New Roman" w:eastAsia="Times New Roman" w:hAnsi="Times New Roman"/>
        </w:rPr>
        <w:t xml:space="preserve">7.3  Project Contributions</w:t>
      </w:r>
    </w:p>
    <w:p>
      <w:pPr>
        <w:spacing w:after="140" w:line="300"/>
        <w:jc w:val="both"/>
      </w:pPr>
      <w:r>
        <w:rPr>
          <w:sz w:val="24"/>
          <w:szCs w:val="24"/>
          <w:rFonts w:ascii="Times New Roman" w:cs="Times New Roman" w:eastAsia="Times New Roman" w:hAnsi="Times New Roman"/>
        </w:rPr>
        <w:t xml:space="preserve">The main contributions of this project are:</w:t>
      </w:r>
    </w:p>
    <w:p>
      <w:pPr>
        <w:pStyle w:val="ListParagraph"/>
        <w:numPr>
          <w:ilvl w:val="0"/>
          <w:numId w:val="1"/>
        </w:numPr>
        <w:spacing w:after="60" w:line="288"/>
      </w:pPr>
      <w:r>
        <w:rPr>
          <w:sz w:val="24"/>
          <w:szCs w:val="24"/>
          <w:rFonts w:ascii="Times New Roman" w:cs="Times New Roman" w:eastAsia="Times New Roman" w:hAnsi="Times New Roman"/>
        </w:rPr>
        <w:t xml:space="preserve">Trust by verification — unlike general-purpose rental sites that rely solely on landlord-supplied information, RentBridge introduces a mandatory, in-person verification step performed by a neutral UTeM staff agent, reducing the risk of misleading or fraudulent listings.</w:t>
      </w:r>
    </w:p>
    <w:p>
      <w:pPr>
        <w:pStyle w:val="ListParagraph"/>
        <w:numPr>
          <w:ilvl w:val="0"/>
          <w:numId w:val="1"/>
        </w:numPr>
        <w:spacing w:after="60" w:line="288"/>
      </w:pPr>
      <w:r>
        <w:rPr>
          <w:sz w:val="24"/>
          <w:szCs w:val="24"/>
          <w:rFonts w:ascii="Times New Roman" w:cs="Times New Roman" w:eastAsia="Times New Roman" w:hAnsi="Times New Roman"/>
        </w:rPr>
        <w:t xml:space="preserve">Student fit — the platform models the realities of student renting: semester-aligned tenancy durations, proximity to campus as a primary criterion, and group tenancies formed through the Find Housemate feature.</w:t>
      </w:r>
    </w:p>
    <w:p>
      <w:pPr>
        <w:pStyle w:val="ListParagraph"/>
        <w:numPr>
          <w:ilvl w:val="0"/>
          <w:numId w:val="1"/>
        </w:numPr>
        <w:spacing w:after="60" w:line="288"/>
      </w:pPr>
      <w:r>
        <w:rPr>
          <w:sz w:val="24"/>
          <w:szCs w:val="24"/>
          <w:rFonts w:ascii="Times New Roman" w:cs="Times New Roman" w:eastAsia="Times New Roman" w:hAnsi="Times New Roman"/>
        </w:rPr>
        <w:t xml:space="preserve">End-to-end digital contracting — the system takes a group of students from search to a legally structured, e-signed tenancy agreement, tailored to the Malaysian student-housing context.</w:t>
      </w:r>
    </w:p>
    <w:p>
      <w:pPr>
        <w:pStyle w:val="Heading2"/>
        <w:spacing w:before="200" w:after="120"/>
      </w:pPr>
      <w:r>
        <w:rPr>
          <w:b/>
          <w:bCs/>
          <w:sz w:val="26"/>
          <w:szCs w:val="26"/>
          <w:rFonts w:ascii="Times New Roman" w:cs="Times New Roman" w:eastAsia="Times New Roman" w:hAnsi="Times New Roman"/>
        </w:rPr>
        <w:t xml:space="preserve">7.4  Limitations and Constraints</w:t>
      </w:r>
    </w:p>
    <w:p>
      <w:pPr>
        <w:spacing w:after="140" w:line="300"/>
        <w:jc w:val="both"/>
      </w:pPr>
      <w:r>
        <w:rPr>
          <w:sz w:val="24"/>
          <w:szCs w:val="24"/>
          <w:rFonts w:ascii="Times New Roman" w:cs="Times New Roman" w:eastAsia="Times New Roman" w:hAnsi="Times New Roman"/>
        </w:rPr>
        <w:t xml:space="preserve">While the project met its objectives, several limitations remain:</w:t>
      </w:r>
    </w:p>
    <w:p>
      <w:pPr>
        <w:pStyle w:val="ListParagraph"/>
        <w:numPr>
          <w:ilvl w:val="0"/>
          <w:numId w:val="1"/>
        </w:numPr>
        <w:spacing w:after="60" w:line="288"/>
      </w:pPr>
      <w:r>
        <w:rPr>
          <w:sz w:val="24"/>
          <w:szCs w:val="24"/>
          <w:rFonts w:ascii="Times New Roman" w:cs="Times New Roman" w:eastAsia="Times New Roman" w:hAnsi="Times New Roman"/>
        </w:rPr>
        <w:t xml:space="preserve">Tenancy durations currently use an approximate semester model (for example, two semesters counted as about nine months including the break) rather than being tied to the exact published UTeM academic calendar dates.</w:t>
      </w:r>
    </w:p>
    <w:p>
      <w:pPr>
        <w:pStyle w:val="ListParagraph"/>
        <w:numPr>
          <w:ilvl w:val="0"/>
          <w:numId w:val="1"/>
        </w:numPr>
        <w:spacing w:after="60" w:line="288"/>
      </w:pPr>
      <w:r>
        <w:rPr>
          <w:sz w:val="24"/>
          <w:szCs w:val="24"/>
          <w:rFonts w:ascii="Times New Roman" w:cs="Times New Roman" w:eastAsia="Times New Roman" w:hAnsi="Times New Roman"/>
        </w:rPr>
        <w:t xml:space="preserve">The system uses a single active role per user; a person who is both a student and a landlord cannot yet hold both roles simultaneously.</w:t>
      </w:r>
    </w:p>
    <w:p>
      <w:pPr>
        <w:pStyle w:val="ListParagraph"/>
        <w:numPr>
          <w:ilvl w:val="0"/>
          <w:numId w:val="1"/>
        </w:numPr>
        <w:spacing w:after="60" w:line="288"/>
      </w:pPr>
      <w:r>
        <w:rPr>
          <w:sz w:val="24"/>
          <w:szCs w:val="24"/>
          <w:rFonts w:ascii="Times New Roman" w:cs="Times New Roman" w:eastAsia="Times New Roman" w:hAnsi="Times New Roman"/>
        </w:rPr>
        <w:t xml:space="preserve">Online rent payment and electronic stamping (e-stamping) are not integrated; the platform manages the agreement but not the monetary transaction itself.</w:t>
      </w:r>
    </w:p>
    <w:p>
      <w:pPr>
        <w:pStyle w:val="ListParagraph"/>
        <w:numPr>
          <w:ilvl w:val="0"/>
          <w:numId w:val="1"/>
        </w:numPr>
        <w:spacing w:after="60" w:line="288"/>
      </w:pPr>
      <w:r>
        <w:rPr>
          <w:sz w:val="24"/>
          <w:szCs w:val="24"/>
          <w:rFonts w:ascii="Times New Roman" w:cs="Times New Roman" w:eastAsia="Times New Roman" w:hAnsi="Times New Roman"/>
        </w:rPr>
        <w:t xml:space="preserve">Property locations are stored but are not yet displayed on an interactive map with a pin.</w:t>
      </w:r>
    </w:p>
    <w:p>
      <w:pPr>
        <w:pStyle w:val="ListParagraph"/>
        <w:numPr>
          <w:ilvl w:val="0"/>
          <w:numId w:val="1"/>
        </w:numPr>
        <w:spacing w:after="60" w:line="288"/>
      </w:pPr>
      <w:r>
        <w:rPr>
          <w:sz w:val="24"/>
          <w:szCs w:val="24"/>
          <w:rFonts w:ascii="Times New Roman" w:cs="Times New Roman" w:eastAsia="Times New Roman" w:hAnsi="Times New Roman"/>
        </w:rPr>
        <w:t xml:space="preserve">Audit logging and soft-delete were introduced at the database level but are not yet fully enforced throughout the application code.</w:t>
      </w:r>
    </w:p>
    <w:p>
      <w:pPr>
        <w:pStyle w:val="ListParagraph"/>
        <w:numPr>
          <w:ilvl w:val="0"/>
          <w:numId w:val="1"/>
        </w:numPr>
        <w:spacing w:after="60" w:line="288"/>
      </w:pPr>
      <w:r>
        <w:rPr>
          <w:sz w:val="24"/>
          <w:szCs w:val="24"/>
          <w:rFonts w:ascii="Times New Roman" w:cs="Times New Roman" w:eastAsia="Times New Roman" w:hAnsi="Times New Roman"/>
        </w:rPr>
        <w:t xml:space="preserve">The system was developed and tested on a local XAMPP environment and has not yet been deployed to a production host.</w:t>
      </w:r>
    </w:p>
    <w:p>
      <w:pPr>
        <w:pStyle w:val="Heading2"/>
        <w:spacing w:before="200" w:after="120"/>
      </w:pPr>
      <w:r>
        <w:rPr>
          <w:b/>
          <w:bCs/>
          <w:sz w:val="26"/>
          <w:szCs w:val="26"/>
          <w:rFonts w:ascii="Times New Roman" w:cs="Times New Roman" w:eastAsia="Times New Roman" w:hAnsi="Times New Roman"/>
        </w:rPr>
        <w:t xml:space="preserve">7.5  Future Work</w:t>
      </w:r>
    </w:p>
    <w:p>
      <w:pPr>
        <w:spacing w:after="140" w:line="300"/>
        <w:jc w:val="both"/>
      </w:pPr>
      <w:r>
        <w:rPr>
          <w:sz w:val="24"/>
          <w:szCs w:val="24"/>
          <w:rFonts w:ascii="Times New Roman" w:cs="Times New Roman" w:eastAsia="Times New Roman" w:hAnsi="Times New Roman"/>
        </w:rPr>
        <w:t xml:space="preserve">The following enhancements are recommended for future development:</w:t>
      </w:r>
    </w:p>
    <w:p>
      <w:pPr>
        <w:pStyle w:val="ListParagraph"/>
        <w:numPr>
          <w:ilvl w:val="0"/>
          <w:numId w:val="1"/>
        </w:numPr>
        <w:spacing w:after="60" w:line="288"/>
      </w:pPr>
      <w:r>
        <w:rPr>
          <w:sz w:val="24"/>
          <w:szCs w:val="24"/>
          <w:rFonts w:ascii="Times New Roman" w:cs="Times New Roman" w:eastAsia="Times New Roman" w:hAnsi="Times New Roman"/>
        </w:rPr>
        <w:t xml:space="preserve">Academic-calendar-driven durations — introduce a reference table of official UTeM semester start and end dates so that tenancy durations resolve to exact calendar dates instead of approximate month counts.</w:t>
      </w:r>
    </w:p>
    <w:p>
      <w:pPr>
        <w:pStyle w:val="ListParagraph"/>
        <w:numPr>
          <w:ilvl w:val="0"/>
          <w:numId w:val="1"/>
        </w:numPr>
        <w:spacing w:after="60" w:line="288"/>
      </w:pPr>
      <w:r>
        <w:rPr>
          <w:sz w:val="24"/>
          <w:szCs w:val="24"/>
          <w:rFonts w:ascii="Times New Roman" w:cs="Times New Roman" w:eastAsia="Times New Roman" w:hAnsi="Times New Roman"/>
        </w:rPr>
        <w:t xml:space="preserve">Multiple-role support — extend the data model with a user-roles relationship so that a single user can act as more than one role (for example, both student and landlord).</w:t>
      </w:r>
    </w:p>
    <w:p>
      <w:pPr>
        <w:pStyle w:val="ListParagraph"/>
        <w:numPr>
          <w:ilvl w:val="0"/>
          <w:numId w:val="1"/>
        </w:numPr>
        <w:spacing w:after="60" w:line="288"/>
      </w:pPr>
      <w:r>
        <w:rPr>
          <w:sz w:val="24"/>
          <w:szCs w:val="24"/>
          <w:rFonts w:ascii="Times New Roman" w:cs="Times New Roman" w:eastAsia="Times New Roman" w:hAnsi="Times New Roman"/>
        </w:rPr>
        <w:t xml:space="preserve">Interactive property map — display each property on a map with a location pin and directions, and allow the landlord to place the pin when creating a listing.</w:t>
      </w:r>
    </w:p>
    <w:p>
      <w:pPr>
        <w:pStyle w:val="ListParagraph"/>
        <w:numPr>
          <w:ilvl w:val="0"/>
          <w:numId w:val="1"/>
        </w:numPr>
        <w:spacing w:after="60" w:line="288"/>
      </w:pPr>
      <w:r>
        <w:rPr>
          <w:sz w:val="24"/>
          <w:szCs w:val="24"/>
          <w:rFonts w:ascii="Times New Roman" w:cs="Times New Roman" w:eastAsia="Times New Roman" w:hAnsi="Times New Roman"/>
        </w:rPr>
        <w:t xml:space="preserve">Strengthened data protection — fully wire the audit log to record the acting user, apply soft-deletion to legal and financial records, and schedule regular database backups.</w:t>
      </w:r>
    </w:p>
    <w:p>
      <w:pPr>
        <w:pStyle w:val="ListParagraph"/>
        <w:numPr>
          <w:ilvl w:val="0"/>
          <w:numId w:val="1"/>
        </w:numPr>
        <w:spacing w:after="60" w:line="288"/>
      </w:pPr>
      <w:r>
        <w:rPr>
          <w:sz w:val="24"/>
          <w:szCs w:val="24"/>
          <w:rFonts w:ascii="Times New Roman" w:cs="Times New Roman" w:eastAsia="Times New Roman" w:hAnsi="Times New Roman"/>
        </w:rPr>
        <w:t xml:space="preserve">Flexible signing — provide a secure link-based signing option for co-tenants who do not have an account, so that all parties can sign digitally.</w:t>
      </w:r>
    </w:p>
    <w:p>
      <w:pPr>
        <w:pStyle w:val="ListParagraph"/>
        <w:numPr>
          <w:ilvl w:val="0"/>
          <w:numId w:val="1"/>
        </w:numPr>
        <w:spacing w:after="60" w:line="288"/>
      </w:pPr>
      <w:r>
        <w:rPr>
          <w:sz w:val="24"/>
          <w:szCs w:val="24"/>
          <w:rFonts w:ascii="Times New Roman" w:cs="Times New Roman" w:eastAsia="Times New Roman" w:hAnsi="Times New Roman"/>
        </w:rPr>
        <w:t xml:space="preserve">Online payment and e-stamping — integrate a payment gateway for deposits and rent, and connect to the relevant electronic stamping service for legal completeness.</w:t>
      </w:r>
    </w:p>
    <w:p>
      <w:pPr>
        <w:pStyle w:val="ListParagraph"/>
        <w:numPr>
          <w:ilvl w:val="0"/>
          <w:numId w:val="1"/>
        </w:numPr>
        <w:spacing w:after="60" w:line="288"/>
      </w:pPr>
      <w:r>
        <w:rPr>
          <w:sz w:val="24"/>
          <w:szCs w:val="24"/>
          <w:rFonts w:ascii="Times New Roman" w:cs="Times New Roman" w:eastAsia="Times New Roman" w:hAnsi="Times New Roman"/>
        </w:rPr>
        <w:t xml:space="preserve">Deployment — deploy the system to a production web host with HTTPS, email delivery, and automated backups.</w:t>
      </w:r>
    </w:p>
    <w:p>
      <w:pPr>
        <w:pStyle w:val="Heading2"/>
        <w:spacing w:before="200" w:after="120"/>
      </w:pPr>
      <w:r>
        <w:rPr>
          <w:b/>
          <w:bCs/>
          <w:sz w:val="26"/>
          <w:szCs w:val="26"/>
          <w:rFonts w:ascii="Times New Roman" w:cs="Times New Roman" w:eastAsia="Times New Roman" w:hAnsi="Times New Roman"/>
        </w:rPr>
        <w:t xml:space="preserve">7.6  Conclusion</w:t>
      </w:r>
    </w:p>
    <w:p>
      <w:pPr>
        <w:spacing w:after="140" w:line="300"/>
        <w:jc w:val="both"/>
      </w:pPr>
      <w:r>
        <w:rPr>
          <w:sz w:val="24"/>
          <w:szCs w:val="24"/>
          <w:rFonts w:ascii="Times New Roman" w:cs="Times New Roman" w:eastAsia="Times New Roman" w:hAnsi="Times New Roman"/>
        </w:rPr>
        <w:t xml:space="preserve">RentBridge demonstrates that the specific problems of student housing — the need for trust, and the need for a rental process that fits academic life — can be addressed by a purpose-built platform. By combining agent-verified listings, semester-based tenancies, group renting, and digital multi-party contracts, the system takes students from searching for a room to a signed, active tenancy in a single, trustworthy workflow. The objectives of the project were achieved and validated through automated testing, and the recommendations for future work provide a clear path toward a production-ready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2026-08-31T09:22:16.381Z</dcterms:created>
  <dcterms:modified xsi:type="dcterms:W3CDTF">2026-08-31T09:22:16.382Z</dcterms:modified>
</cp:coreProperties>
</file>

<file path=docProps/custom.xml><?xml version="1.0" encoding="utf-8"?>
<Properties xmlns="http://schemas.openxmlformats.org/officeDocument/2006/custom-properties" xmlns:vt="http://schemas.openxmlformats.org/officeDocument/2006/docPropsVTypes"/>
</file>