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Information</w:t>
      </w:r>
      <w:r>
        <w:t xml:space="preserve"> </w:t>
      </w:r>
      <w:r>
        <w:t xml:space="preserve">Weight</w:t>
      </w:r>
      <w:r>
        <w:t xml:space="preserve"> </w:t>
      </w:r>
      <w:r>
        <w:t xml:space="preserve">and</w:t>
      </w:r>
      <w:r>
        <w:t xml:space="preserve"> </w:t>
      </w:r>
      <w:r>
        <w:t xml:space="preserve">Effective</w:t>
      </w:r>
      <w:r>
        <w:t xml:space="preserve"> </w:t>
      </w:r>
      <w:r>
        <w:t xml:space="preserve">Gravitational</w:t>
      </w:r>
      <w:r>
        <w:t xml:space="preserve"> </w:t>
      </w:r>
      <w:r>
        <w:t xml:space="preserve">Coupling</w:t>
      </w:r>
      <w:r>
        <w:t xml:space="preserve"> </w:t>
      </w:r>
      <w:r>
        <w:t xml:space="preserve">in</w:t>
      </w:r>
      <w:r>
        <w:t xml:space="preserve"> </w:t>
      </w:r>
      <w:r>
        <w:t xml:space="preserve">a</w:t>
      </w:r>
      <w:r>
        <w:t xml:space="preserve"> </w:t>
      </w:r>
      <w:r>
        <w:t xml:space="preserve">Finite</w:t>
      </w:r>
      <w:r>
        <w:t xml:space="preserve"> </w:t>
      </w:r>
      <w:r>
        <w:t xml:space="preserve">WRRA</w:t>
      </w:r>
      <w:r>
        <w:t xml:space="preserve"> </w:t>
      </w:r>
      <w:r>
        <w:t xml:space="preserve">Model</w:t>
      </w:r>
    </w:p>
    <w:p>
      <w:pPr>
        <w:pStyle w:val="Subtitle"/>
        <w:widowControl/>
      </w:pPr>
      <w:r>
        <w:t xml:space="preserve">Response</w:t>
      </w:r>
      <w:r>
        <w:t xml:space="preserve"> </w:t>
      </w:r>
      <w:r>
        <w:t xml:space="preserve">sufficiency</w:t>
      </w:r>
      <w:r>
        <w:t xml:space="preserve"> </w:t>
      </w:r>
      <w:r>
        <w:t xml:space="preserve">and</w:t>
      </w:r>
      <w:r>
        <w:t xml:space="preserve"> </w:t>
      </w:r>
      <w:r>
        <w:t xml:space="preserve">stability</w:t>
      </w:r>
      <w:r>
        <w:t xml:space="preserve"> </w:t>
      </w:r>
      <w:r>
        <w:t xml:space="preserve">under</w:t>
      </w:r>
      <w:r>
        <w:t xml:space="preserve"> </w:t>
      </w:r>
      <w:r>
        <w:t xml:space="preserve">finite</w:t>
      </w:r>
      <w:r>
        <w:t xml:space="preserve"> </w:t>
      </w:r>
      <w:r>
        <w:t xml:space="preserve">address</w:t>
      </w:r>
      <w:r>
        <w:t xml:space="preserve"> </w:t>
      </w:r>
      <w:r>
        <w:t xml:space="preserve">restrictions</w:t>
      </w:r>
    </w:p>
    <w:p>
      <w:pPr>
        <w:pStyle w:val="Author"/>
        <w:widowControl/>
      </w:pPr>
      <w:r>
        <w:t xml:space="preserve">Wonsik</w:t>
      </w:r>
      <w:r>
        <w:t xml:space="preserve"> </w:t>
      </w:r>
      <w:r>
        <w:t xml:space="preserve">Choi</w:t>
      </w:r>
      <w:r>
        <w:t xml:space="preserve"> </w:t>
      </w:r>
      <w:r>
        <w:t xml:space="preserve">and</w:t>
      </w:r>
      <w:r>
        <w:t xml:space="preserve"> </w:t>
      </w:r>
      <w:r>
        <w:t xml:space="preserve">Jeongin</w:t>
      </w:r>
      <w:r>
        <w:t xml:space="preserve"> </w:t>
      </w:r>
      <w:r>
        <w:t xml:space="preserve">Choi</w:t>
      </w:r>
    </w:p>
    <w:p>
      <w:pPr>
        <w:pStyle w:val="Date"/>
        <w:widowControl/>
      </w:pPr>
      <w:r>
        <w:t xml:space="preserve">Version</w:t>
      </w:r>
      <w:r>
        <w:t xml:space="preserve"> </w:t>
      </w:r>
      <w:r>
        <w:t xml:space="preserve">0.3</w:t>
      </w:r>
      <w:r>
        <w:t xml:space="preserve"> </w:t>
      </w:r>
      <w:r>
        <w:t xml:space="preserve">·</w:t>
      </w:r>
      <w:r>
        <w:t xml:space="preserve"> </w:t>
      </w:r>
      <w:r>
        <w:t xml:space="preserve">9</w:t>
      </w:r>
      <w:r>
        <w:t xml:space="preserve"> </w:t>
      </w:r>
      <w:r>
        <w:t xml:space="preserve">October</w:t>
      </w:r>
      <w:r>
        <w:t xml:space="preserve"> </w:t>
      </w:r>
      <w:r>
        <w:t xml:space="preserve">2026</w:t>
      </w:r>
    </w:p>
    <w:p>
      <w:pPr>
        <w:pStyle w:val="FirstParagraph"/>
        <w:widowControl/>
      </w:pPr>
      <w:r>
        <w:t xml:space="preserve">Wonsik Choi — Independent Researcher, Seoul, Republic of Korea. Corresponding author: janefather@gmail.com. ORCID: 0009-0001-4263-9772.</w:t>
      </w:r>
    </w:p>
    <w:p>
      <w:pPr>
        <w:pStyle w:val="BodyText"/>
        <w:widowControl/>
      </w:pPr>
      <w:r>
        <w:t xml:space="preserve">Jeongin Choi — Independent Researcher. Email: cjeongin024@gmail.com.</w:t>
      </w:r>
    </w:p>
    <w:bookmarkStart w:id="20" w:name="abstract"/>
    <w:p>
      <w:pPr>
        <w:pStyle w:val="Heading1"/>
        <w:widowControl/>
      </w:pPr>
      <w:r>
        <w:t xml:space="preserve">Abstract</w:t>
      </w:r>
    </w:p>
    <w:p>
      <w:pPr>
        <w:pStyle w:val="FirstParagraph"/>
        <w:widowControl/>
      </w:pPr>
      <w:r>
        <w:t xml:space="preserve">Can an information load determine gravitational response when the microscopic states realizing that load are unresolved? We study this question in a finite Worldline–Residue–Resource–Action model with a specified equilibrium preparation and a calibrated weak-field response functional. We construct two address–carrier states that preserve the same address marginal, carrier marginal, and all three inherited weighted carrier operators, yet have different load susceptibilities. The distinction persists when the address marginal is held fixed during equilibration. Thus the earlier snapshot interface does not determine the new response contract. A finite Gibbs construction supplies an explicit completion: load covariance reduces the field stiffness, with a sharp spectral condition for local stability. The resulting inverse kernel admits a scalar effective gravitational coupling only under a stated proportionality condition; otherwise its enhancement depends on the probe mode. We distinguish moment sufficiency at one preparation from exact partition-function sufficiency on an open field domain, and retain source terms when eliminating unobserved field coordinates. Equal entropy and mean load do not fix the response. Reproducible finite examples quantify each obstruction and repair. The contribution is a conditional information-to-response construction and its information requirements, not a derivation of Newton’s constant, a spacetime topology, or the Einstein equation from address counting alone.</w:t>
      </w:r>
    </w:p>
    <w:p>
      <w:pPr>
        <w:pStyle w:val="BodyText"/>
        <w:widowControl/>
      </w:pPr>
      <w:r>
        <w:t xml:space="preserve">Keywords: information load; gravitational response; finite state reduction; susceptibility; coarse graining; WRRA</w:t>
      </w:r>
    </w:p>
    <w:bookmarkEnd w:id="20"/>
    <w:bookmarkStart w:id="21" w:name="introduction"/>
    <w:p>
      <w:pPr>
        <w:pStyle w:val="Heading1"/>
        <w:widowControl/>
      </w:pPr>
      <w:r>
        <w:t xml:space="preserve">1 Introduction</w:t>
      </w:r>
    </w:p>
    <w:p>
      <w:pPr>
        <w:pStyle w:val="FirstParagraph"/>
        <w:widowControl/>
      </w:pPr>
      <w:r>
        <w:t xml:space="preserve">The question whether gravity reflects the weight of information requires a physical definition of both weight and information. A finite address count, a Shannon entropy, an energy expectation and a response coefficient are different quantities. They can be related by a model, but none determines the others without a specified preparation, coupling and dimensional calibration. Here we turn the motivating question into a finite test: which state information must be retained to determine a weak-field susceptibility, and when can the resulting response be represented by one effective gravitational coupling?</w:t>
      </w:r>
    </w:p>
    <w:p>
      <w:pPr>
        <w:pStyle w:val="BodyText"/>
        <w:widowControl/>
      </w:pPr>
      <w:r>
        <w:t xml:space="preserve">The preceding WRRA model [1] maps conditional carrier states to three sector-weighted operators and then to information loads, energy, pressure and stipulated gravitational readouts. It already distinguishes snapshot sufficiency from closure under address-controlled updates. Its class-resolved rank-six construction repairs a particular controlled-update failure; it does not claim a universally closed reduced state. Our question is different: even without that update, does the same snapshot representation determine how the state changes under a field that couples to its information load? We give a counterexample using the actual even-composite response function of [1], and identify the additional response data needed.</w:t>
      </w:r>
    </w:p>
    <w:p>
      <w:pPr>
        <w:pStyle w:val="BodyText"/>
        <w:widowControl/>
      </w:pPr>
      <w:r>
        <w:t xml:space="preserve">The particle-interface study [2], the decay extension [3], and the effective carrier construction [4] distinguish reference-energy matching, subsequent evolution and volume derivatives. The companion energy-pressure study [5] develops finite compensating sectors and their stability limits. Those results motivate retaining a single thermodynamic potential and its declared derivative conditions here. We do not identify the present thermal degrees of freedom with that compensator, the lepton source, or the complete fifteen-channel carrier. The present construction is a new response layer on a commuting finite subfamily, with its own explicit equilibrium assumption.</w:t>
      </w:r>
    </w:p>
    <w:p>
      <w:pPr>
        <w:pStyle w:val="BodyText"/>
        <w:widowControl/>
      </w:pPr>
      <w:r>
        <w:t xml:space="preserve">The covariance Hessian of a finite exponential family is established statistical mechanics and information geometry [6]. Schur elimination of internal field coordinates is standard, including its graph interpretation [7]. Neither identity is claimed as a new law. Our independent contribution is their use to expose a specific ambiguity in the WRRA information-to-gravity interface, its persistence under two inequivalent preparation constraints, and the resulting hierarchy of sufficient descriptions. The general mathematics serves an explicit failure-and-repair calculation rather than supplying novelty by itself. The information hierarchy is the organizing result. In [1], the variable operation is an address-controlled channel, the preserved data are the three weighted operators, the distinguishing output is a post-update query, and the repair is a control-class lift. Here the variable operation is an equilibrium field tilt, the same operators and both marginals remain equal at preparation, the distinguishing output is the susceptibility, and the repair is response-specific fluctuation information. We further show that a complete global load distribution, sufficient for every joint field tilt, can still fail under clamped-address equilibration. Consequently a proposed gravitational renderer cannot infer its own backreaction from the old snapshot cache or from a global entropy/load histogram alone; it must declare the allowed relaxation and retain its corresponding state distinctions.</w:t>
      </w:r>
    </w:p>
    <w:p>
      <w:pPr>
        <w:pStyle w:val="BodyText"/>
        <w:widowControl/>
      </w:pPr>
      <w:r>
        <w:t xml:space="preserve">Thermodynamic approaches to gravitational field equations employ further physical structure. Jacobson’s horizon argument assumes an entropy-area relation and local heat balance [8]; entanglement equilibrium uses a distinct small-region variational setting [9]. We assume neither horizon thermodynamics nor a continuum entanglement construction. Our static potential is a finite weak-field ansatz, with an inherited dimensional gravitational scale. This keeps the intended comparison precise: the model computes relative response after a bridge is specified; it does not obtain that bridge from entropy alone.</w:t>
      </w:r>
    </w:p>
    <w:bookmarkEnd w:id="21"/>
    <w:bookmarkStart w:id="22" w:name="inputs-and-the-finite-response-contract"/>
    <w:p>
      <w:pPr>
        <w:pStyle w:val="Heading1"/>
        <w:widowControl/>
      </w:pPr>
      <w:r>
        <w:t xml:space="preserve">2 Inputs and the finite response contract</w:t>
      </w:r>
    </w:p>
    <w:p>
      <w:pPr>
        <w:pStyle w:val="FirstParagraph"/>
        <w:widowControl/>
      </w:pPr>
      <w:r>
        <w:t xml:space="preserve">Let a finite classical address register have strictly positive normalized weights</w:t>
      </w:r>
      <w:r>
        <w:t xml:space="preserve"> </w:t>
      </w:r>
      <m:oMath>
        <m:sSub>
          <m:e>
            <m:r>
              <m:t>w</m:t>
            </m:r>
          </m:e>
          <m:sub>
            <m:r>
              <m:t>n</m:t>
            </m:r>
          </m:sub>
        </m:sSub>
      </m:oMath>
      <w:r>
        <w:t xml:space="preserve">. In a chosen commuting carrier basis, address</w:t>
      </w:r>
      <w:r>
        <w:t xml:space="preserve"> </w:t>
      </w:r>
      <m:oMath>
        <m:r>
          <m:t>n</m:t>
        </m:r>
      </m:oMath>
      <w:r>
        <w:t xml:space="preserve"> </w:t>
      </w:r>
      <w:r>
        <w:t xml:space="preserve">has probabilities</w:t>
      </w:r>
      <w:r>
        <w:t xml:space="preserve"> </w:t>
      </w:r>
      <m:oMath>
        <m:sSub>
          <m:e>
            <m:r>
              <m:t>r</m:t>
            </m:r>
          </m:e>
          <m:sub>
            <m:r>
              <m:t>n</m:t>
            </m:r>
            <m:r>
              <m:t>k</m:t>
            </m:r>
          </m:sub>
        </m:sSub>
        <m:r>
          <m:rPr>
            <m:sty m:val="p"/>
          </m:rPr>
          <m:t>&gt;</m:t>
        </m:r>
        <m:r>
          <m:t>0</m:t>
        </m:r>
      </m:oMath>
      <w:r>
        <w:t xml:space="preserve">, with</w:t>
      </w:r>
      <w:r>
        <w:t xml:space="preserve"> </w:t>
      </w:r>
      <m:oMath>
        <m:nary>
          <m:naryPr>
            <m:chr m:val="∑"/>
            <m:limLoc m:val="undOvr"/>
            <m:subHide m:val="off"/>
            <m:supHide m:val="on"/>
          </m:naryPr>
          <m:sub>
            <m:r>
              <m:t>k</m:t>
            </m:r>
          </m:sub>
          <m:sup>
            <m:r>
              <m:t>​</m:t>
            </m:r>
          </m:sup>
          <m:e>
            <m:sSub>
              <m:e>
                <m:r>
                  <m:t>r</m:t>
                </m:r>
              </m:e>
              <m:sub>
                <m:r>
                  <m:t>n</m:t>
                </m:r>
                <m:r>
                  <m:t>k</m:t>
                </m:r>
              </m:sub>
            </m:sSub>
          </m:e>
        </m:nary>
        <m:r>
          <m:rPr>
            <m:sty m:val="p"/>
          </m:rPr>
          <m:t>=</m:t>
        </m:r>
        <m:r>
          <m:t>1</m:t>
        </m:r>
      </m:oMath>
      <w:r>
        <w:t xml:space="preserve">. The reference joint probabilities are</w:t>
      </w:r>
      <w:r>
        <w:t xml:space="preserve"> </w:t>
      </w:r>
      <m:oMath>
        <m:sSub>
          <m:e>
            <m:r>
              <m:t>p</m:t>
            </m:r>
          </m:e>
          <m:sub>
            <m:r>
              <m:t>n</m:t>
            </m:r>
            <m:r>
              <m:t>k</m:t>
            </m:r>
          </m:sub>
        </m:sSub>
        <m:r>
          <m:rPr>
            <m:sty m:val="p"/>
          </m:rPr>
          <m:t>=</m:t>
        </m:r>
        <m:sSub>
          <m:e>
            <m:r>
              <m:t>w</m:t>
            </m:r>
          </m:e>
          <m:sub>
            <m:r>
              <m:t>n</m:t>
            </m:r>
          </m:sub>
        </m:sSub>
        <m:sSub>
          <m:e>
            <m:r>
              <m:t>r</m:t>
            </m:r>
          </m:e>
          <m:sub>
            <m:r>
              <m:t>n</m:t>
            </m:r>
            <m:r>
              <m:t>k</m:t>
            </m:r>
          </m:sub>
        </m:sSub>
      </m:oMath>
      <w:r>
        <w:t xml:space="preserve">. The diagonal carrier states form a legitimate restricted subfamily of the classical–quantum states in [1]; no theorem below is asserted for arbitrary noncommuting couplings.</w:t>
      </w:r>
    </w:p>
    <w:p>
      <w:pPr>
        <w:pStyle w:val="BodyText"/>
        <w:widowControl/>
      </w:pPr>
      <w:r>
        <w:t xml:space="preserve">In WRRA, the common carrier is the shared state substrate on which address-dependent admission rules act before sector readouts are assigned. Here a carrier state records the conditional occupation of a finite commuting set of carrier modes; an information load is a specified observable of that state, weighted by the address response, whose numerical value enters the declared energy coupling. It is neither an address count nor a synonym for Shannon entropy. The finite subfamily below makes that state-to-load transformation explicit without requiring the reader to reconstruct the full parent model.</w:t>
      </w:r>
    </w:p>
    <w:p>
      <w:pPr>
        <w:pStyle w:val="BodyText"/>
        <w:widowControl/>
      </w:pPr>
      <w:r>
        <w:t xml:space="preserve">For fixed nonnegative admission-response functions</w:t>
      </w:r>
      <w:r>
        <w:t xml:space="preserve"> </w:t>
      </w:r>
      <m:oMath>
        <m:sSub>
          <m:e>
            <m:r>
              <m:t>f</m:t>
            </m:r>
          </m:e>
          <m:sub>
            <m:r>
              <m:t>s</m:t>
            </m:r>
          </m:sub>
        </m:sSub>
        <m:d>
          <m:dPr>
            <m:begChr m:val="("/>
            <m:endChr m:val=")"/>
            <m:sepChr m:val=""/>
            <m:grow/>
          </m:dPr>
          <m:e>
            <m:r>
              <m:t>n</m:t>
            </m:r>
          </m:e>
        </m:d>
      </m:oMath>
      <w:r>
        <w:t xml:space="preserve">, the inherited snapshot interface is</w:t>
      </w:r>
    </w:p>
    <w:p>
      <w:pPr>
        <w:pStyle w:val="BodyText"/>
        <w:widowControl/>
      </w:pPr>
      <m:oMathPara>
        <m:oMathParaPr>
          <m:jc m:val="center"/>
        </m:oMathParaPr>
        <m:oMath>
          <m:sSub>
            <m:e>
              <m:r>
                <m:t>Σ</m:t>
              </m:r>
            </m:e>
            <m:sub>
              <m:r>
                <m:t>s</m:t>
              </m:r>
            </m:sub>
          </m:sSub>
          <m:r>
            <m:rPr>
              <m:sty m:val="p"/>
            </m:rPr>
            <m:t>=</m:t>
          </m:r>
          <m:nary>
            <m:naryPr>
              <m:chr m:val="∑"/>
              <m:limLoc m:val="undOvr"/>
              <m:subHide m:val="off"/>
              <m:supHide m:val="on"/>
            </m:naryPr>
            <m:sub>
              <m:r>
                <m:t>n</m:t>
              </m:r>
            </m:sub>
            <m:sup>
              <m:r>
                <m:t>​</m:t>
              </m:r>
            </m:sup>
            <m:e>
              <m:sSub>
                <m:e>
                  <m:r>
                    <m:t>w</m:t>
                  </m:r>
                </m:e>
                <m:sub>
                  <m:r>
                    <m:t>n</m:t>
                  </m:r>
                </m:sub>
              </m:sSub>
            </m:e>
          </m:nary>
          <m:sSub>
            <m:e>
              <m:r>
                <m:t>f</m:t>
              </m:r>
            </m:e>
            <m:sub>
              <m:r>
                <m:t>s</m:t>
              </m:r>
            </m:sub>
          </m:sSub>
          <m:d>
            <m:dPr>
              <m:begChr m:val="("/>
              <m:endChr m:val=")"/>
              <m:sepChr m:val=""/>
              <m:grow/>
            </m:dPr>
            <m:e>
              <m:r>
                <m:t>n</m:t>
              </m:r>
            </m:e>
          </m:d>
          <m:sSub>
            <m:e>
              <m:r>
                <m:t>ρ</m:t>
              </m:r>
            </m:e>
            <m:sub>
              <m:r>
                <m:t>n</m:t>
              </m:r>
            </m:sub>
          </m:sSub>
          <m:r>
            <m:rPr>
              <m:sty m:val="p"/>
            </m:rPr>
            <m:t>,</m:t>
          </m:r>
          <m:r>
            <m:t>  </m:t>
          </m:r>
          <m:sSub>
            <m:e>
              <m:r>
                <m:t>L</m:t>
              </m:r>
            </m:e>
            <m:sub>
              <m:r>
                <m:t>s</m:t>
              </m:r>
            </m:sub>
          </m:sSub>
          <m:r>
            <m:rPr>
              <m:sty m:val="p"/>
            </m:rPr>
            <m:t>=</m:t>
          </m:r>
          <m:r>
            <m:rPr>
              <m:sty m:val="p"/>
            </m:rPr>
            <m:t>Tr</m:t>
          </m:r>
          <m:d>
            <m:dPr>
              <m:begChr m:val="("/>
              <m:endChr m:val=")"/>
              <m:sepChr m:val=""/>
              <m:grow/>
            </m:dPr>
            <m:e>
              <m:sSub>
                <m:e>
                  <m:r>
                    <m:t>Σ</m:t>
                  </m:r>
                </m:e>
                <m:sub>
                  <m:r>
                    <m:t>s</m:t>
                  </m:r>
                </m:sub>
              </m:sSub>
              <m:sSub>
                <m:e>
                  <m:r>
                    <m:t>A</m:t>
                  </m:r>
                </m:e>
                <m:sub>
                  <m:r>
                    <m:t>s</m:t>
                  </m:r>
                </m:sub>
              </m:sSub>
            </m:e>
          </m:d>
          <m:r>
            <m:rPr>
              <m:sty m:val="p"/>
            </m:rPr>
            <m:t>,</m:t>
          </m:r>
          <m:r>
            <m:t>  </m:t>
          </m:r>
          <m:r>
            <m:t>s</m:t>
          </m:r>
          <m:r>
            <m:rPr>
              <m:sty m:val="p"/>
            </m:rPr>
            <m:t>∈</m:t>
          </m:r>
          <m:r>
            <m:rPr>
              <m:sty m:val="p"/>
            </m:rPr>
            <m:t>{</m:t>
          </m:r>
          <m:r>
            <m:t>P</m:t>
          </m:r>
          <m:r>
            <m:rPr>
              <m:sty m:val="p"/>
            </m:rPr>
            <m:t>,</m:t>
          </m:r>
          <m:r>
            <m:t>D</m:t>
          </m:r>
          <m:r>
            <m:rPr>
              <m:sty m:val="p"/>
            </m:rPr>
            <m:t>,</m:t>
          </m:r>
          <m:r>
            <m:t>R</m:t>
          </m:r>
          <m:r>
            <m:rPr>
              <m:sty m:val="p"/>
            </m:rPr>
            <m:t>}</m:t>
          </m:r>
          <m:r>
            <m:rPr>
              <m:sty m:val="p"/>
            </m:rPr>
            <m:t>.</m:t>
          </m:r>
          <m:r>
            <m:t>  </m:t>
          </m:r>
          <m:d>
            <m:dPr>
              <m:begChr m:val="("/>
              <m:endChr m:val=")"/>
              <m:sepChr m:val=""/>
              <m:grow/>
            </m:dPr>
            <m:e>
              <m:r>
                <m:t>1</m:t>
              </m:r>
            </m:e>
          </m:d>
        </m:oMath>
      </m:oMathPara>
    </w:p>
    <w:p>
      <w:pPr>
        <w:pStyle w:val="FirstParagraph"/>
        <w:widowControl/>
      </w:pPr>
      <w:r>
        <w:t xml:space="preserve">Choose</w:t>
      </w:r>
      <w:r>
        <w:t xml:space="preserve"> </w:t>
      </w:r>
      <m:oMath>
        <m:r>
          <m:t>m</m:t>
        </m:r>
      </m:oMath>
      <w:r>
        <w:t xml:space="preserve"> </w:t>
      </w:r>
      <w:r>
        <w:t xml:space="preserve">dimensionless field coordinates</w:t>
      </w:r>
      <w:r>
        <w:t xml:space="preserve"> </w:t>
      </w:r>
      <m:oMath>
        <m:sSub>
          <m:e>
            <m:r>
              <m:t>x</m:t>
            </m:r>
          </m:e>
          <m:sub>
            <m:r>
              <m:t>i</m:t>
            </m:r>
          </m:sub>
        </m:sSub>
      </m:oMath>
      <w:r>
        <w:t xml:space="preserve"> </w:t>
      </w:r>
      <w:r>
        <w:t xml:space="preserve">and a specified dimensionless load vector</w:t>
      </w:r>
      <w:r>
        <w:t xml:space="preserve"> </w:t>
      </w:r>
      <m:oMath>
        <m:sSub>
          <m:e>
            <m:r>
              <m:t>b</m:t>
            </m:r>
          </m:e>
          <m:sub>
            <m:r>
              <m:t>a</m:t>
            </m:r>
          </m:sub>
        </m:sSub>
        <m:r>
          <m:rPr>
            <m:sty m:val="p"/>
          </m:rPr>
          <m:t>∈</m:t>
        </m:r>
        <m:sSup>
          <m:e>
            <m:r>
              <m:rPr>
                <m:sty m:val="p"/>
                <m:scr m:val="double-struck"/>
              </m:rPr>
              <m:t>R</m:t>
            </m:r>
          </m:e>
          <m:sup>
            <m:r>
              <m:t>m</m:t>
            </m:r>
          </m:sup>
        </m:sSup>
      </m:oMath>
      <w:r>
        <w:t xml:space="preserve"> </w:t>
      </w:r>
      <w:r>
        <w:t xml:space="preserve">for each joint label</w:t>
      </w:r>
      <w:r>
        <w:t xml:space="preserve"> </w:t>
      </w:r>
      <m:oMath>
        <m:r>
          <m:t>a</m:t>
        </m:r>
        <m:r>
          <m:rPr>
            <m:sty m:val="p"/>
          </m:rPr>
          <m:t>=</m:t>
        </m:r>
        <m:d>
          <m:dPr>
            <m:begChr m:val="("/>
            <m:endChr m:val=")"/>
            <m:sepChr m:val=""/>
            <m:grow/>
          </m:dPr>
          <m:e>
            <m:r>
              <m:t>n</m:t>
            </m:r>
            <m:r>
              <m:rPr>
                <m:sty m:val="p"/>
              </m:rPr>
              <m:t>,</m:t>
            </m:r>
            <m:r>
              <m:t>k</m:t>
            </m:r>
          </m:e>
        </m:d>
      </m:oMath>
      <w:r>
        <w:t xml:space="preserve">. Coordinates may be grounded graph potentials or fixed spatial basis amplitudes. A nonnegative single load can source a negative attractive potential with the sign convention below; signed load coordinates may alternatively describe contrasts about a reference. Positivity of every component is not required by the mathematical response theory. The map from addresses to spatial coordinates is supplied, not inferred from the numerical order of prime factors.</w:t>
      </w:r>
    </w:p>
    <w:p>
      <w:pPr>
        <w:pStyle w:val="BodyText"/>
        <w:widowControl/>
      </w:pPr>
      <w:r>
        <w:t xml:space="preserve">The present energy scale</w:t>
      </w:r>
      <w:r>
        <w:t xml:space="preserve"> </w:t>
      </w:r>
      <m:oMath>
        <m:r>
          <m:t>ϵ</m:t>
        </m:r>
      </m:oMath>
      <w:r>
        <w:t xml:space="preserve"> </w:t>
      </w:r>
      <w:r>
        <w:t xml:space="preserve">is distinct from the inherited carrier diagnostic</w:t>
      </w:r>
      <w:r>
        <w:t xml:space="preserve"> </w:t>
      </w:r>
      <m:oMath>
        <m:r>
          <m:t>ε</m:t>
        </m:r>
      </m:oMath>
      <w:r>
        <w:t xml:space="preserve">. The energy scale</w:t>
      </w:r>
      <w:r>
        <w:t xml:space="preserve"> </w:t>
      </w:r>
      <m:oMath>
        <m:r>
          <m:t>ϵ</m:t>
        </m:r>
        <m:r>
          <m:rPr>
            <m:sty m:val="p"/>
          </m:rPr>
          <m:t>&gt;</m:t>
        </m:r>
        <m:r>
          <m:t>0</m:t>
        </m:r>
      </m:oMath>
      <w:r>
        <w:t xml:space="preserve"> </w:t>
      </w:r>
      <w:r>
        <w:t xml:space="preserve">and inverse energy</w:t>
      </w:r>
      <w:r>
        <w:t xml:space="preserve"> </w:t>
      </w:r>
      <m:oMath>
        <m:r>
          <m:t>β</m:t>
        </m:r>
        <m:r>
          <m:rPr>
            <m:sty m:val="p"/>
          </m:rPr>
          <m:t>&gt;</m:t>
        </m:r>
        <m:r>
          <m:t>0</m:t>
        </m:r>
      </m:oMath>
      <w:r>
        <w:t xml:space="preserve"> </w:t>
      </w:r>
      <w:r>
        <w:t xml:space="preserve">are fixed. A positive definite matrix</w:t>
      </w:r>
      <w:r>
        <w:t xml:space="preserve"> </w:t>
      </w:r>
      <m:oMath>
        <m:sSub>
          <m:e>
            <m:r>
              <m:t>K</m:t>
            </m:r>
          </m:e>
          <m:sub>
            <m:r>
              <m:t>0</m:t>
            </m:r>
          </m:sub>
        </m:sSub>
      </m:oMath>
      <w:r>
        <w:t xml:space="preserve"> </w:t>
      </w:r>
      <w:r>
        <w:t xml:space="preserve">has energy units, and a source vector</w:t>
      </w:r>
      <w:r>
        <w:t xml:space="preserve"> </w:t>
      </w:r>
      <m:oMath>
        <m:r>
          <m:t>j</m:t>
        </m:r>
      </m:oMath>
      <w:r>
        <w:t xml:space="preserve"> </w:t>
      </w:r>
      <w:r>
        <w:t xml:space="preserve">also has energy units. Define</w:t>
      </w:r>
    </w:p>
    <w:p>
      <w:pPr>
        <w:pStyle w:val="BodyText"/>
        <w:widowControl/>
      </w:pPr>
      <m:oMathPara>
        <m:oMathParaPr>
          <m:jc m:val="center"/>
        </m:oMathParaPr>
        <m:oMath>
          <m:sSub>
            <m:e>
              <m:r>
                <m:t>Z</m:t>
              </m:r>
            </m:e>
            <m:sub>
              <m:r>
                <m:t>p</m:t>
              </m:r>
            </m:sub>
          </m:sSub>
          <m:d>
            <m:dPr>
              <m:begChr m:val="("/>
              <m:endChr m:val=")"/>
              <m:sepChr m:val=""/>
              <m:grow/>
            </m:dPr>
            <m:e>
              <m:r>
                <m:t>x</m:t>
              </m:r>
            </m:e>
          </m:d>
          <m:r>
            <m:rPr>
              <m:sty m:val="p"/>
            </m:rPr>
            <m:t>=</m:t>
          </m:r>
          <m:nary>
            <m:naryPr>
              <m:chr m:val="∑"/>
              <m:limLoc m:val="undOvr"/>
              <m:subHide m:val="off"/>
              <m:supHide m:val="on"/>
            </m:naryPr>
            <m:sub>
              <m:r>
                <m:t>a</m:t>
              </m:r>
            </m:sub>
            <m:sup>
              <m:r>
                <m:t>​</m:t>
              </m:r>
            </m:sup>
            <m:e>
              <m:sSub>
                <m:e>
                  <m:r>
                    <m:t>p</m:t>
                  </m:r>
                </m:e>
                <m:sub>
                  <m:r>
                    <m:t>a</m:t>
                  </m:r>
                </m:sub>
              </m:sSub>
            </m:e>
          </m:nary>
          <m:sSup>
            <m:e>
              <m:r>
                <m:t>e</m:t>
              </m:r>
            </m:e>
            <m:sup>
              <m:r>
                <m:rPr>
                  <m:sty m:val="p"/>
                </m:rPr>
                <m:t>−</m:t>
              </m:r>
              <m:r>
                <m:t>β</m:t>
              </m:r>
              <m:r>
                <m:t>ϵ</m:t>
              </m:r>
              <m:sSubSup>
                <m:e>
                  <m:r>
                    <m:t>b</m:t>
                  </m:r>
                </m:e>
                <m:sub>
                  <m:r>
                    <m:t>a</m:t>
                  </m:r>
                </m:sub>
                <m:sup>
                  <m:r>
                    <m:t>T</m:t>
                  </m:r>
                </m:sup>
              </m:sSubSup>
              <m:r>
                <m:t>x</m:t>
              </m:r>
            </m:sup>
          </m:sSup>
          <m:r>
            <m:rPr>
              <m:sty m:val="p"/>
            </m:rPr>
            <m:t>,</m:t>
          </m:r>
          <m:r>
            <m:t> </m:t>
          </m:r>
          <m:sSub>
            <m:e>
              <m:r>
                <m:t>F</m:t>
              </m:r>
            </m:e>
            <m:sub>
              <m:r>
                <m:t>p</m:t>
              </m:r>
            </m:sub>
          </m:sSub>
          <m:d>
            <m:dPr>
              <m:begChr m:val="("/>
              <m:endChr m:val=")"/>
              <m:sepChr m:val=""/>
              <m:grow/>
            </m:dPr>
            <m:e>
              <m:r>
                <m:t>x</m:t>
              </m:r>
            </m:e>
          </m:d>
          <m:r>
            <m:rPr>
              <m:sty m:val="p"/>
            </m:rPr>
            <m:t>=</m:t>
          </m:r>
          <m:r>
            <m:rPr>
              <m:sty m:val="p"/>
            </m:rPr>
            <m:t>−</m:t>
          </m:r>
          <m:sSup>
            <m:e>
              <m:r>
                <m:t>β</m:t>
              </m:r>
            </m:e>
            <m:sup>
              <m:r>
                <m:rPr>
                  <m:sty m:val="p"/>
                </m:rPr>
                <m:t>−</m:t>
              </m:r>
              <m:r>
                <m:t>1</m:t>
              </m:r>
            </m:sup>
          </m:sSup>
          <m:r>
            <m:rPr>
              <m:sty m:val="p"/>
            </m:rPr>
            <m:t>log</m:t>
          </m:r>
          <m:sSub>
            <m:e>
              <m:r>
                <m:t>Z</m:t>
              </m:r>
            </m:e>
            <m:sub>
              <m:r>
                <m:t>p</m:t>
              </m:r>
            </m:sub>
          </m:sSub>
          <m:d>
            <m:dPr>
              <m:begChr m:val="("/>
              <m:endChr m:val=")"/>
              <m:sepChr m:val=""/>
              <m:grow/>
            </m:dPr>
            <m:e>
              <m:r>
                <m:t>x</m:t>
              </m:r>
            </m:e>
          </m:d>
          <m:r>
            <m:rPr>
              <m:sty m:val="p"/>
            </m:rPr>
            <m:t>,</m:t>
          </m:r>
          <m:r>
            <m:t> </m:t>
          </m:r>
          <m:sSub>
            <m:e>
              <m:r>
                <m:rPr>
                  <m:sty m:val="p"/>
                  <m:scr m:val="script"/>
                </m:rPr>
                <m:t>F</m:t>
              </m:r>
            </m:e>
            <m:sub>
              <m:r>
                <m:t>p</m:t>
              </m:r>
            </m:sub>
          </m:sSub>
          <m:d>
            <m:dPr>
              <m:begChr m:val="("/>
              <m:endChr m:val=")"/>
              <m:sepChr m:val=""/>
              <m:grow/>
            </m:dPr>
            <m:e>
              <m:r>
                <m:t>x</m:t>
              </m:r>
              <m:r>
                <m:rPr>
                  <m:sty m:val="p"/>
                </m:rPr>
                <m:t>;</m:t>
              </m:r>
              <m:r>
                <m:t>j</m:t>
              </m:r>
            </m:e>
          </m:d>
          <m:r>
            <m:rPr>
              <m:sty m:val="p"/>
            </m:rPr>
            <m:t>=</m:t>
          </m:r>
          <m:f>
            <m:fPr>
              <m:type m:val="lin"/>
            </m:fPr>
            <m:num>
              <m:r>
                <m:t>1</m:t>
              </m:r>
            </m:num>
            <m:den>
              <m:r>
                <m:t>2</m:t>
              </m:r>
            </m:den>
          </m:f>
          <m:sSup>
            <m:e>
              <m:r>
                <m:t>x</m:t>
              </m:r>
            </m:e>
            <m:sup>
              <m:r>
                <m:t>T</m:t>
              </m:r>
            </m:sup>
          </m:sSup>
          <m:sSub>
            <m:e>
              <m:r>
                <m:t>K</m:t>
              </m:r>
            </m:e>
            <m:sub>
              <m:r>
                <m:t>0</m:t>
              </m:r>
            </m:sub>
          </m:sSub>
          <m:r>
            <m:t>x</m:t>
          </m:r>
          <m:r>
            <m:rPr>
              <m:sty m:val="p"/>
            </m:rPr>
            <m:t>+</m:t>
          </m:r>
          <m:sSup>
            <m:e>
              <m:r>
                <m:t>j</m:t>
              </m:r>
            </m:e>
            <m:sup>
              <m:r>
                <m:t>T</m:t>
              </m:r>
            </m:sup>
          </m:sSup>
          <m:r>
            <m:t>x</m:t>
          </m:r>
          <m:r>
            <m:rPr>
              <m:sty m:val="p"/>
            </m:rPr>
            <m:t>+</m:t>
          </m:r>
          <m:sSub>
            <m:e>
              <m:r>
                <m:t>F</m:t>
              </m:r>
            </m:e>
            <m:sub>
              <m:r>
                <m:t>p</m:t>
              </m:r>
            </m:sub>
          </m:sSub>
          <m:d>
            <m:dPr>
              <m:begChr m:val="("/>
              <m:endChr m:val=")"/>
              <m:sepChr m:val=""/>
              <m:grow/>
            </m:dPr>
            <m:e>
              <m:r>
                <m:t>x</m:t>
              </m:r>
            </m:e>
          </m:d>
          <m:r>
            <m:rPr>
              <m:sty m:val="p"/>
            </m:rPr>
            <m:t>.</m:t>
          </m:r>
          <m:r>
            <m:t>  </m:t>
          </m:r>
          <m:d>
            <m:dPr>
              <m:begChr m:val="("/>
              <m:endChr m:val=")"/>
              <m:sepChr m:val=""/>
              <m:grow/>
            </m:dPr>
            <m:e>
              <m:r>
                <m:t>2</m:t>
              </m:r>
            </m:e>
          </m:d>
        </m:oMath>
      </m:oMathPara>
    </w:p>
    <w:p>
      <w:pPr>
        <w:pStyle w:val="FirstParagraph"/>
        <w:widowControl/>
      </w:pPr>
      <w:r>
        <w:t xml:space="preserve">The normalized tilted state is</w:t>
      </w:r>
      <w:r>
        <w:t xml:space="preserve"> </w:t>
      </w:r>
      <m:oMath>
        <m:sSub>
          <m:e>
            <m:r>
              <m:t>p</m:t>
            </m:r>
          </m:e>
          <m:sub>
            <m:r>
              <m:t>a</m:t>
            </m:r>
          </m:sub>
        </m:sSub>
        <m:d>
          <m:dPr>
            <m:begChr m:val="("/>
            <m:endChr m:val=")"/>
            <m:sepChr m:val=""/>
            <m:grow/>
          </m:dPr>
          <m:e>
            <m:r>
              <m:t>x</m:t>
            </m:r>
          </m:e>
        </m:d>
        <m:r>
          <m:rPr>
            <m:sty m:val="p"/>
          </m:rPr>
          <m:t>=</m:t>
        </m:r>
        <m:sSub>
          <m:e>
            <m:r>
              <m:t>p</m:t>
            </m:r>
          </m:e>
          <m:sub>
            <m:r>
              <m:t>a</m:t>
            </m:r>
          </m:sub>
        </m:sSub>
        <m:sSup>
          <m:e>
            <m:r>
              <m:t>e</m:t>
            </m:r>
          </m:e>
          <m:sup>
            <m:r>
              <m:rPr>
                <m:sty m:val="p"/>
              </m:rPr>
              <m:t>−</m:t>
            </m:r>
            <m:r>
              <m:t>β</m:t>
            </m:r>
            <m:r>
              <m:t>ϵ</m:t>
            </m:r>
            <m:sSubSup>
              <m:e>
                <m:r>
                  <m:t>b</m:t>
                </m:r>
              </m:e>
              <m:sub>
                <m:r>
                  <m:t>a</m:t>
                </m:r>
              </m:sub>
              <m:sup>
                <m:r>
                  <m:t>T</m:t>
                </m:r>
              </m:sup>
            </m:sSubSup>
            <m:r>
              <m:t>x</m:t>
            </m:r>
          </m:sup>
        </m:sSup>
        <m:r>
          <m:rPr>
            <m:sty m:val="p"/>
          </m:rPr>
          <m:t>/</m:t>
        </m:r>
        <m:sSub>
          <m:e>
            <m:r>
              <m:t>Z</m:t>
            </m:r>
          </m:e>
          <m:sub>
            <m:r>
              <m:t>p</m:t>
            </m:r>
          </m:sub>
        </m:sSub>
        <m:d>
          <m:dPr>
            <m:begChr m:val="("/>
            <m:endChr m:val=")"/>
            <m:sepChr m:val=""/>
            <m:grow/>
          </m:dPr>
          <m:e>
            <m:r>
              <m:t>x</m:t>
            </m:r>
          </m:e>
        </m:d>
      </m:oMath>
      <w:r>
        <w:t xml:space="preserve">. Equation (2) is an equilibrium ansatz. For one fixed temperature the baseline energies</w:t>
      </w:r>
      <w:r>
        <w:t xml:space="preserve"> </w:t>
      </w:r>
      <m:oMath>
        <m:sSub>
          <m:e>
            <m:r>
              <m:t>h</m:t>
            </m:r>
          </m:e>
          <m:sub>
            <m:r>
              <m:t>a</m:t>
            </m:r>
          </m:sub>
        </m:sSub>
        <m:r>
          <m:rPr>
            <m:sty m:val="p"/>
          </m:rPr>
          <m:t>=</m:t>
        </m:r>
        <m:r>
          <m:rPr>
            <m:sty m:val="p"/>
          </m:rPr>
          <m:t>−</m:t>
        </m:r>
        <m:sSup>
          <m:e>
            <m:r>
              <m:t>β</m:t>
            </m:r>
          </m:e>
          <m:sup>
            <m:r>
              <m:rPr>
                <m:sty m:val="p"/>
              </m:rPr>
              <m:t>−</m:t>
            </m:r>
            <m:r>
              <m:t>1</m:t>
            </m:r>
          </m:sup>
        </m:sSup>
        <m:r>
          <m:rPr>
            <m:sty m:val="p"/>
          </m:rPr>
          <m:t>log</m:t>
        </m:r>
        <m:sSub>
          <m:e>
            <m:r>
              <m:t>p</m:t>
            </m:r>
          </m:e>
          <m:sub>
            <m:r>
              <m:t>a</m:t>
            </m:r>
          </m:sub>
        </m:sSub>
      </m:oMath>
      <w:r>
        <w:t xml:space="preserve"> </w:t>
      </w:r>
      <w:r>
        <w:t xml:space="preserve">realize it as a finite canonical partition function, with a chosen additive constant. Across different reference preparations</w:t>
      </w:r>
      <w:r>
        <w:t xml:space="preserve"> </w:t>
      </w:r>
      <m:oMath>
        <m:r>
          <m:t>p</m:t>
        </m:r>
      </m:oMath>
      <w:r>
        <w:t xml:space="preserve">, these baseline energies or preparation resources change. We do not infer an autonomous thermalization process, or equate</w:t>
      </w:r>
      <w:r>
        <w:t xml:space="preserve"> </w:t>
      </w:r>
      <m:oMath>
        <m:sSub>
          <m:e>
            <m:r>
              <m:t>h</m:t>
            </m:r>
          </m:e>
          <m:sub>
            <m:r>
              <m:t>a</m:t>
            </m:r>
          </m:sub>
        </m:sSub>
      </m:oMath>
      <w:r>
        <w:t xml:space="preserve"> </w:t>
      </w:r>
      <w:r>
        <w:t xml:space="preserve">with a measured particle rest energy. A heat bath and any control bias are external to this static effective description. In particular, the prescribed field charge</w:t>
      </w:r>
      <w:r>
        <w:t xml:space="preserve"> </w:t>
      </w:r>
      <m:oMath>
        <m:r>
          <m:t>ϵ</m:t>
        </m:r>
        <m:sSub>
          <m:e>
            <m:r>
              <m:t>b</m:t>
            </m:r>
          </m:e>
          <m:sub>
            <m:r>
              <m:t>a</m:t>
            </m:r>
          </m:sub>
        </m:sSub>
      </m:oMath>
      <w:r>
        <w:t xml:space="preserve"> </w:t>
      </w:r>
      <w:r>
        <w:t xml:space="preserve">is not identified with the complete thermodynamic baseline energy</w:t>
      </w:r>
      <w:r>
        <w:t xml:space="preserve"> </w:t>
      </w:r>
      <m:oMath>
        <m:sSub>
          <m:e>
            <m:r>
              <m:t>h</m:t>
            </m:r>
          </m:e>
          <m:sub>
            <m:r>
              <m:t>a</m:t>
            </m:r>
          </m:sub>
        </m:sSub>
      </m:oMath>
      <w:r>
        <w:t xml:space="preserve">. A physical theory with universal energy–gravity coupling would have to include the energy and stress of the preparation and bath, or supply a constitutive relation between these quantities. The counterexample is a failure of inference from the inherited snapshot under a specified new preparation family, not two different equilibria of one unchanged Hamiltonian.</w:t>
      </w:r>
    </w:p>
    <w:p>
      <w:pPr>
        <w:pStyle w:val="BodyText"/>
        <w:widowControl/>
      </w:pPr>
      <w:r>
        <w:t xml:space="preserve">Two preparation contracts must be distinguished. In the joint contract (2), the field can reweight addresses as well as carrier labels. It preserves the reference</w:t>
      </w:r>
      <w:r>
        <w:t xml:space="preserve"> </w:t>
      </w:r>
      <m:oMath>
        <m:r>
          <m:t>w</m:t>
        </m:r>
      </m:oMath>
      <w:r>
        <w:t xml:space="preserve"> </w:t>
      </w:r>
      <w:r>
        <w:t xml:space="preserve">at</w:t>
      </w:r>
      <w:r>
        <w:t xml:space="preserve"> </w:t>
      </w:r>
      <m:oMath>
        <m:r>
          <m:t>x</m:t>
        </m:r>
        <m:r>
          <m:rPr>
            <m:sty m:val="p"/>
          </m:rPr>
          <m:t>=</m:t>
        </m:r>
        <m:r>
          <m:t>0</m:t>
        </m:r>
      </m:oMath>
      <w:r>
        <w:t xml:space="preserve">, not at general</w:t>
      </w:r>
      <w:r>
        <w:t xml:space="preserve"> </w:t>
      </w:r>
      <m:oMath>
        <m:r>
          <m:t>x</m:t>
        </m:r>
      </m:oMath>
      <w:r>
        <w:t xml:space="preserve">. If addresses must remain clamped, the alternative is</w:t>
      </w:r>
    </w:p>
    <w:p>
      <w:pPr>
        <w:pStyle w:val="BodyText"/>
        <w:widowControl/>
      </w:pPr>
      <m:oMathPara>
        <m:oMathParaPr>
          <m:jc m:val="center"/>
        </m:oMathParaPr>
        <m:oMath>
          <m:sSub>
            <m:e>
              <m:r>
                <m:t>F</m:t>
              </m:r>
            </m:e>
            <m:sub>
              <m:r>
                <m:rPr>
                  <m:sty m:val="p"/>
                </m:rPr>
                <m:t>c</m:t>
              </m:r>
              <m:r>
                <m:rPr>
                  <m:sty m:val="p"/>
                </m:rPr>
                <m:t>l</m:t>
              </m:r>
            </m:sub>
          </m:sSub>
          <m:d>
            <m:dPr>
              <m:begChr m:val="("/>
              <m:endChr m:val=")"/>
              <m:sepChr m:val=""/>
              <m:grow/>
            </m:dPr>
            <m:e>
              <m:r>
                <m:t>x</m:t>
              </m:r>
            </m:e>
          </m:d>
          <m:r>
            <m:rPr>
              <m:sty m:val="p"/>
            </m:rPr>
            <m:t>=</m:t>
          </m:r>
          <m:r>
            <m:rPr>
              <m:sty m:val="p"/>
            </m:rPr>
            <m:t>−</m:t>
          </m:r>
          <m:sSup>
            <m:e>
              <m:r>
                <m:t>β</m:t>
              </m:r>
            </m:e>
            <m:sup>
              <m:r>
                <m:rPr>
                  <m:sty m:val="p"/>
                </m:rPr>
                <m:t>−</m:t>
              </m:r>
              <m:r>
                <m:t>1</m:t>
              </m:r>
            </m:sup>
          </m:sSup>
          <m:nary>
            <m:naryPr>
              <m:chr m:val="∑"/>
              <m:limLoc m:val="undOvr"/>
              <m:subHide m:val="off"/>
              <m:supHide m:val="on"/>
            </m:naryPr>
            <m:sub>
              <m:r>
                <m:t>n</m:t>
              </m:r>
            </m:sub>
            <m:sup>
              <m:r>
                <m:t>​</m:t>
              </m:r>
            </m:sup>
            <m:e>
              <m:sSub>
                <m:e>
                  <m:r>
                    <m:t>w</m:t>
                  </m:r>
                </m:e>
                <m:sub>
                  <m:r>
                    <m:t>n</m:t>
                  </m:r>
                </m:sub>
              </m:sSub>
            </m:e>
          </m:nary>
          <m:r>
            <m:rPr>
              <m:sty m:val="p"/>
            </m:rPr>
            <m:t>log</m:t>
          </m:r>
          <m:d>
            <m:dPr>
              <m:begChr m:val="("/>
              <m:endChr m:val=")"/>
              <m:sepChr m:val=""/>
              <m:grow/>
            </m:dPr>
            <m:e>
              <m:nary>
                <m:naryPr>
                  <m:chr m:val="∑"/>
                  <m:limLoc m:val="undOvr"/>
                  <m:subHide m:val="off"/>
                  <m:supHide m:val="on"/>
                </m:naryPr>
                <m:sub>
                  <m:r>
                    <m:t>k</m:t>
                  </m:r>
                </m:sub>
                <m:sup>
                  <m:r>
                    <m:t>​</m:t>
                  </m:r>
                </m:sup>
                <m:e>
                  <m:sSub>
                    <m:e>
                      <m:r>
                        <m:t>r</m:t>
                      </m:r>
                    </m:e>
                    <m:sub>
                      <m:r>
                        <m:t>n</m:t>
                      </m:r>
                      <m:r>
                        <m:t>k</m:t>
                      </m:r>
                    </m:sub>
                  </m:sSub>
                </m:e>
              </m:nary>
              <m:sSup>
                <m:e>
                  <m:r>
                    <m:t>e</m:t>
                  </m:r>
                </m:e>
                <m:sup>
                  <m:r>
                    <m:rPr>
                      <m:sty m:val="p"/>
                    </m:rPr>
                    <m:t>−</m:t>
                  </m:r>
                  <m:r>
                    <m:t>β</m:t>
                  </m:r>
                  <m:r>
                    <m:t>ϵ</m:t>
                  </m:r>
                  <m:sSubSup>
                    <m:e>
                      <m:r>
                        <m:t>b</m:t>
                      </m:r>
                    </m:e>
                    <m:sub>
                      <m:r>
                        <m:t>n</m:t>
                      </m:r>
                      <m:r>
                        <m:t>k</m:t>
                      </m:r>
                    </m:sub>
                    <m:sup>
                      <m:r>
                        <m:t>T</m:t>
                      </m:r>
                    </m:sup>
                  </m:sSubSup>
                  <m:r>
                    <m:t>x</m:t>
                  </m:r>
                </m:sup>
              </m:sSup>
            </m:e>
          </m:d>
          <m:r>
            <m:rPr>
              <m:sty m:val="p"/>
            </m:rPr>
            <m:t>.</m:t>
          </m:r>
          <m:r>
            <m:t>  </m:t>
          </m:r>
          <m:d>
            <m:dPr>
              <m:begChr m:val="("/>
              <m:endChr m:val=")"/>
              <m:sepChr m:val=""/>
              <m:grow/>
            </m:dPr>
            <m:e>
              <m:r>
                <m:t>3</m:t>
              </m:r>
            </m:e>
          </m:d>
        </m:oMath>
      </m:oMathPara>
    </w:p>
    <w:p>
      <w:pPr>
        <w:pStyle w:val="FirstParagraph"/>
        <w:widowControl/>
      </w:pPr>
      <w:r>
        <w:t xml:space="preserve">Here each address equilibrates only its carrier probabilities. These alternatives are not interchangeable interpretations of one calculation. They define two physically different constraints and generally different susceptibilities.</w:t>
      </w:r>
    </w:p>
    <w:p>
      <w:pPr>
        <w:pStyle w:val="BodyText"/>
        <w:keepNext/>
        <w:widowControl/>
      </w:pPr>
      <w:r>
        <w:t xml:space="preserve">Table 1. Two equilibration contracts for the same reference preparation. A field is applied, the allowed probabilities relax, and the corresponding covariance determines the stiffness correction. The covariance entries below are evaluated at</w:t>
      </w:r>
      <w:r>
        <w:t xml:space="preserve"> </w:t>
      </w:r>
      <m:oMath>
        <m:r>
          <m:t>x</m:t>
        </m:r>
        <m:r>
          <m:rPr>
            <m:sty m:val="p"/>
          </m:rPr>
          <m:t>=</m:t>
        </m:r>
        <m:r>
          <m:t>0</m:t>
        </m:r>
      </m:oMath>
      <w:r>
        <w:t xml:space="preserve">;</w:t>
      </w:r>
      <w:r>
        <w:t xml:space="preserve"> </w:t>
      </w:r>
      <m:oMath>
        <m:sSub>
          <m:e>
            <m:r>
              <m:t>μ</m:t>
            </m:r>
          </m:e>
          <m:sub>
            <m:r>
              <m:t>n</m:t>
            </m:r>
          </m:sub>
        </m:sSub>
        <m:r>
          <m:rPr>
            <m:sty m:val="p"/>
          </m:rPr>
          <m:t>=</m:t>
        </m:r>
        <m:nary>
          <m:naryPr>
            <m:chr m:val="∑"/>
            <m:limLoc m:val="undOvr"/>
            <m:subHide m:val="off"/>
            <m:supHide m:val="on"/>
          </m:naryPr>
          <m:sub>
            <m:r>
              <m:t>k</m:t>
            </m:r>
          </m:sub>
          <m:sup>
            <m:r>
              <m:t>​</m:t>
            </m:r>
          </m:sup>
          <m:e>
            <m:sSub>
              <m:e>
                <m:r>
                  <m:t>r</m:t>
                </m:r>
              </m:e>
              <m:sub>
                <m:r>
                  <m:t>n</m:t>
                </m:r>
                <m:r>
                  <m:t>k</m:t>
                </m:r>
              </m:sub>
            </m:sSub>
          </m:e>
        </m:nary>
        <m:sSub>
          <m:e>
            <m:r>
              <m:t>b</m:t>
            </m:r>
          </m:e>
          <m:sub>
            <m:r>
              <m:t>n</m:t>
            </m:r>
            <m:r>
              <m:t>k</m:t>
            </m:r>
          </m:sub>
        </m:sSub>
      </m:oMath>
      <w:r>
        <w:t xml:space="preserve"> </w:t>
      </w:r>
      <w:r>
        <w:t xml:space="preserve">and</w:t>
      </w:r>
      <w:r>
        <w:t xml:space="preserve"> </w:t>
      </w:r>
      <m:oMath>
        <m:sSub>
          <m:e>
            <m:r>
              <m:t>C</m:t>
            </m:r>
          </m:e>
          <m:sub>
            <m:r>
              <m:t>n</m:t>
            </m:r>
          </m:sub>
        </m:sSub>
        <m:r>
          <m:rPr>
            <m:sty m:val="p"/>
          </m:rPr>
          <m:t>=</m:t>
        </m:r>
        <m:sSub>
          <m:e>
            <m:r>
              <m:rPr>
                <m:sty m:val="p"/>
              </m:rPr>
              <m:t>Cov</m:t>
            </m:r>
          </m:e>
          <m:sub>
            <m:sSub>
              <m:e>
                <m:r>
                  <m:t>r</m:t>
                </m:r>
              </m:e>
              <m:sub>
                <m:r>
                  <m:t>n</m:t>
                </m:r>
              </m:sub>
            </m:sSub>
          </m:sub>
        </m:sSub>
        <m:d>
          <m:dPr>
            <m:begChr m:val="("/>
            <m:endChr m:val=")"/>
            <m:sepChr m:val=""/>
            <m:grow/>
          </m:dPr>
          <m:e>
            <m:sSub>
              <m:e>
                <m:r>
                  <m:t>b</m:t>
                </m:r>
              </m:e>
              <m:sub>
                <m:r>
                  <m:t>n</m:t>
                </m:r>
              </m:sub>
            </m:sSub>
          </m:e>
        </m:d>
      </m:oMath>
      <w:r>
        <w:t xml:space="preserve">.</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trPr>
        <w:tc>
          <w:tcPr>
            <w:tcBorders>
              <w:top w:val="single" w:sz="4" w:color="D9D9D9"/>
              <w:bottom w:val="single" w:sz="4" w:color="D9D9D9"/>
              <w:left w:val="single" w:sz="4" w:color="D9D9D9"/>
              <w:right w:val="single" w:sz="4" w:color="D9D9D9"/>
            </w:tcBorders>
            <w:shd w:fill="E7EDF2"/>
          </w:tcPr>
          <w:p>
            <w:pPr>
              <w:pStyle w:val="Compact"/>
              <w:spacing w:after="80" w:before="80"/>
              <w:jc w:val="left"/>
            </w:pPr>
            <w:r>
              <w:rPr>
                <w:sz w:val="20"/>
              </w:rPr>
              <w:t xml:space="preserve">Feature</w:t>
            </w:r>
          </w:p>
        </w:tc>
        <w:tc>
          <w:tcPr>
            <w:tcBorders>
              <w:top w:val="single" w:sz="4" w:color="D9D9D9"/>
              <w:bottom w:val="single" w:sz="4" w:color="D9D9D9"/>
              <w:left w:val="single" w:sz="4" w:color="D9D9D9"/>
              <w:right w:val="single" w:sz="4" w:color="D9D9D9"/>
            </w:tcBorders>
            <w:shd w:fill="E7EDF2"/>
          </w:tcPr>
          <w:p>
            <w:pPr>
              <w:pStyle w:val="Compact"/>
              <w:spacing w:after="80" w:before="80"/>
              <w:jc w:val="left"/>
            </w:pPr>
            <w:r>
              <w:rPr>
                <w:sz w:val="20"/>
              </w:rPr>
              <w:t xml:space="preserve">Joint relaxation</w:t>
            </w:r>
          </w:p>
        </w:tc>
        <w:tc>
          <w:tcPr>
            <w:tcBorders>
              <w:top w:val="single" w:sz="4" w:color="D9D9D9"/>
              <w:bottom w:val="single" w:sz="4" w:color="D9D9D9"/>
              <w:left w:val="single" w:sz="4" w:color="D9D9D9"/>
              <w:right w:val="single" w:sz="4" w:color="D9D9D9"/>
            </w:tcBorders>
            <w:shd w:fill="E7EDF2"/>
          </w:tcPr>
          <w:p>
            <w:pPr>
              <w:pStyle w:val="Compact"/>
              <w:spacing w:after="80" w:before="80"/>
              <w:jc w:val="left"/>
            </w:pPr>
            <w:r>
              <w:rPr>
                <w:sz w:val="20"/>
              </w:rPr>
              <w:t xml:space="preserve">Clamped-address relaxation</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What may change</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Address weights and conditional carrier probabilities</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Conditional carrier probabilities only</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What stays fixed</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Total probability and prescribed load alphabet</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Each address weight</w:t>
            </w:r>
            <w:r>
              <w:rPr>
                <w:sz w:val="20"/>
              </w:rPr>
              <w:t xml:space="preserve"> </w:t>
            </w:r>
            <m:oMath>
              <m:sSub>
                <m:e>
                  <m:r>
                    <m:t>w</m:t>
                  </m:r>
                </m:e>
                <m:sub>
                  <m:r>
                    <m:t>n</m:t>
                  </m:r>
                </m:sub>
              </m:sSub>
            </m:oMath>
            <w:r>
              <w:rPr>
                <w:sz w:val="20"/>
              </w:rPr>
              <w:t xml:space="preserve"> </w:t>
            </w:r>
            <w:r>
              <w:rPr>
                <w:sz w:val="20"/>
              </w:rPr>
              <w:t xml:space="preserve">and prescribed load alphabet</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Equilibration rule</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One normalized tilt of</w:t>
            </w:r>
            <w:r>
              <w:rPr>
                <w:sz w:val="20"/>
              </w:rPr>
              <w:t xml:space="preserve"> </w:t>
            </w:r>
            <m:oMath>
              <m:sSub>
                <m:e>
                  <m:r>
                    <m:t>p</m:t>
                  </m:r>
                </m:e>
                <m:sub>
                  <m:r>
                    <m:t>n</m:t>
                  </m:r>
                  <m:r>
                    <m:t>k</m:t>
                  </m:r>
                </m:sub>
              </m:sSub>
            </m:oMath>
            <w:r>
              <w:rPr>
                <w:sz w:val="20"/>
              </w:rPr>
              <w:t xml:space="preserve">, Eq. (2)</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Separate normalized tilt within each address, Eq. (3)</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Response covariance</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Global covariance</w:t>
            </w:r>
            <w:r>
              <w:rPr>
                <w:sz w:val="20"/>
              </w:rPr>
              <w:t xml:space="preserve"> </w:t>
            </w:r>
            <m:oMath>
              <m:sSub>
                <m:e>
                  <m:r>
                    <m:t>C</m:t>
                  </m:r>
                </m:e>
                <m:sub>
                  <m:r>
                    <m:t>p</m:t>
                  </m:r>
                </m:sub>
              </m:sSub>
            </m:oMath>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Weighted conditional covariance</w:t>
            </w:r>
            <w:r>
              <w:rPr>
                <w:sz w:val="20"/>
              </w:rPr>
              <w:t xml:space="preserve"> </w:t>
            </w:r>
            <m:oMath>
              <m:nary>
                <m:naryPr>
                  <m:chr m:val="∑"/>
                  <m:limLoc m:val="undOvr"/>
                  <m:subHide m:val="off"/>
                  <m:supHide m:val="on"/>
                </m:naryPr>
                <m:sub>
                  <m:r>
                    <m:t>n</m:t>
                  </m:r>
                </m:sub>
                <m:sup>
                  <m:r>
                    <m:t>​</m:t>
                  </m:r>
                </m:sup>
                <m:e>
                  <m:sSub>
                    <m:e>
                      <m:r>
                        <m:t>w</m:t>
                      </m:r>
                    </m:e>
                    <m:sub>
                      <m:r>
                        <m:t>n</m:t>
                      </m:r>
                    </m:sub>
                  </m:sSub>
                </m:e>
              </m:nary>
              <m:sSub>
                <m:e>
                  <m:r>
                    <m:t>C</m:t>
                  </m:r>
                </m:e>
                <m:sub>
                  <m:r>
                    <m:t>n</m:t>
                  </m:r>
                </m:sub>
              </m:sSub>
            </m:oMath>
          </w:p>
        </w:tc>
      </w:tr>
      <w:tr>
        <w:trPr/>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Additional contribution at reference</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Covariance of the address means</w:t>
            </w:r>
            <w:r>
              <w:rPr>
                <w:sz w:val="20"/>
              </w:rPr>
              <w:t xml:space="preserve"> </w:t>
            </w:r>
            <m:oMath>
              <m:sSub>
                <m:e>
                  <m:r>
                    <m:t>μ</m:t>
                  </m:r>
                </m:e>
                <m:sub>
                  <m:r>
                    <m:t>n</m:t>
                  </m:r>
                </m:sub>
              </m:sSub>
            </m:oMath>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No redistribution of address means through changing weights</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Sufficient local data</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Global first and second load moments</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Conditional first and second moments, with</w:t>
            </w:r>
            <w:r>
              <w:rPr>
                <w:sz w:val="20"/>
              </w:rPr>
              <w:t xml:space="preserve"> </w:t>
            </w:r>
            <m:oMath>
              <m:sSub>
                <m:e>
                  <m:r>
                    <m:t>w</m:t>
                  </m:r>
                </m:e>
                <m:sub>
                  <m:r>
                    <m:t>n</m:t>
                  </m:r>
                </m:sub>
              </m:sSub>
            </m:oMath>
          </w:p>
        </w:tc>
      </w:tr>
      <w:tr>
        <w:trPr/>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Sufficient data for all fields</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Global load-class masses</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Conditional load-class masses at each address, with</w:t>
            </w:r>
            <w:r>
              <w:rPr>
                <w:sz w:val="20"/>
              </w:rPr>
              <w:t xml:space="preserve"> </w:t>
            </w:r>
            <m:oMath>
              <m:sSub>
                <m:e>
                  <m:r>
                    <m:t>w</m:t>
                  </m:r>
                </m:e>
                <m:sub>
                  <m:r>
                    <m:t>n</m:t>
                  </m:r>
                </m:sub>
              </m:sSub>
            </m:oMath>
          </w:p>
        </w:tc>
      </w:tr>
    </w:tbl>
    <w:p>
      <w:pPr>
        <w:pStyle w:val="BodyText"/>
        <w:widowControl/>
      </w:pPr>
      <w:r>
        <w:t xml:space="preserve">For an operating point</w:t>
      </w:r>
      <w:r>
        <w:t xml:space="preserve"> </w:t>
      </w:r>
      <m:oMath>
        <m:sSub>
          <m:e>
            <m:r>
              <m:t>x</m:t>
            </m:r>
          </m:e>
          <m:sub>
            <m:r>
              <m:rPr>
                <m:sty m:val="p"/>
              </m:rPr>
              <m:t>*</m:t>
            </m:r>
          </m:sub>
        </m:sSub>
      </m:oMath>
      <w:r>
        <w:t xml:space="preserve">, choose</w:t>
      </w:r>
      <w:r>
        <w:t xml:space="preserve"> </w:t>
      </w:r>
      <m:oMath>
        <m:r>
          <m:t>j</m:t>
        </m:r>
      </m:oMath>
      <w:r>
        <w:t xml:space="preserve"> </w:t>
      </w:r>
      <w:r>
        <w:t xml:space="preserve">so that</w:t>
      </w:r>
      <w:r>
        <w:t xml:space="preserve"> </w:t>
      </w:r>
      <m:oMath>
        <m:sSub>
          <m:e>
            <m:r>
              <m:t>K</m:t>
            </m:r>
          </m:e>
          <m:sub>
            <m:r>
              <m:t>0</m:t>
            </m:r>
          </m:sub>
        </m:sSub>
        <m:sSub>
          <m:e>
            <m:r>
              <m:t>x</m:t>
            </m:r>
          </m:e>
          <m:sub>
            <m:r>
              <m:rPr>
                <m:sty m:val="p"/>
              </m:rPr>
              <m:t>*</m:t>
            </m:r>
          </m:sub>
        </m:sSub>
        <m:r>
          <m:rPr>
            <m:sty m:val="p"/>
          </m:rPr>
          <m:t>+</m:t>
        </m:r>
        <m:r>
          <m:t>j</m:t>
        </m:r>
        <m:r>
          <m:rPr>
            <m:sty m:val="p"/>
          </m:rPr>
          <m:t>+</m:t>
        </m:r>
        <m:r>
          <m:rPr>
            <m:sty m:val="p"/>
          </m:rPr>
          <m:t>∇</m:t>
        </m:r>
        <m:sSub>
          <m:e>
            <m:r>
              <m:t>F</m:t>
            </m:r>
          </m:e>
          <m:sub>
            <m:r>
              <m:t>p</m:t>
            </m:r>
          </m:sub>
        </m:sSub>
        <m:d>
          <m:dPr>
            <m:begChr m:val="("/>
            <m:endChr m:val=")"/>
            <m:sepChr m:val=""/>
            <m:grow/>
          </m:dPr>
          <m:e>
            <m:sSub>
              <m:e>
                <m:r>
                  <m:t>x</m:t>
                </m:r>
              </m:e>
              <m:sub>
                <m:r>
                  <m:rPr>
                    <m:sty m:val="p"/>
                  </m:rPr>
                  <m:t>*</m:t>
                </m:r>
              </m:sub>
            </m:sSub>
          </m:e>
        </m:d>
        <m:r>
          <m:rPr>
            <m:sty m:val="p"/>
          </m:rPr>
          <m:t>=</m:t>
        </m:r>
        <m:r>
          <m:t>0</m:t>
        </m:r>
      </m:oMath>
      <w:r>
        <w:t xml:space="preserve">. All local response claims concern perturbations about such a stationary point. In the examples</w:t>
      </w:r>
      <w:r>
        <w:t xml:space="preserve"> </w:t>
      </w:r>
      <m:oMath>
        <m:sSub>
          <m:e>
            <m:r>
              <m:t>x</m:t>
            </m:r>
          </m:e>
          <m:sub>
            <m:r>
              <m:rPr>
                <m:sty m:val="p"/>
              </m:rPr>
              <m:t>*</m:t>
            </m:r>
          </m:sub>
        </m:sSub>
        <m:r>
          <m:rPr>
            <m:sty m:val="p"/>
          </m:rPr>
          <m:t>=</m:t>
        </m:r>
        <m:r>
          <m:t>0</m:t>
        </m:r>
      </m:oMath>
      <w:r>
        <w:t xml:space="preserve"> </w:t>
      </w:r>
      <w:r>
        <w:t xml:space="preserve">and</w:t>
      </w:r>
      <w:r>
        <w:t xml:space="preserve"> </w:t>
      </w:r>
      <m:oMath>
        <m:r>
          <m:t>j</m:t>
        </m:r>
        <m:r>
          <m:rPr>
            <m:sty m:val="p"/>
          </m:rPr>
          <m:t>=</m:t>
        </m:r>
        <m:r>
          <m:rPr>
            <m:sty m:val="p"/>
          </m:rPr>
          <m:t>−</m:t>
        </m:r>
        <m:r>
          <m:t>ϵ</m:t>
        </m:r>
        <m:r>
          <m:rPr>
            <m:sty m:val="p"/>
          </m:rPr>
          <m:t>⟨</m:t>
        </m:r>
        <m:r>
          <m:t>b</m:t>
        </m:r>
        <m:sSub>
          <m:e>
            <m:r>
              <m:rPr>
                <m:sty m:val="p"/>
              </m:rPr>
              <m:t>⟩</m:t>
            </m:r>
          </m:e>
          <m:sub>
            <m:r>
              <m:t>p</m:t>
            </m:r>
          </m:sub>
        </m:sSub>
      </m:oMath>
      <w:r>
        <w:t xml:space="preserve">. This bias is part of the preparation, not a fitted cosmological source. Stability refers to a local minimum of this specified static functional, not to causal or relativistic stability.</w:t>
      </w:r>
    </w:p>
    <w:p>
      <w:pPr>
        <w:pStyle w:val="BodyText"/>
        <w:keepNext/>
        <w:widowControl/>
      </w:pPr>
      <w:r>
        <w:t xml:space="preserve">Table 2 separates inherited and new inputs. We keep</w:t>
      </w:r>
      <w:r>
        <w:t xml:space="preserve"> </w:t>
      </w:r>
      <m:oMath>
        <m:r>
          <m:t>c</m:t>
        </m:r>
      </m:oMath>
      <w:r>
        <w:t xml:space="preserve"> </w:t>
      </w:r>
      <w:r>
        <w:t xml:space="preserve">and any baseline gravitational calibration fixed. No new measured constant is required to test the finite identities.</w:t>
      </w:r>
    </w:p>
    <w:p>
      <w:pPr>
        <w:pStyle w:val="BodyText"/>
        <w:keepNext/>
        <w:widowControl/>
      </w:pPr>
      <w:r>
        <w:t xml:space="preserve">Table 2. Input provenance and role in the response calculation.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trPr>
        <w:tc>
          <w:tcPr>
            <w:tcBorders>
              <w:top w:val="single" w:sz="4" w:color="D9D9D9"/>
              <w:bottom w:val="single" w:sz="4" w:color="D9D9D9"/>
              <w:left w:val="single" w:sz="4" w:color="D9D9D9"/>
              <w:right w:val="single" w:sz="4" w:color="D9D9D9"/>
            </w:tcBorders>
            <w:shd w:fill="E7EDF2"/>
          </w:tcPr>
          <w:p>
            <w:pPr>
              <w:pStyle w:val="Compact"/>
              <w:spacing w:after="80" w:before="80"/>
              <w:jc w:val="left"/>
            </w:pPr>
            <w:r>
              <w:rPr>
                <w:sz w:val="20"/>
              </w:rPr>
              <w:t xml:space="preserve">Quantity</w:t>
            </w:r>
          </w:p>
        </w:tc>
        <w:tc>
          <w:tcPr>
            <w:tcBorders>
              <w:top w:val="single" w:sz="4" w:color="D9D9D9"/>
              <w:bottom w:val="single" w:sz="4" w:color="D9D9D9"/>
              <w:left w:val="single" w:sz="4" w:color="D9D9D9"/>
              <w:right w:val="single" w:sz="4" w:color="D9D9D9"/>
            </w:tcBorders>
            <w:shd w:fill="E7EDF2"/>
          </w:tcPr>
          <w:p>
            <w:pPr>
              <w:pStyle w:val="Compact"/>
              <w:spacing w:after="80" w:before="80"/>
              <w:jc w:val="left"/>
            </w:pPr>
            <w:r>
              <w:rPr>
                <w:sz w:val="20"/>
              </w:rPr>
              <w:t xml:space="preserve">Status</w:t>
            </w:r>
          </w:p>
        </w:tc>
        <w:tc>
          <w:tcPr>
            <w:tcBorders>
              <w:top w:val="single" w:sz="4" w:color="D9D9D9"/>
              <w:bottom w:val="single" w:sz="4" w:color="D9D9D9"/>
              <w:left w:val="single" w:sz="4" w:color="D9D9D9"/>
              <w:right w:val="single" w:sz="4" w:color="D9D9D9"/>
            </w:tcBorders>
            <w:shd w:fill="E7EDF2"/>
          </w:tcPr>
          <w:p>
            <w:pPr>
              <w:pStyle w:val="Compact"/>
              <w:spacing w:after="80" w:before="80"/>
              <w:jc w:val="left"/>
            </w:pPr>
            <w:r>
              <w:rPr>
                <w:sz w:val="20"/>
              </w:rPr>
              <w:t xml:space="preserve">Use</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m:oMath>
              <m:sSub>
                <m:e>
                  <m:r>
                    <m:t>f</m:t>
                  </m:r>
                </m:e>
                <m:sub>
                  <m:r>
                    <m:t>D</m:t>
                  </m:r>
                </m:sub>
              </m:sSub>
              <m:d>
                <m:dPr>
                  <m:begChr m:val="("/>
                  <m:endChr m:val=")"/>
                  <m:sepChr m:val=""/>
                  <m:grow/>
                </m:dPr>
                <m:e>
                  <m:r>
                    <m:t>n</m:t>
                  </m:r>
                </m:e>
              </m:d>
            </m:oMath>
            <w:r>
              <w:rPr>
                <w:sz w:val="20"/>
              </w:rPr>
              <w:t xml:space="preserve"> </w:t>
            </w:r>
            <w:r>
              <w:rPr>
                <w:sz w:val="20"/>
              </w:rPr>
              <w:t xml:space="preserve">and</w:t>
            </w:r>
            <w:r>
              <w:rPr>
                <w:sz w:val="20"/>
              </w:rPr>
              <w:t xml:space="preserve"> </w:t>
            </w:r>
            <m:oMath>
              <m:r>
                <m:t>α</m:t>
              </m:r>
            </m:oMath>
            <w:r>
              <w:rPr>
                <w:sz w:val="20"/>
              </w:rPr>
              <w:t xml:space="preserve"> </w:t>
            </w:r>
            <w:r>
              <w:rPr>
                <w:sz w:val="20"/>
              </w:rPr>
              <w:t xml:space="preserve">from [1]</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Inherited</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Concrete snapshot-preserving witness</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Finite carrier subspace</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Explicit restriction</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Two commuting eigenmodes</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m:oMath>
              <m:sSub>
                <m:e>
                  <m:r>
                    <m:t>b</m:t>
                  </m:r>
                </m:e>
                <m:sub>
                  <m:r>
                    <m:t>a</m:t>
                  </m:r>
                </m:sub>
              </m:sSub>
            </m:oMath>
            <w:r>
              <w:rPr>
                <w:sz w:val="20"/>
              </w:rPr>
              <w:t xml:space="preserve">, spatial basis and</w:t>
            </w:r>
            <w:r>
              <w:rPr>
                <w:sz w:val="20"/>
              </w:rPr>
              <w:t xml:space="preserve"> </w:t>
            </w:r>
            <m:oMath>
              <m:sSub>
                <m:e>
                  <m:r>
                    <m:t>K</m:t>
                  </m:r>
                </m:e>
                <m:sub>
                  <m:r>
                    <m:t>0</m:t>
                  </m:r>
                </m:sub>
              </m:sSub>
            </m:oMath>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Constitutive choices</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Field coupling and baseline response</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m:oMath>
              <m:r>
                <m:t>β</m:t>
              </m:r>
            </m:oMath>
            <w:r>
              <w:rPr>
                <w:sz w:val="20"/>
              </w:rPr>
              <w:t xml:space="preserve">,</w:t>
            </w:r>
            <w:r>
              <w:rPr>
                <w:sz w:val="20"/>
              </w:rPr>
              <w:t xml:space="preserve"> </w:t>
            </w:r>
            <m:oMath>
              <m:r>
                <m:t>ϵ</m:t>
              </m:r>
            </m:oMath>
            <w:r>
              <w:rPr>
                <w:sz w:val="20"/>
              </w:rPr>
              <w:t xml:space="preserve"> </w:t>
            </w:r>
            <w:r>
              <w:rPr>
                <w:sz w:val="20"/>
              </w:rPr>
              <w:t xml:space="preserve">and preparation</w:t>
            </w:r>
            <w:r>
              <w:rPr>
                <w:sz w:val="20"/>
              </w:rPr>
              <w:t xml:space="preserve"> </w:t>
            </w:r>
            <m:oMath>
              <m:r>
                <m:t>p</m:t>
              </m:r>
            </m:oMath>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Declared scales and state</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Equilibrium susceptibility</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Joint or clamped addresses</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New preparation contract</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Which covariance enters</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Baseline</w:t>
            </w:r>
            <w:r>
              <w:rPr>
                <w:sz w:val="20"/>
              </w:rPr>
              <w:t xml:space="preserve"> </w:t>
            </w:r>
            <m:oMath>
              <m:sSub>
                <m:e>
                  <m:r>
                    <m:t>G</m:t>
                  </m:r>
                </m:e>
                <m:sub>
                  <m:r>
                    <m:t>0</m:t>
                  </m:r>
                </m:sub>
              </m:sSub>
            </m:oMath>
            <w:r>
              <w:rPr>
                <w:sz w:val="20"/>
              </w:rPr>
              <w:t xml:space="preserve"> </w:t>
            </w:r>
            <w:r>
              <w:rPr>
                <w:sz w:val="20"/>
              </w:rPr>
              <w:t xml:space="preserve">and length scale</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Dimensional calibration</w:t>
            </w:r>
          </w:p>
        </w:tc>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Optional weak-field interpretation</w:t>
            </w:r>
          </w:p>
        </w:tc>
      </w:tr>
    </w:tbl>
    <w:bookmarkEnd w:id="22"/>
    <w:bookmarkStart w:id="23" w:name="X81bf00df761768dd91ecafad57f90fc34e4d671"/>
    <w:p>
      <w:pPr>
        <w:pStyle w:val="Heading1"/>
        <w:widowControl/>
      </w:pPr>
      <w:r>
        <w:t xml:space="preserve">3 A snapshot-preserving WRRA counterexample</w:t>
      </w:r>
    </w:p>
    <w:p>
      <w:pPr>
        <w:pStyle w:val="FirstParagraph"/>
        <w:widowControl/>
      </w:pPr>
      <w:r>
        <w:rPr>
          <w:bCs/>
          <w:b/>
        </w:rPr>
        <w:t xml:space="preserve">Proposition 1.</w:t>
      </w:r>
      <w:r>
        <w:t xml:space="preserve"> </w:t>
      </w:r>
      <w:r>
        <w:t xml:space="preserve">The three operators in Eq. (1), even together with both marginals, do not in general determine either the joint or the clamped susceptibility of the load</w:t>
      </w:r>
      <w:r>
        <w:t xml:space="preserve"> </w:t>
      </w:r>
      <m:oMath>
        <m:r>
          <m:t>b</m:t>
        </m:r>
        <m:r>
          <m:rPr>
            <m:sty m:val="p"/>
          </m:rPr>
          <m:t>=</m:t>
        </m:r>
        <m:sSub>
          <m:e>
            <m:r>
              <m:t>f</m:t>
            </m:r>
          </m:e>
          <m:sub>
            <m:r>
              <m:t>D</m:t>
            </m:r>
          </m:sub>
        </m:sSub>
        <m:d>
          <m:dPr>
            <m:begChr m:val="("/>
            <m:endChr m:val=")"/>
            <m:sepChr m:val=""/>
            <m:grow/>
          </m:dPr>
          <m:e>
            <m:r>
              <m:t>n</m:t>
            </m:r>
          </m:e>
        </m:d>
        <m:sSub>
          <m:e>
            <m:r>
              <m:t>a</m:t>
            </m:r>
          </m:e>
          <m:sub>
            <m:r>
              <m:t>k</m:t>
            </m:r>
          </m:sub>
        </m:sSub>
      </m:oMath>
      <w:r>
        <w:t xml:space="preserve">.</w:t>
      </w:r>
    </w:p>
    <w:p>
      <w:pPr>
        <w:pStyle w:val="BodyText"/>
        <w:widowControl/>
      </w:pPr>
      <w:r>
        <w:rPr>
          <w:bCs/>
          <w:b/>
        </w:rPr>
        <w:t xml:space="preserve">Construction and proof.</w:t>
      </w:r>
      <w:r>
        <w:t xml:space="preserve"> </w:t>
      </w:r>
      <w:r>
        <w:t xml:space="preserve">Use the even-composite addresses</w:t>
      </w:r>
      <w:r>
        <w:t xml:space="preserve"> </w:t>
      </w:r>
      <m:oMath>
        <m:r>
          <m:t>n</m:t>
        </m:r>
        <m:r>
          <m:rPr>
            <m:sty m:val="p"/>
          </m:rPr>
          <m:t>=</m:t>
        </m:r>
        <m:d>
          <m:dPr>
            <m:begChr m:val="("/>
            <m:endChr m:val=")"/>
            <m:sepChr m:val=""/>
            <m:grow/>
          </m:dPr>
          <m:e>
            <m:r>
              <m:t>4</m:t>
            </m:r>
            <m:r>
              <m:rPr>
                <m:sty m:val="p"/>
              </m:rPr>
              <m:t>,</m:t>
            </m:r>
            <m:r>
              <m:t>6</m:t>
            </m:r>
            <m:r>
              <m:rPr>
                <m:sty m:val="p"/>
              </m:rPr>
              <m:t>,</m:t>
            </m:r>
            <m:r>
              <m:t>8</m:t>
            </m:r>
          </m:e>
        </m:d>
      </m:oMath>
      <w:r>
        <w:t xml:space="preserve"> </w:t>
      </w:r>
      <w:r>
        <w:t xml:space="preserve">and the inherited function</w:t>
      </w:r>
    </w:p>
    <w:p>
      <w:pPr>
        <w:pStyle w:val="BodyText"/>
        <w:widowControl/>
      </w:pPr>
      <m:oMathPara>
        <m:oMathParaPr>
          <m:jc m:val="center"/>
        </m:oMathParaPr>
        <m:oMath>
          <m:sSub>
            <m:e>
              <m:r>
                <m:t>f</m:t>
              </m:r>
            </m:e>
            <m:sub>
              <m:r>
                <m:t>i</m:t>
              </m:r>
            </m:sub>
          </m:sSub>
          <m:r>
            <m:rPr>
              <m:sty m:val="p"/>
            </m:rPr>
            <m:t>=</m:t>
          </m:r>
          <m:r>
            <m:t>1</m:t>
          </m:r>
          <m:r>
            <m:rPr>
              <m:sty m:val="p"/>
            </m:rPr>
            <m:t>+</m:t>
          </m:r>
          <m:f>
            <m:fPr>
              <m:type m:val="bar"/>
            </m:fPr>
            <m:num>
              <m:r>
                <m:rPr>
                  <m:sty m:val="p"/>
                </m:rPr>
                <m:t>log</m:t>
              </m:r>
              <m:sSub>
                <m:e>
                  <m:r>
                    <m:t>n</m:t>
                  </m:r>
                </m:e>
                <m:sub>
                  <m:r>
                    <m:t>i</m:t>
                  </m:r>
                </m:sub>
              </m:sSub>
            </m:num>
            <m:den>
              <m:r>
                <m:t>4</m:t>
              </m:r>
              <m:r>
                <m:rPr>
                  <m:sty m:val="p"/>
                </m:rPr>
                <m:t>log</m:t>
              </m:r>
              <m:r>
                <m:t>N</m:t>
              </m:r>
            </m:den>
          </m:f>
          <m:r>
            <m:rPr>
              <m:sty m:val="p"/>
            </m:rPr>
            <m:t>,</m:t>
          </m:r>
          <m:r>
            <m:t> </m:t>
          </m:r>
          <m:r>
            <m:t>N</m:t>
          </m:r>
          <m:r>
            <m:rPr>
              <m:sty m:val="p"/>
            </m:rPr>
            <m:t>=</m:t>
          </m:r>
          <m:r>
            <m:t>1</m:t>
          </m:r>
          <m:r>
            <m:rPr>
              <m:sty m:val="p"/>
            </m:rPr>
            <m:t>,</m:t>
          </m:r>
          <m:r>
            <m:t>015</m:t>
          </m:r>
          <m:r>
            <m:rPr>
              <m:sty m:val="p"/>
            </m:rPr>
            <m:t>,</m:t>
          </m:r>
          <m:r>
            <m:t>000</m:t>
          </m:r>
          <m:r>
            <m:rPr>
              <m:sty m:val="p"/>
            </m:rPr>
            <m:t>,</m:t>
          </m:r>
          <m:r>
            <m:t> </m:t>
          </m:r>
          <m:sSub>
            <m:e>
              <m:r>
                <m:t>w</m:t>
              </m:r>
            </m:e>
            <m:sub>
              <m:r>
                <m:t>i</m:t>
              </m:r>
            </m:sub>
          </m:sSub>
          <m:r>
            <m:rPr>
              <m:sty m:val="p"/>
            </m:rPr>
            <m:t>=</m:t>
          </m:r>
          <m:f>
            <m:fPr>
              <m:type m:val="bar"/>
            </m:fPr>
            <m:num>
              <m:sSubSup>
                <m:e>
                  <m:r>
                    <m:t>n</m:t>
                  </m:r>
                </m:e>
                <m:sub>
                  <m:r>
                    <m:t>i</m:t>
                  </m:r>
                </m:sub>
                <m:sup>
                  <m:r>
                    <m:rPr>
                      <m:sty m:val="p"/>
                    </m:rPr>
                    <m:t>−</m:t>
                  </m:r>
                  <m:r>
                    <m:t>α</m:t>
                  </m:r>
                </m:sup>
              </m:sSubSup>
            </m:num>
            <m:den>
              <m:nary>
                <m:naryPr>
                  <m:chr m:val="∑"/>
                  <m:limLoc m:val="undOvr"/>
                  <m:subHide m:val="off"/>
                  <m:supHide m:val="off"/>
                </m:naryPr>
                <m:sub>
                  <m:r>
                    <m:t>j</m:t>
                  </m:r>
                  <m:r>
                    <m:rPr>
                      <m:sty m:val="p"/>
                    </m:rPr>
                    <m:t>=</m:t>
                  </m:r>
                  <m:r>
                    <m:t>1</m:t>
                  </m:r>
                </m:sub>
                <m:sup>
                  <m:r>
                    <m:t>3</m:t>
                  </m:r>
                </m:sup>
                <m:e>
                  <m:sSubSup>
                    <m:e>
                      <m:r>
                        <m:t>n</m:t>
                      </m:r>
                    </m:e>
                    <m:sub>
                      <m:r>
                        <m:t>j</m:t>
                      </m:r>
                    </m:sub>
                    <m:sup>
                      <m:r>
                        <m:rPr>
                          <m:sty m:val="p"/>
                        </m:rPr>
                        <m:t>−</m:t>
                      </m:r>
                      <m:r>
                        <m:t>α</m:t>
                      </m:r>
                    </m:sup>
                  </m:sSubSup>
                </m:e>
              </m:nary>
            </m:den>
          </m:f>
          <m:r>
            <m:rPr>
              <m:sty m:val="p"/>
            </m:rPr>
            <m:t>,</m:t>
          </m:r>
          <m:r>
            <m:t> </m:t>
          </m:r>
          <m:r>
            <m:t>α</m:t>
          </m:r>
          <m:r>
            <m:rPr>
              <m:sty m:val="p"/>
            </m:rPr>
            <m:t>=</m:t>
          </m:r>
          <m:r>
            <m:t>1.8996877935161325</m:t>
          </m:r>
          <m:r>
            <m:rPr>
              <m:sty m:val="p"/>
            </m:rPr>
            <m:t>.</m:t>
          </m:r>
          <m:r>
            <m:t>  </m:t>
          </m:r>
          <m:d>
            <m:dPr>
              <m:begChr m:val="("/>
              <m:endChr m:val=")"/>
              <m:sepChr m:val=""/>
              <m:grow/>
            </m:dPr>
            <m:e>
              <m:r>
                <m:t>4</m:t>
              </m:r>
            </m:e>
          </m:d>
        </m:oMath>
      </m:oMathPara>
    </w:p>
    <w:p>
      <w:pPr>
        <w:pStyle w:val="FirstParagraph"/>
        <w:widowControl/>
      </w:pPr>
      <w:r>
        <w:t xml:space="preserve">The normalization in Eq. (4) conditions the source on these three witnesses; it is not a new calibration of the full address shares. On even composites,</w:t>
      </w:r>
      <w:r>
        <w:t xml:space="preserve"> </w:t>
      </w:r>
      <m:oMath>
        <m:sSub>
          <m:e>
            <m:r>
              <m:t>f</m:t>
            </m:r>
          </m:e>
          <m:sub>
            <m:r>
              <m:t>P</m:t>
            </m:r>
          </m:sub>
        </m:sSub>
        <m:r>
          <m:rPr>
            <m:sty m:val="p"/>
          </m:rPr>
          <m:t>=</m:t>
        </m:r>
        <m:sSub>
          <m:e>
            <m:r>
              <m:t>f</m:t>
            </m:r>
          </m:e>
          <m:sub>
            <m:r>
              <m:t>R</m:t>
            </m:r>
          </m:sub>
        </m:sSub>
        <m:r>
          <m:rPr>
            <m:sty m:val="p"/>
          </m:rPr>
          <m:t>=</m:t>
        </m:r>
        <m:r>
          <m:t>0</m:t>
        </m:r>
      </m:oMath>
      <w:r>
        <w:t xml:space="preserve">. At</w:t>
      </w:r>
      <w:r>
        <w:t xml:space="preserve"> </w:t>
      </w:r>
      <m:oMath>
        <m:r>
          <m:t>ε</m:t>
        </m:r>
        <m:r>
          <m:rPr>
            <m:sty m:val="p"/>
          </m:rPr>
          <m:t>=</m:t>
        </m:r>
        <m:r>
          <m:t>0</m:t>
        </m:r>
      </m:oMath>
      <w:r>
        <w:t xml:space="preserve"> </w:t>
      </w:r>
      <w:r>
        <w:t xml:space="preserve">in the carrier of [1], two Fourier modes of the 128-site cycle have</w:t>
      </w:r>
      <w:r>
        <w:t xml:space="preserve"> </w:t>
      </w:r>
      <m:oMath>
        <m:sSub>
          <m:e>
            <m:r>
              <m:t>A</m:t>
            </m:r>
          </m:e>
          <m:sub>
            <m:r>
              <m:t>D</m:t>
            </m:r>
          </m:sub>
        </m:sSub>
      </m:oMath>
      <w:r>
        <w:t xml:space="preserve"> </w:t>
      </w:r>
      <w:r>
        <w:t xml:space="preserve">eigenvalues</w:t>
      </w:r>
      <w:r>
        <w:t xml:space="preserve"> </w:t>
      </w:r>
      <m:oMath>
        <m:sSub>
          <m:e>
            <m:r>
              <m:t>a</m:t>
            </m:r>
          </m:e>
          <m:sub>
            <m:r>
              <m:t>0</m:t>
            </m:r>
          </m:sub>
        </m:sSub>
        <m:r>
          <m:rPr>
            <m:sty m:val="p"/>
          </m:rPr>
          <m:t>=</m:t>
        </m:r>
        <m:r>
          <m:t>0</m:t>
        </m:r>
      </m:oMath>
      <w:r>
        <w:t xml:space="preserve"> </w:t>
      </w:r>
      <w:r>
        <w:t xml:space="preserve">and</w:t>
      </w:r>
      <w:r>
        <w:t xml:space="preserve"> </w:t>
      </w:r>
      <m:oMath>
        <m:sSub>
          <m:e>
            <m:r>
              <m:t>a</m:t>
            </m:r>
          </m:e>
          <m:sub>
            <m:r>
              <m:t>1</m:t>
            </m:r>
          </m:sub>
        </m:sSub>
        <m:r>
          <m:rPr>
            <m:sty m:val="p"/>
          </m:rPr>
          <m:t>=</m:t>
        </m:r>
        <m:r>
          <m:t>2</m:t>
        </m:r>
      </m:oMath>
      <w:r>
        <w:t xml:space="preserve">. Restrict to this two-dimensional invariant subspace. All displayed probabilities are strictly positive on it; unused carrier modes are absent from this preparation, not additional zero-temperature populations.</w:t>
      </w:r>
    </w:p>
    <w:p>
      <w:pPr>
        <w:pStyle w:val="BodyText"/>
        <w:widowControl/>
      </w:pPr>
      <w:r>
        <w:t xml:space="preserve">Set</w:t>
      </w:r>
      <w:r>
        <w:t xml:space="preserve"> </w:t>
      </w:r>
      <m:oMath>
        <m:r>
          <m:t>t</m:t>
        </m:r>
        <m:r>
          <m:rPr>
            <m:sty m:val="p"/>
          </m:rPr>
          <m:t>=</m:t>
        </m:r>
        <m:d>
          <m:dPr>
            <m:begChr m:val="("/>
            <m:endChr m:val=")"/>
            <m:sepChr m:val=""/>
            <m:grow/>
          </m:dPr>
          <m:e>
            <m:sSub>
              <m:e>
                <m:r>
                  <m:t>f</m:t>
                </m:r>
              </m:e>
              <m:sub>
                <m:r>
                  <m:t>2</m:t>
                </m:r>
              </m:sub>
            </m:sSub>
            <m:r>
              <m:rPr>
                <m:sty m:val="p"/>
              </m:rPr>
              <m:t>−</m:t>
            </m:r>
            <m:sSub>
              <m:e>
                <m:r>
                  <m:t>f</m:t>
                </m:r>
              </m:e>
              <m:sub>
                <m:r>
                  <m:t>3</m:t>
                </m:r>
              </m:sub>
            </m:sSub>
            <m:r>
              <m:rPr>
                <m:sty m:val="p"/>
              </m:rPr>
              <m:t>,</m:t>
            </m:r>
            <m:sSub>
              <m:e>
                <m:r>
                  <m:t>f</m:t>
                </m:r>
              </m:e>
              <m:sub>
                <m:r>
                  <m:t>3</m:t>
                </m:r>
              </m:sub>
            </m:sSub>
            <m:r>
              <m:rPr>
                <m:sty m:val="p"/>
              </m:rPr>
              <m:t>−</m:t>
            </m:r>
            <m:sSub>
              <m:e>
                <m:r>
                  <m:t>f</m:t>
                </m:r>
              </m:e>
              <m:sub>
                <m:r>
                  <m:t>1</m:t>
                </m:r>
              </m:sub>
            </m:sSub>
            <m:r>
              <m:rPr>
                <m:sty m:val="p"/>
              </m:rPr>
              <m:t>,</m:t>
            </m:r>
            <m:sSub>
              <m:e>
                <m:r>
                  <m:t>f</m:t>
                </m:r>
              </m:e>
              <m:sub>
                <m:r>
                  <m:t>1</m:t>
                </m:r>
              </m:sub>
            </m:sSub>
            <m:r>
              <m:rPr>
                <m:sty m:val="p"/>
              </m:rPr>
              <m:t>−</m:t>
            </m:r>
            <m:sSub>
              <m:e>
                <m:r>
                  <m:t>f</m:t>
                </m:r>
              </m:e>
              <m:sub>
                <m:r>
                  <m:t>2</m:t>
                </m:r>
              </m:sub>
            </m:sSub>
          </m:e>
        </m:d>
      </m:oMath>
      <w:r>
        <w:t xml:space="preserve"> </w:t>
      </w:r>
      <w:r>
        <w:t xml:space="preserve">and</w:t>
      </w:r>
      <w:r>
        <w:t xml:space="preserve"> </w:t>
      </w:r>
      <m:oMath>
        <m:sSub>
          <m:e>
            <m:r>
              <m:t>δ</m:t>
            </m:r>
          </m:e>
          <m:sub>
            <m:r>
              <m:t>i</m:t>
            </m:r>
          </m:sub>
        </m:sSub>
        <m:r>
          <m:rPr>
            <m:sty m:val="p"/>
          </m:rPr>
          <m:t>=</m:t>
        </m:r>
        <m:sSub>
          <m:e>
            <m:r>
              <m:t>c</m:t>
            </m:r>
          </m:e>
          <m:sub>
            <m:r>
              <m:t>0</m:t>
            </m:r>
          </m:sub>
        </m:sSub>
        <m:sSub>
          <m:e>
            <m:r>
              <m:t>t</m:t>
            </m:r>
          </m:e>
          <m:sub>
            <m:r>
              <m:t>i</m:t>
            </m:r>
          </m:sub>
        </m:sSub>
        <m:r>
          <m:rPr>
            <m:sty m:val="p"/>
          </m:rPr>
          <m:t>/</m:t>
        </m:r>
        <m:sSub>
          <m:e>
            <m:r>
              <m:t>w</m:t>
            </m:r>
          </m:e>
          <m:sub>
            <m:r>
              <m:t>i</m:t>
            </m:r>
          </m:sub>
        </m:sSub>
      </m:oMath>
      <w:r>
        <w:t xml:space="preserve">, with</w:t>
      </w:r>
      <w:r>
        <w:t xml:space="preserve"> </w:t>
      </w:r>
      <m:oMath>
        <m:sSub>
          <m:e>
            <m:r>
              <m:t>c</m:t>
            </m:r>
          </m:e>
          <m:sub>
            <m:r>
              <m:t>0</m:t>
            </m:r>
          </m:sub>
        </m:sSub>
      </m:oMath>
      <w:r>
        <w:t xml:space="preserve"> </w:t>
      </w:r>
      <w:r>
        <w:t xml:space="preserve">chosen so that</w:t>
      </w:r>
      <w:r>
        <w:t xml:space="preserve"> </w:t>
      </w:r>
      <m:oMath>
        <m:sSub>
          <m:e>
            <m:r>
              <m:rPr>
                <m:sty m:val="p"/>
              </m:rPr>
              <m:t>max</m:t>
            </m:r>
          </m:e>
          <m:sub>
            <m:r>
              <m:t>i</m:t>
            </m:r>
          </m:sub>
        </m:sSub>
        <m:d>
          <m:dPr>
            <m:begChr m:val="|"/>
            <m:endChr m:val="|"/>
            <m:sepChr m:val=""/>
            <m:grow/>
          </m:dPr>
          <m:e>
            <m:sSub>
              <m:e>
                <m:r>
                  <m:t>δ</m:t>
                </m:r>
              </m:e>
              <m:sub>
                <m:r>
                  <m:t>i</m:t>
                </m:r>
              </m:sub>
            </m:sSub>
          </m:e>
        </m:d>
        <m:r>
          <m:rPr>
            <m:sty m:val="p"/>
          </m:rPr>
          <m:t>=</m:t>
        </m:r>
        <m:r>
          <m:t>0.2</m:t>
        </m:r>
      </m:oMath>
      <w:r>
        <w:t xml:space="preserve">. Thus</w:t>
      </w:r>
      <w:r>
        <w:t xml:space="preserve"> </w:t>
      </w:r>
      <m:oMath>
        <m:nary>
          <m:naryPr>
            <m:chr m:val="∑"/>
            <m:limLoc m:val="undOvr"/>
            <m:subHide m:val="off"/>
            <m:supHide m:val="on"/>
          </m:naryPr>
          <m:sub>
            <m:r>
              <m:t>i</m:t>
            </m:r>
          </m:sub>
          <m:sup>
            <m:r>
              <m:t>​</m:t>
            </m:r>
          </m:sup>
          <m:e>
            <m:sSub>
              <m:e>
                <m:r>
                  <m:t>w</m:t>
                </m:r>
              </m:e>
              <m:sub>
                <m:r>
                  <m:t>i</m:t>
                </m:r>
              </m:sub>
            </m:sSub>
          </m:e>
        </m:nary>
        <m:sSub>
          <m:e>
            <m:r>
              <m:t>δ</m:t>
            </m:r>
          </m:e>
          <m:sub>
            <m:r>
              <m:t>i</m:t>
            </m:r>
          </m:sub>
        </m:sSub>
        <m:r>
          <m:rPr>
            <m:sty m:val="p"/>
          </m:rPr>
          <m:t>=</m:t>
        </m:r>
        <m:nary>
          <m:naryPr>
            <m:chr m:val="∑"/>
            <m:limLoc m:val="undOvr"/>
            <m:subHide m:val="off"/>
            <m:supHide m:val="on"/>
          </m:naryPr>
          <m:sub>
            <m:r>
              <m:t>i</m:t>
            </m:r>
          </m:sub>
          <m:sup>
            <m:r>
              <m:t>​</m:t>
            </m:r>
          </m:sup>
          <m:e>
            <m:sSub>
              <m:e>
                <m:r>
                  <m:t>w</m:t>
                </m:r>
              </m:e>
              <m:sub>
                <m:r>
                  <m:t>i</m:t>
                </m:r>
              </m:sub>
            </m:sSub>
          </m:e>
        </m:nary>
        <m:sSub>
          <m:e>
            <m:r>
              <m:t>f</m:t>
            </m:r>
          </m:e>
          <m:sub>
            <m:r>
              <m:t>i</m:t>
            </m:r>
          </m:sub>
        </m:sSub>
        <m:sSub>
          <m:e>
            <m:r>
              <m:t>δ</m:t>
            </m:r>
          </m:e>
          <m:sub>
            <m:r>
              <m:t>i</m:t>
            </m:r>
          </m:sub>
        </m:sSub>
        <m:r>
          <m:rPr>
            <m:sty m:val="p"/>
          </m:rPr>
          <m:t>=</m:t>
        </m:r>
        <m:r>
          <m:t>0</m:t>
        </m:r>
      </m:oMath>
      <w:r>
        <w:t xml:space="preserve">. Take</w:t>
      </w:r>
      <w:r>
        <w:t xml:space="preserve"> </w:t>
      </w:r>
      <m:oMath>
        <m:sSub>
          <m:e>
            <m:r>
              <m:t>z</m:t>
            </m:r>
          </m:e>
          <m:sub>
            <m:r>
              <m:t>0</m:t>
            </m:r>
          </m:sub>
        </m:sSub>
        <m:r>
          <m:rPr>
            <m:sty m:val="p"/>
          </m:rPr>
          <m:t>=</m:t>
        </m:r>
        <m:r>
          <m:t>0.1</m:t>
        </m:r>
      </m:oMath>
      <w:r>
        <w:t xml:space="preserve"> </w:t>
      </w:r>
      <w:r>
        <w:t xml:space="preserve">and</w:t>
      </w:r>
    </w:p>
    <w:p>
      <w:pPr>
        <w:pStyle w:val="BodyText"/>
        <w:widowControl/>
      </w:pPr>
      <m:oMathPara>
        <m:oMathParaPr>
          <m:jc m:val="center"/>
        </m:oMathParaPr>
        <m:oMath>
          <m:sSubSup>
            <m:e>
              <m:r>
                <m:t>ρ</m:t>
              </m:r>
            </m:e>
            <m:sub>
              <m:r>
                <m:t>i</m:t>
              </m:r>
            </m:sub>
            <m:sup>
              <m:r>
                <m:rPr>
                  <m:sty m:val="p"/>
                </m:rPr>
                <m:t>±</m:t>
              </m:r>
            </m:sup>
          </m:sSubSup>
          <m:r>
            <m:rPr>
              <m:sty m:val="p"/>
            </m:rPr>
            <m:t>=</m:t>
          </m:r>
          <m:r>
            <m:rPr>
              <m:sty m:val="p"/>
            </m:rPr>
            <m:t>diag</m:t>
          </m:r>
          <m:d>
            <m:dPr>
              <m:begChr m:val="("/>
              <m:endChr m:val=")"/>
              <m:sepChr m:val=""/>
              <m:grow/>
            </m:dPr>
            <m:e>
              <m:f>
                <m:fPr>
                  <m:type m:val="lin"/>
                </m:fPr>
                <m:num>
                  <m:r>
                    <m:t>1</m:t>
                  </m:r>
                </m:num>
                <m:den>
                  <m:r>
                    <m:t>2</m:t>
                  </m:r>
                </m:den>
              </m:f>
              <m:r>
                <m:rPr>
                  <m:sty m:val="p"/>
                </m:rPr>
                <m:t>+</m:t>
              </m:r>
              <m:sSub>
                <m:e>
                  <m:r>
                    <m:t>z</m:t>
                  </m:r>
                </m:e>
                <m:sub>
                  <m:r>
                    <m:t>0</m:t>
                  </m:r>
                </m:sub>
              </m:sSub>
              <m:r>
                <m:rPr>
                  <m:sty m:val="p"/>
                </m:rPr>
                <m:t>±</m:t>
              </m:r>
              <m:sSub>
                <m:e>
                  <m:r>
                    <m:t>δ</m:t>
                  </m:r>
                </m:e>
                <m:sub>
                  <m:r>
                    <m:t>i</m:t>
                  </m:r>
                </m:sub>
              </m:sSub>
              <m:r>
                <m:rPr>
                  <m:sty m:val="p"/>
                </m:rPr>
                <m:t>,</m:t>
              </m:r>
              <m:r>
                <m:t> </m:t>
              </m:r>
              <m:f>
                <m:fPr>
                  <m:type m:val="lin"/>
                </m:fPr>
                <m:num>
                  <m:r>
                    <m:t>1</m:t>
                  </m:r>
                </m:num>
                <m:den>
                  <m:r>
                    <m:t>2</m:t>
                  </m:r>
                </m:den>
              </m:f>
              <m:r>
                <m:rPr>
                  <m:sty m:val="p"/>
                </m:rPr>
                <m:t>−</m:t>
              </m:r>
              <m:sSub>
                <m:e>
                  <m:r>
                    <m:t>z</m:t>
                  </m:r>
                </m:e>
                <m:sub>
                  <m:r>
                    <m:t>0</m:t>
                  </m:r>
                </m:sub>
              </m:sSub>
              <m:r>
                <m:rPr>
                  <m:sty m:val="p"/>
                </m:rPr>
                <m:t>∓</m:t>
              </m:r>
              <m:sSub>
                <m:e>
                  <m:r>
                    <m:t>δ</m:t>
                  </m:r>
                </m:e>
                <m:sub>
                  <m:r>
                    <m:t>i</m:t>
                  </m:r>
                </m:sub>
              </m:sSub>
            </m:e>
          </m:d>
          <m:r>
            <m:rPr>
              <m:sty m:val="p"/>
            </m:rPr>
            <m:t>.</m:t>
          </m:r>
          <m:r>
            <m:t>  </m:t>
          </m:r>
          <m:d>
            <m:dPr>
              <m:begChr m:val="("/>
              <m:endChr m:val=")"/>
              <m:sepChr m:val=""/>
              <m:grow/>
            </m:dPr>
            <m:e>
              <m:r>
                <m:t>5</m:t>
              </m:r>
            </m:e>
          </m:d>
        </m:oMath>
      </m:oMathPara>
    </w:p>
    <w:p>
      <w:pPr>
        <w:pStyle w:val="FirstParagraph"/>
        <w:widowControl/>
      </w:pPr>
      <w:r>
        <w:t xml:space="preserve">Both states are normalized and positive. Their carrier marginals agree by the first null identity. Their</w:t>
      </w:r>
      <w:r>
        <w:t xml:space="preserve"> </w:t>
      </w:r>
      <m:oMath>
        <m:sSub>
          <m:e>
            <m:r>
              <m:t>Σ</m:t>
            </m:r>
          </m:e>
          <m:sub>
            <m:r>
              <m:t>D</m:t>
            </m:r>
          </m:sub>
        </m:sSub>
      </m:oMath>
      <w:r>
        <w:t xml:space="preserve"> </w:t>
      </w:r>
      <w:r>
        <w:t xml:space="preserve">agree by the second, while</w:t>
      </w:r>
      <w:r>
        <w:t xml:space="preserve"> </w:t>
      </w:r>
      <m:oMath>
        <m:sSub>
          <m:e>
            <m:r>
              <m:t>Σ</m:t>
            </m:r>
          </m:e>
          <m:sub>
            <m:r>
              <m:t>P</m:t>
            </m:r>
          </m:sub>
        </m:sSub>
      </m:oMath>
      <w:r>
        <w:t xml:space="preserve"> </w:t>
      </w:r>
      <w:r>
        <w:t xml:space="preserve">and</w:t>
      </w:r>
      <w:r>
        <w:t xml:space="preserve"> </w:t>
      </w:r>
      <m:oMath>
        <m:sSub>
          <m:e>
            <m:r>
              <m:t>Σ</m:t>
            </m:r>
          </m:e>
          <m:sub>
            <m:r>
              <m:t>R</m:t>
            </m:r>
          </m:sub>
        </m:sSub>
      </m:oMath>
      <w:r>
        <w:t xml:space="preserve"> </w:t>
      </w:r>
      <w:r>
        <w:t xml:space="preserve">vanish identically in the conditioned example. Consequently every inherited sector query</w:t>
      </w:r>
      <w:r>
        <w:t xml:space="preserve"> </w:t>
      </w:r>
      <m:oMath>
        <m:r>
          <m:rPr>
            <m:sty m:val="p"/>
          </m:rPr>
          <m:t>Tr</m:t>
        </m:r>
        <m:d>
          <m:dPr>
            <m:begChr m:val="("/>
            <m:endChr m:val=")"/>
            <m:sepChr m:val=""/>
            <m:grow/>
          </m:dPr>
          <m:e>
            <m:sSub>
              <m:e>
                <m:r>
                  <m:t>Σ</m:t>
                </m:r>
              </m:e>
              <m:sub>
                <m:r>
                  <m:t>s</m:t>
                </m:r>
              </m:sub>
            </m:sSub>
            <m:r>
              <m:t>B</m:t>
            </m:r>
          </m:e>
        </m:d>
      </m:oMath>
      <w:r>
        <w:t xml:space="preserve">, for arbitrary carrier operator</w:t>
      </w:r>
      <w:r>
        <w:t xml:space="preserve"> </w:t>
      </w:r>
      <m:oMath>
        <m:r>
          <m:t>B</m:t>
        </m:r>
      </m:oMath>
      <w:r>
        <w:t xml:space="preserve">, agrees. In particular the mean of</w:t>
      </w:r>
      <w:r>
        <w:t xml:space="preserve"> </w:t>
      </w:r>
      <m:oMath>
        <m:r>
          <m:t>b</m:t>
        </m:r>
        <m:r>
          <m:rPr>
            <m:sty m:val="p"/>
          </m:rPr>
          <m:t>=</m:t>
        </m:r>
        <m:sSub>
          <m:e>
            <m:r>
              <m:t>f</m:t>
            </m:r>
          </m:e>
          <m:sub>
            <m:r>
              <m:t>i</m:t>
            </m:r>
          </m:sub>
        </m:sSub>
        <m:sSub>
          <m:e>
            <m:r>
              <m:t>a</m:t>
            </m:r>
          </m:e>
          <m:sub>
            <m:r>
              <m:t>k</m:t>
            </m:r>
          </m:sub>
        </m:sSub>
      </m:oMath>
      <w:r>
        <w:t xml:space="preserve"> </w:t>
      </w:r>
      <w:r>
        <w:t xml:space="preserve">agrees. However,</w:t>
      </w:r>
    </w:p>
    <w:p>
      <w:pPr>
        <w:pStyle w:val="BodyText"/>
        <w:widowControl/>
      </w:pPr>
      <m:oMathPara>
        <m:oMathParaPr>
          <m:jc m:val="center"/>
        </m:oMathParaPr>
        <m:oMath>
          <m:sSub>
            <m:e>
              <m:r>
                <m:rPr>
                  <m:sty m:val="p"/>
                </m:rPr>
                <m:t>Var</m:t>
              </m:r>
            </m:e>
            <m:sub>
              <m:r>
                <m:rPr>
                  <m:sty m:val="p"/>
                </m:rPr>
                <m:t>+</m:t>
              </m:r>
            </m:sub>
          </m:sSub>
          <m:d>
            <m:dPr>
              <m:begChr m:val="("/>
              <m:endChr m:val=")"/>
              <m:sepChr m:val=""/>
              <m:grow/>
            </m:dPr>
            <m:e>
              <m:r>
                <m:t>b</m:t>
              </m:r>
            </m:e>
          </m:d>
          <m:r>
            <m:rPr>
              <m:sty m:val="p"/>
            </m:rPr>
            <m:t>−</m:t>
          </m:r>
          <m:sSub>
            <m:e>
              <m:r>
                <m:rPr>
                  <m:sty m:val="p"/>
                </m:rPr>
                <m:t>Var</m:t>
              </m:r>
            </m:e>
            <m:sub>
              <m:r>
                <m:rPr>
                  <m:sty m:val="p"/>
                </m:rPr>
                <m:t>−</m:t>
              </m:r>
            </m:sub>
          </m:sSub>
          <m:d>
            <m:dPr>
              <m:begChr m:val="("/>
              <m:endChr m:val=")"/>
              <m:sepChr m:val=""/>
              <m:grow/>
            </m:dPr>
            <m:e>
              <m:r>
                <m:t>b</m:t>
              </m:r>
            </m:e>
          </m:d>
          <m:r>
            <m:rPr>
              <m:sty m:val="p"/>
            </m:rPr>
            <m:t>=</m:t>
          </m:r>
          <m:r>
            <m:rPr>
              <m:sty m:val="p"/>
            </m:rPr>
            <m:t>−</m:t>
          </m:r>
          <m:r>
            <m:t>8</m:t>
          </m:r>
          <m:nary>
            <m:naryPr>
              <m:chr m:val="∑"/>
              <m:limLoc m:val="undOvr"/>
              <m:subHide m:val="off"/>
              <m:supHide m:val="on"/>
            </m:naryPr>
            <m:sub>
              <m:r>
                <m:t>i</m:t>
              </m:r>
            </m:sub>
            <m:sup>
              <m:r>
                <m:t>​</m:t>
              </m:r>
            </m:sup>
            <m:e>
              <m:sSub>
                <m:e>
                  <m:r>
                    <m:t>w</m:t>
                  </m:r>
                </m:e>
                <m:sub>
                  <m:r>
                    <m:t>i</m:t>
                  </m:r>
                </m:sub>
              </m:sSub>
            </m:e>
          </m:nary>
          <m:sSubSup>
            <m:e>
              <m:r>
                <m:t>f</m:t>
              </m:r>
            </m:e>
            <m:sub>
              <m:r>
                <m:t>i</m:t>
              </m:r>
            </m:sub>
            <m:sup>
              <m:r>
                <m:t>2</m:t>
              </m:r>
            </m:sup>
          </m:sSubSup>
          <m:sSub>
            <m:e>
              <m:r>
                <m:t>δ</m:t>
              </m:r>
            </m:e>
            <m:sub>
              <m:r>
                <m:t>i</m:t>
              </m:r>
            </m:sub>
          </m:sSub>
          <m:r>
            <m:rPr>
              <m:sty m:val="p"/>
            </m:rPr>
            <m:t>≠</m:t>
          </m:r>
          <m:r>
            <m:t>0</m:t>
          </m:r>
          <m:r>
            <m:rPr>
              <m:sty m:val="p"/>
            </m:rPr>
            <m:t>.</m:t>
          </m:r>
          <m:r>
            <m:t>  </m:t>
          </m:r>
          <m:d>
            <m:dPr>
              <m:begChr m:val="("/>
              <m:endChr m:val=")"/>
              <m:sepChr m:val=""/>
              <m:grow/>
            </m:dPr>
            <m:e>
              <m:r>
                <m:t>6</m:t>
              </m:r>
            </m:e>
          </m:d>
        </m:oMath>
      </m:oMathPara>
    </w:p>
    <w:p>
      <w:pPr>
        <w:pStyle w:val="FirstParagraph"/>
        <w:widowControl/>
      </w:pPr>
      <w:r>
        <w:t xml:space="preserve">Indeed the mean terms cancel, and the second moment is</w:t>
      </w:r>
      <w:r>
        <w:t xml:space="preserve"> </w:t>
      </w:r>
      <m:oMath>
        <m:r>
          <m:t>4</m:t>
        </m:r>
        <m:nary>
          <m:naryPr>
            <m:chr m:val="∑"/>
            <m:limLoc m:val="undOvr"/>
            <m:subHide m:val="off"/>
            <m:supHide m:val="on"/>
          </m:naryPr>
          <m:sub>
            <m:r>
              <m:t>i</m:t>
            </m:r>
          </m:sub>
          <m:sup>
            <m:r>
              <m:t>​</m:t>
            </m:r>
          </m:sup>
          <m:e>
            <m:sSub>
              <m:e>
                <m:r>
                  <m:t>w</m:t>
                </m:r>
              </m:e>
              <m:sub>
                <m:r>
                  <m:t>i</m:t>
                </m:r>
              </m:sub>
            </m:sSub>
          </m:e>
        </m:nary>
        <m:sSubSup>
          <m:e>
            <m:r>
              <m:t>f</m:t>
            </m:r>
          </m:e>
          <m:sub>
            <m:r>
              <m:t>i</m:t>
            </m:r>
          </m:sub>
          <m:sup>
            <m:r>
              <m:t>2</m:t>
            </m:r>
          </m:sup>
        </m:sSubSup>
        <m:d>
          <m:dPr>
            <m:begChr m:val="("/>
            <m:endChr m:val=")"/>
            <m:sepChr m:val=""/>
            <m:grow/>
          </m:dPr>
          <m:e>
            <m:r>
              <m:t>1</m:t>
            </m:r>
            <m:r>
              <m:rPr>
                <m:sty m:val="p"/>
              </m:rPr>
              <m:t>/</m:t>
            </m:r>
            <m:r>
              <m:t>2</m:t>
            </m:r>
            <m:r>
              <m:rPr>
                <m:sty m:val="p"/>
              </m:rPr>
              <m:t>−</m:t>
            </m:r>
            <m:sSub>
              <m:e>
                <m:r>
                  <m:t>z</m:t>
                </m:r>
              </m:e>
              <m:sub>
                <m:r>
                  <m:t>0</m:t>
                </m:r>
              </m:sub>
            </m:sSub>
            <m:r>
              <m:rPr>
                <m:sty m:val="p"/>
              </m:rPr>
              <m:t>∓</m:t>
            </m:r>
            <m:sSub>
              <m:e>
                <m:r>
                  <m:t>δ</m:t>
                </m:r>
              </m:e>
              <m:sub>
                <m:r>
                  <m:t>i</m:t>
                </m:r>
              </m:sub>
            </m:sSub>
          </m:e>
        </m:d>
      </m:oMath>
      <w:r>
        <w:t xml:space="preserve">. The sum in Eq. (6) is nonzero: the three distinct</w:t>
      </w:r>
      <w:r>
        <w:t xml:space="preserve"> </w:t>
      </w:r>
      <m:oMath>
        <m:sSub>
          <m:e>
            <m:r>
              <m:t>f</m:t>
            </m:r>
          </m:e>
          <m:sub>
            <m:r>
              <m:t>i</m:t>
            </m:r>
          </m:sub>
        </m:sSub>
      </m:oMath>
      <w:r>
        <w:t xml:space="preserve"> </w:t>
      </w:r>
      <w:r>
        <w:t xml:space="preserve">make</w:t>
      </w:r>
      <w:r>
        <w:t xml:space="preserve"> </w:t>
      </w:r>
      <m:oMath>
        <m:d>
          <m:dPr>
            <m:begChr m:val="("/>
            <m:endChr m:val=")"/>
            <m:sepChr m:val=""/>
            <m:grow/>
          </m:dPr>
          <m:e>
            <m:r>
              <m:t>1</m:t>
            </m:r>
            <m:r>
              <m:rPr>
                <m:sty m:val="p"/>
              </m:rPr>
              <m:t>,</m:t>
            </m:r>
            <m:r>
              <m:t>f</m:t>
            </m:r>
            <m:r>
              <m:rPr>
                <m:sty m:val="p"/>
              </m:rPr>
              <m:t>,</m:t>
            </m:r>
            <m:sSup>
              <m:e>
                <m:r>
                  <m:t>f</m:t>
                </m:r>
              </m:e>
              <m:sup>
                <m:r>
                  <m:t>2</m:t>
                </m:r>
              </m:sup>
            </m:sSup>
          </m:e>
        </m:d>
      </m:oMath>
      <w:r>
        <w:t xml:space="preserve"> </w:t>
      </w:r>
      <w:r>
        <w:t xml:space="preserve">a nonsingular Vandermonde system, so its last row cannot annihilate the nonzero null vector of its first two rows. For the clamped contract, the relevant variance is</w:t>
      </w:r>
      <w:r>
        <w:t xml:space="preserve"> </w:t>
      </w:r>
      <m:oMath>
        <m:nary>
          <m:naryPr>
            <m:chr m:val="∑"/>
            <m:limLoc m:val="undOvr"/>
            <m:subHide m:val="off"/>
            <m:supHide m:val="on"/>
          </m:naryPr>
          <m:sub>
            <m:r>
              <m:t>i</m:t>
            </m:r>
          </m:sub>
          <m:sup>
            <m:r>
              <m:t>​</m:t>
            </m:r>
          </m:sup>
          <m:e>
            <m:sSub>
              <m:e>
                <m:r>
                  <m:t>w</m:t>
                </m:r>
              </m:e>
              <m:sub>
                <m:r>
                  <m:t>i</m:t>
                </m:r>
              </m:sub>
            </m:sSub>
          </m:e>
        </m:nary>
        <m:sSubSup>
          <m:e>
            <m:r>
              <m:t>f</m:t>
            </m:r>
          </m:e>
          <m:sub>
            <m:r>
              <m:t>i</m:t>
            </m:r>
          </m:sub>
          <m:sup>
            <m:r>
              <m:t>2</m:t>
            </m:r>
          </m:sup>
        </m:sSubSup>
        <m:d>
          <m:dPr>
            <m:begChr m:val="["/>
            <m:endChr m:val="]"/>
            <m:sepChr m:val=""/>
            <m:grow/>
          </m:dPr>
          <m:e>
            <m:r>
              <m:t>1</m:t>
            </m:r>
            <m:r>
              <m:rPr>
                <m:sty m:val="p"/>
              </m:rPr>
              <m:t>−</m:t>
            </m:r>
            <m:r>
              <m:t>4</m:t>
            </m:r>
            <m:sSup>
              <m:e>
                <m:d>
                  <m:dPr>
                    <m:begChr m:val="("/>
                    <m:endChr m:val=")"/>
                    <m:sepChr m:val=""/>
                    <m:grow/>
                  </m:dPr>
                  <m:e>
                    <m:sSub>
                      <m:e>
                        <m:r>
                          <m:t>z</m:t>
                        </m:r>
                      </m:e>
                      <m:sub>
                        <m:r>
                          <m:t>0</m:t>
                        </m:r>
                      </m:sub>
                    </m:sSub>
                    <m:r>
                      <m:rPr>
                        <m:sty m:val="p"/>
                      </m:rPr>
                      <m:t>±</m:t>
                    </m:r>
                    <m:sSub>
                      <m:e>
                        <m:r>
                          <m:t>δ</m:t>
                        </m:r>
                      </m:e>
                      <m:sub>
                        <m:r>
                          <m:t>i</m:t>
                        </m:r>
                      </m:sub>
                    </m:sSub>
                  </m:e>
                </m:d>
              </m:e>
              <m:sup>
                <m:r>
                  <m:t>2</m:t>
                </m:r>
              </m:sup>
            </m:sSup>
          </m:e>
        </m:d>
      </m:oMath>
      <w:r>
        <w:t xml:space="preserve">. Its difference is</w:t>
      </w:r>
      <w:r>
        <w:t xml:space="preserve"> </w:t>
      </w:r>
      <m:oMath>
        <m:r>
          <m:rPr>
            <m:sty m:val="p"/>
          </m:rPr>
          <m:t>−</m:t>
        </m:r>
        <m:r>
          <m:t>16</m:t>
        </m:r>
        <m:sSub>
          <m:e>
            <m:r>
              <m:t>z</m:t>
            </m:r>
          </m:e>
          <m:sub>
            <m:r>
              <m:t>0</m:t>
            </m:r>
          </m:sub>
        </m:sSub>
        <m:nary>
          <m:naryPr>
            <m:chr m:val="∑"/>
            <m:limLoc m:val="undOvr"/>
            <m:subHide m:val="off"/>
            <m:supHide m:val="on"/>
          </m:naryPr>
          <m:sub>
            <m:r>
              <m:t>i</m:t>
            </m:r>
          </m:sub>
          <m:sup>
            <m:r>
              <m:t>​</m:t>
            </m:r>
          </m:sup>
          <m:e>
            <m:sSub>
              <m:e>
                <m:r>
                  <m:t>w</m:t>
                </m:r>
              </m:e>
              <m:sub>
                <m:r>
                  <m:t>i</m:t>
                </m:r>
              </m:sub>
            </m:sSub>
          </m:e>
        </m:nary>
        <m:sSubSup>
          <m:e>
            <m:r>
              <m:t>f</m:t>
            </m:r>
          </m:e>
          <m:sub>
            <m:r>
              <m:t>i</m:t>
            </m:r>
          </m:sub>
          <m:sup>
            <m:r>
              <m:t>2</m:t>
            </m:r>
          </m:sup>
        </m:sSubSup>
        <m:sSub>
          <m:e>
            <m:r>
              <m:t>δ</m:t>
            </m:r>
          </m:e>
          <m:sub>
            <m:r>
              <m:t>i</m:t>
            </m:r>
          </m:sub>
        </m:sSub>
      </m:oMath>
      <w:r>
        <w:t xml:space="preserve">, also nonzero. This proves the claim.</w:t>
      </w:r>
      <w:r>
        <w:t xml:space="preserve"> </w:t>
      </w:r>
      <m:oMath>
        <m:r>
          <m:rPr>
            <m:sty m:val="p"/>
          </m:rPr>
          <m:t>▫</m:t>
        </m:r>
      </m:oMath>
    </w:p>
    <w:p>
      <w:pPr>
        <w:pStyle w:val="BodyText"/>
        <w:widowControl/>
      </w:pPr>
      <w:r>
        <w:t xml:space="preserve">The same construction embeds into the full source by altering only these three carrier blocks and leaving all other addresses identical. The conditional weights in Eq. (4) are multiplied by the common probability of the three-address subset, so the null identities survive. The variance gap is correspondingly multiplied by that probability because the global means remain equal. We report the transparent conditional calculation rather than presenting it as a rerun of the million-address benchmark.</w:t>
      </w:r>
    </w:p>
    <w:p>
      <w:pPr>
        <w:pStyle w:val="BodyText"/>
        <w:widowControl/>
      </w:pPr>
      <w:r>
        <w:t xml:space="preserve">This result adds a response obstruction to the previously established update obstruction. The mod-3 class lift in [1] retains the information needed for its specified controlled channels. Here, powers of the actual response coefficient enter a thermodynamic derivative even when all original weighted operators agree. The appropriate repair depends on the newly declared query family: for a joint linear response, add global second moments; for a clamped response, retain the required conditional mean terms as well; for a whole field-dependent partition family, retain the load-class measure in Section 5. A class lift built for a different purpose cannot be assumed sufficient.</w:t>
      </w:r>
    </w:p>
    <w:bookmarkEnd w:id="23"/>
    <w:bookmarkStart w:id="24" w:name="Xe0c91740e188470c483a9b3e561ec2ed37f2a7d"/>
    <w:p>
      <w:pPr>
        <w:pStyle w:val="Heading1"/>
        <w:widowControl/>
      </w:pPr>
      <w:r>
        <w:t xml:space="preserve">4 Effective response and its stability boundary</w:t>
      </w:r>
    </w:p>
    <w:p>
      <w:pPr>
        <w:pStyle w:val="FirstParagraph"/>
        <w:widowControl/>
      </w:pPr>
      <w:r>
        <w:t xml:space="preserve">Differentiating the finite sum in Eq. (2) gives the standard identities</w:t>
      </w:r>
    </w:p>
    <w:p>
      <w:pPr>
        <w:pStyle w:val="BodyText"/>
        <w:widowControl/>
      </w:pPr>
      <m:oMathPara>
        <m:oMathParaPr>
          <m:jc m:val="center"/>
        </m:oMathParaPr>
        <m:oMath>
          <m:r>
            <m:rPr>
              <m:sty m:val="p"/>
            </m:rPr>
            <m:t>∇</m:t>
          </m:r>
          <m:sSub>
            <m:e>
              <m:r>
                <m:t>F</m:t>
              </m:r>
            </m:e>
            <m:sub>
              <m:r>
                <m:t>p</m:t>
              </m:r>
            </m:sub>
          </m:sSub>
          <m:r>
            <m:rPr>
              <m:sty m:val="p"/>
            </m:rPr>
            <m:t>=</m:t>
          </m:r>
          <m:r>
            <m:t>ϵ</m:t>
          </m:r>
          <m:r>
            <m:rPr>
              <m:sty m:val="p"/>
            </m:rPr>
            <m:t>⟨</m:t>
          </m:r>
          <m:r>
            <m:t>b</m:t>
          </m:r>
          <m:sSub>
            <m:e>
              <m:r>
                <m:rPr>
                  <m:sty m:val="p"/>
                </m:rPr>
                <m:t>⟩</m:t>
              </m:r>
            </m:e>
            <m:sub>
              <m:r>
                <m:t>x</m:t>
              </m:r>
            </m:sub>
          </m:sSub>
          <m:r>
            <m:rPr>
              <m:sty m:val="p"/>
            </m:rPr>
            <m:t>,</m:t>
          </m:r>
          <m:r>
            <m:t>  </m:t>
          </m:r>
          <m:sSup>
            <m:e>
              <m:r>
                <m:rPr>
                  <m:sty m:val="p"/>
                </m:rPr>
                <m:t>∇</m:t>
              </m:r>
            </m:e>
            <m:sup>
              <m:r>
                <m:t>2</m:t>
              </m:r>
            </m:sup>
          </m:sSup>
          <m:sSub>
            <m:e>
              <m:r>
                <m:t>F</m:t>
              </m:r>
            </m:e>
            <m:sub>
              <m:r>
                <m:t>p</m:t>
              </m:r>
            </m:sub>
          </m:sSub>
          <m:r>
            <m:rPr>
              <m:sty m:val="p"/>
            </m:rPr>
            <m:t>=</m:t>
          </m:r>
          <m:r>
            <m:rPr>
              <m:sty m:val="p"/>
            </m:rPr>
            <m:t>−</m:t>
          </m:r>
          <m:r>
            <m:t>β</m:t>
          </m:r>
          <m:sSup>
            <m:e>
              <m:r>
                <m:t>ϵ</m:t>
              </m:r>
            </m:e>
            <m:sup>
              <m:r>
                <m:t>2</m:t>
              </m:r>
            </m:sup>
          </m:sSup>
          <m:sSub>
            <m:e>
              <m:r>
                <m:t>C</m:t>
              </m:r>
            </m:e>
            <m:sub>
              <m:r>
                <m:t>x</m:t>
              </m:r>
            </m:sub>
          </m:sSub>
          <m:r>
            <m:rPr>
              <m:sty m:val="p"/>
            </m:rPr>
            <m:t>,</m:t>
          </m:r>
          <m:r>
            <m:t>  </m:t>
          </m:r>
          <m:sSub>
            <m:e>
              <m:r>
                <m:t>C</m:t>
              </m:r>
            </m:e>
            <m:sub>
              <m:r>
                <m:t>x</m:t>
              </m:r>
            </m:sub>
          </m:sSub>
          <m:r>
            <m:rPr>
              <m:sty m:val="p"/>
            </m:rPr>
            <m:t>=</m:t>
          </m:r>
          <m:sSub>
            <m:e>
              <m:r>
                <m:rPr>
                  <m:sty m:val="p"/>
                </m:rPr>
                <m:t>Cov</m:t>
              </m:r>
            </m:e>
            <m:sub>
              <m:r>
                <m:t>p</m:t>
              </m:r>
              <m:d>
                <m:dPr>
                  <m:begChr m:val="("/>
                  <m:endChr m:val=")"/>
                  <m:sepChr m:val=""/>
                  <m:grow/>
                </m:dPr>
                <m:e>
                  <m:r>
                    <m:t>x</m:t>
                  </m:r>
                </m:e>
              </m:d>
            </m:sub>
          </m:sSub>
          <m:d>
            <m:dPr>
              <m:begChr m:val="("/>
              <m:endChr m:val=")"/>
              <m:sepChr m:val=""/>
              <m:grow/>
            </m:dPr>
            <m:e>
              <m:r>
                <m:t>b</m:t>
              </m:r>
            </m:e>
          </m:d>
          <m:r>
            <m:rPr>
              <m:sty m:val="p"/>
            </m:rPr>
            <m:t>.</m:t>
          </m:r>
          <m:r>
            <m:t>  </m:t>
          </m:r>
          <m:d>
            <m:dPr>
              <m:begChr m:val="("/>
              <m:endChr m:val=")"/>
              <m:sepChr m:val=""/>
              <m:grow/>
            </m:dPr>
            <m:e>
              <m:r>
                <m:t>7</m:t>
              </m:r>
            </m:e>
          </m:d>
        </m:oMath>
      </m:oMathPara>
    </w:p>
    <w:p>
      <w:pPr>
        <w:pStyle w:val="FirstParagraph"/>
        <w:widowControl/>
      </w:pPr>
      <w:r>
        <w:t xml:space="preserve">For example</w:t>
      </w:r>
      <w:r>
        <w:t xml:space="preserve"> </w:t>
      </w:r>
      <m:oMath>
        <m:sSub>
          <m:e>
            <m:r>
              <m:rPr>
                <m:sty m:val="p"/>
              </m:rPr>
              <m:t>∂</m:t>
            </m:r>
          </m:e>
          <m:sub>
            <m:r>
              <m:t>i</m:t>
            </m:r>
          </m:sub>
        </m:sSub>
        <m:sSub>
          <m:e>
            <m:r>
              <m:t>p</m:t>
            </m:r>
          </m:e>
          <m:sub>
            <m:r>
              <m:t>a</m:t>
            </m:r>
          </m:sub>
        </m:sSub>
        <m:d>
          <m:dPr>
            <m:begChr m:val="("/>
            <m:endChr m:val=")"/>
            <m:sepChr m:val=""/>
            <m:grow/>
          </m:dPr>
          <m:e>
            <m:r>
              <m:t>x</m:t>
            </m:r>
          </m:e>
        </m:d>
        <m:r>
          <m:rPr>
            <m:sty m:val="p"/>
          </m:rPr>
          <m:t>=</m:t>
        </m:r>
        <m:r>
          <m:rPr>
            <m:sty m:val="p"/>
          </m:rPr>
          <m:t>−</m:t>
        </m:r>
        <m:r>
          <m:t>β</m:t>
        </m:r>
        <m:r>
          <m:t>ϵ</m:t>
        </m:r>
        <m:sSub>
          <m:e>
            <m:r>
              <m:t>p</m:t>
            </m:r>
          </m:e>
          <m:sub>
            <m:r>
              <m:t>a</m:t>
            </m:r>
          </m:sub>
        </m:sSub>
        <m:d>
          <m:dPr>
            <m:begChr m:val="("/>
            <m:endChr m:val=")"/>
            <m:sepChr m:val=""/>
            <m:grow/>
          </m:dPr>
          <m:e>
            <m:r>
              <m:t>x</m:t>
            </m:r>
          </m:e>
        </m:d>
        <m:d>
          <m:dPr>
            <m:begChr m:val="("/>
            <m:endChr m:val=")"/>
            <m:sepChr m:val=""/>
            <m:grow/>
          </m:dPr>
          <m:e>
            <m:sSub>
              <m:e>
                <m:r>
                  <m:t>b</m:t>
                </m:r>
              </m:e>
              <m:sub>
                <m:r>
                  <m:t>a</m:t>
                </m:r>
                <m:r>
                  <m:t>i</m:t>
                </m:r>
              </m:sub>
            </m:sSub>
            <m:r>
              <m:rPr>
                <m:sty m:val="p"/>
              </m:rPr>
              <m:t>−</m:t>
            </m:r>
            <m:r>
              <m:rPr>
                <m:sty m:val="p"/>
              </m:rPr>
              <m:t>⟨</m:t>
            </m:r>
            <m:sSub>
              <m:e>
                <m:r>
                  <m:t>b</m:t>
                </m:r>
              </m:e>
              <m:sub>
                <m:r>
                  <m:t>i</m:t>
                </m:r>
              </m:sub>
            </m:sSub>
            <m:sSub>
              <m:e>
                <m:r>
                  <m:rPr>
                    <m:sty m:val="p"/>
                  </m:rPr>
                  <m:t>⟩</m:t>
                </m:r>
              </m:e>
              <m:sub>
                <m:r>
                  <m:t>x</m:t>
                </m:r>
              </m:sub>
            </m:sSub>
          </m:e>
        </m:d>
      </m:oMath>
      <w:r>
        <w:t xml:space="preserve">; substituting into the derivative of the mean proves Eq. (7). The covariance is positive semidefinite. This is the familiar exponential-family Hessian [6], applied to the declared WRRA load rather than an independent postulate relating entropy directly to gravity.</w:t>
      </w:r>
    </w:p>
    <w:p>
      <w:pPr>
        <w:pStyle w:val="BodyText"/>
        <w:widowControl/>
      </w:pPr>
      <w:r>
        <w:rPr>
          <w:bCs/>
          <w:b/>
        </w:rPr>
        <w:t xml:space="preserve">Proposition 2.</w:t>
      </w:r>
      <w:r>
        <w:t xml:space="preserve"> </w:t>
      </w:r>
      <w:r>
        <w:t xml:space="preserve">At a stationary point, define</w:t>
      </w:r>
      <w:r>
        <w:t xml:space="preserve"> </w:t>
      </w:r>
      <m:oMath>
        <m:r>
          <m:t>K</m:t>
        </m:r>
        <m:r>
          <m:rPr>
            <m:sty m:val="p"/>
          </m:rPr>
          <m:t>=</m:t>
        </m:r>
        <m:sSub>
          <m:e>
            <m:r>
              <m:t>K</m:t>
            </m:r>
          </m:e>
          <m:sub>
            <m:r>
              <m:t>0</m:t>
            </m:r>
          </m:sub>
        </m:sSub>
        <m:r>
          <m:rPr>
            <m:sty m:val="p"/>
          </m:rPr>
          <m:t>−</m:t>
        </m:r>
        <m:r>
          <m:t>β</m:t>
        </m:r>
        <m:sSup>
          <m:e>
            <m:r>
              <m:t>ϵ</m:t>
            </m:r>
          </m:e>
          <m:sup>
            <m:r>
              <m:t>2</m:t>
            </m:r>
          </m:sup>
        </m:sSup>
        <m:sSub>
          <m:e>
            <m:r>
              <m:t>C</m:t>
            </m:r>
          </m:e>
          <m:sub>
            <m:sSub>
              <m:e>
                <m:r>
                  <m:t>x</m:t>
                </m:r>
              </m:e>
              <m:sub>
                <m:r>
                  <m:rPr>
                    <m:sty m:val="p"/>
                  </m:rPr>
                  <m:t>*</m:t>
                </m:r>
              </m:sub>
            </m:sSub>
          </m:sub>
        </m:sSub>
      </m:oMath>
      <w:r>
        <w:t xml:space="preserve"> </w:t>
      </w:r>
      <w:r>
        <w:t xml:space="preserve">and</w:t>
      </w:r>
      <w:r>
        <w:t xml:space="preserve"> </w:t>
      </w:r>
      <m:oMath>
        <m:r>
          <m:t>M</m:t>
        </m:r>
        <m:r>
          <m:rPr>
            <m:sty m:val="p"/>
          </m:rPr>
          <m:t>=</m:t>
        </m:r>
        <m:r>
          <m:t>β</m:t>
        </m:r>
        <m:sSup>
          <m:e>
            <m:r>
              <m:t>ϵ</m:t>
            </m:r>
          </m:e>
          <m:sup>
            <m:r>
              <m:t>2</m:t>
            </m:r>
          </m:sup>
        </m:sSup>
        <m:sSubSup>
          <m:e>
            <m:r>
              <m:t>K</m:t>
            </m:r>
          </m:e>
          <m:sub>
            <m:r>
              <m:t>0</m:t>
            </m:r>
          </m:sub>
          <m:sup>
            <m:r>
              <m:rPr>
                <m:sty m:val="p"/>
              </m:rPr>
              <m:t>−</m:t>
            </m:r>
            <m:r>
              <m:t>1</m:t>
            </m:r>
            <m:r>
              <m:rPr>
                <m:sty m:val="p"/>
              </m:rPr>
              <m:t>/</m:t>
            </m:r>
            <m:r>
              <m:t>2</m:t>
            </m:r>
          </m:sup>
        </m:sSubSup>
        <m:sSub>
          <m:e>
            <m:r>
              <m:t>C</m:t>
            </m:r>
          </m:e>
          <m:sub>
            <m:sSub>
              <m:e>
                <m:r>
                  <m:t>x</m:t>
                </m:r>
              </m:e>
              <m:sub>
                <m:r>
                  <m:rPr>
                    <m:sty m:val="p"/>
                  </m:rPr>
                  <m:t>*</m:t>
                </m:r>
              </m:sub>
            </m:sSub>
          </m:sub>
        </m:sSub>
        <m:sSubSup>
          <m:e>
            <m:r>
              <m:t>K</m:t>
            </m:r>
          </m:e>
          <m:sub>
            <m:r>
              <m:t>0</m:t>
            </m:r>
          </m:sub>
          <m:sup>
            <m:r>
              <m:rPr>
                <m:sty m:val="p"/>
              </m:rPr>
              <m:t>−</m:t>
            </m:r>
            <m:r>
              <m:t>1</m:t>
            </m:r>
            <m:r>
              <m:rPr>
                <m:sty m:val="p"/>
              </m:rPr>
              <m:t>/</m:t>
            </m:r>
            <m:r>
              <m:t>2</m:t>
            </m:r>
          </m:sup>
        </m:sSubSup>
      </m:oMath>
      <w:r>
        <w:t xml:space="preserve">. A strictly stable linear response exists precisely when</w:t>
      </w:r>
      <w:r>
        <w:t xml:space="preserve"> </w:t>
      </w:r>
      <m:oMath>
        <m:sSub>
          <m:e>
            <m:r>
              <m:t>λ</m:t>
            </m:r>
          </m:e>
          <m:sub>
            <m:r>
              <m:rPr>
                <m:sty m:val="p"/>
              </m:rPr>
              <m:t>max</m:t>
            </m:r>
          </m:sub>
        </m:sSub>
        <m:d>
          <m:dPr>
            <m:begChr m:val="("/>
            <m:endChr m:val=")"/>
            <m:sepChr m:val=""/>
            <m:grow/>
          </m:dPr>
          <m:e>
            <m:r>
              <m:t>M</m:t>
            </m:r>
          </m:e>
        </m:d>
        <m:r>
          <m:rPr>
            <m:sty m:val="p"/>
          </m:rPr>
          <m:t>&lt;</m:t>
        </m:r>
        <m:r>
          <m:t>1</m:t>
        </m:r>
      </m:oMath>
      <w:r>
        <w:t xml:space="preserve">. In that case</w:t>
      </w:r>
    </w:p>
    <w:p>
      <w:pPr>
        <w:pStyle w:val="BodyText"/>
        <w:widowControl/>
      </w:pPr>
      <m:oMathPara>
        <m:oMathParaPr>
          <m:jc m:val="center"/>
        </m:oMathParaPr>
        <m:oMath>
          <m:r>
            <m:t>δ</m:t>
          </m:r>
          <m:r>
            <m:t>x</m:t>
          </m:r>
          <m:r>
            <m:rPr>
              <m:sty m:val="p"/>
            </m:rPr>
            <m:t>=</m:t>
          </m:r>
          <m:r>
            <m:rPr>
              <m:sty m:val="p"/>
            </m:rPr>
            <m:t>−</m:t>
          </m:r>
          <m:r>
            <m:t>R</m:t>
          </m:r>
          <m:r>
            <m:t> </m:t>
          </m:r>
          <m:r>
            <m:t>δ</m:t>
          </m:r>
          <m:r>
            <m:t>j</m:t>
          </m:r>
          <m:r>
            <m:rPr>
              <m:sty m:val="p"/>
            </m:rPr>
            <m:t>,</m:t>
          </m:r>
          <m:r>
            <m:t> </m:t>
          </m:r>
          <m:r>
            <m:t>R</m:t>
          </m:r>
          <m:r>
            <m:rPr>
              <m:sty m:val="p"/>
            </m:rPr>
            <m:t>=</m:t>
          </m:r>
          <m:sSup>
            <m:e>
              <m:r>
                <m:t>K</m:t>
              </m:r>
            </m:e>
            <m:sup>
              <m:r>
                <m:rPr>
                  <m:sty m:val="p"/>
                </m:rPr>
                <m:t>−</m:t>
              </m:r>
              <m:r>
                <m:t>1</m:t>
              </m:r>
            </m:sup>
          </m:sSup>
          <m:r>
            <m:rPr>
              <m:sty m:val="p"/>
            </m:rPr>
            <m:t>=</m:t>
          </m:r>
          <m:sSubSup>
            <m:e>
              <m:r>
                <m:t>K</m:t>
              </m:r>
            </m:e>
            <m:sub>
              <m:r>
                <m:t>0</m:t>
              </m:r>
            </m:sub>
            <m:sup>
              <m:r>
                <m:rPr>
                  <m:sty m:val="p"/>
                </m:rPr>
                <m:t>−</m:t>
              </m:r>
              <m:r>
                <m:t>1</m:t>
              </m:r>
              <m:r>
                <m:rPr>
                  <m:sty m:val="p"/>
                </m:rPr>
                <m:t>/</m:t>
              </m:r>
              <m:r>
                <m:t>2</m:t>
              </m:r>
            </m:sup>
          </m:sSubSup>
          <m:sSup>
            <m:e>
              <m:d>
                <m:dPr>
                  <m:begChr m:val="("/>
                  <m:endChr m:val=")"/>
                  <m:sepChr m:val=""/>
                  <m:grow/>
                </m:dPr>
                <m:e>
                  <m:r>
                    <m:t>I</m:t>
                  </m:r>
                  <m:r>
                    <m:rPr>
                      <m:sty m:val="p"/>
                    </m:rPr>
                    <m:t>−</m:t>
                  </m:r>
                  <m:r>
                    <m:t>M</m:t>
                  </m:r>
                </m:e>
              </m:d>
            </m:e>
            <m:sup>
              <m:r>
                <m:rPr>
                  <m:sty m:val="p"/>
                </m:rPr>
                <m:t>−</m:t>
              </m:r>
              <m:r>
                <m:t>1</m:t>
              </m:r>
            </m:sup>
          </m:sSup>
          <m:sSubSup>
            <m:e>
              <m:r>
                <m:t>K</m:t>
              </m:r>
            </m:e>
            <m:sub>
              <m:r>
                <m:t>0</m:t>
              </m:r>
            </m:sub>
            <m:sup>
              <m:r>
                <m:rPr>
                  <m:sty m:val="p"/>
                </m:rPr>
                <m:t>−</m:t>
              </m:r>
              <m:r>
                <m:t>1</m:t>
              </m:r>
              <m:r>
                <m:rPr>
                  <m:sty m:val="p"/>
                </m:rPr>
                <m:t>/</m:t>
              </m:r>
              <m:r>
                <m:t>2</m:t>
              </m:r>
            </m:sup>
          </m:sSubSup>
          <m:r>
            <m:rPr>
              <m:sty m:val="p"/>
            </m:rPr>
            <m:t>,</m:t>
          </m:r>
          <m:r>
            <m:t> </m:t>
          </m:r>
          <m:r>
            <m:t>R</m:t>
          </m:r>
          <m:r>
            <m:rPr>
              <m:sty m:val="p"/>
            </m:rPr>
            <m:t>≽</m:t>
          </m:r>
          <m:sSubSup>
            <m:e>
              <m:r>
                <m:t>K</m:t>
              </m:r>
            </m:e>
            <m:sub>
              <m:r>
                <m:t>0</m:t>
              </m:r>
            </m:sub>
            <m:sup>
              <m:r>
                <m:rPr>
                  <m:sty m:val="p"/>
                </m:rPr>
                <m:t>−</m:t>
              </m:r>
              <m:r>
                <m:t>1</m:t>
              </m:r>
            </m:sup>
          </m:sSubSup>
          <m:r>
            <m:rPr>
              <m:sty m:val="p"/>
            </m:rPr>
            <m:t>.</m:t>
          </m:r>
          <m:r>
            <m:t>  </m:t>
          </m:r>
          <m:d>
            <m:dPr>
              <m:begChr m:val="("/>
              <m:endChr m:val=")"/>
              <m:sepChr m:val=""/>
              <m:grow/>
            </m:dPr>
            <m:e>
              <m:r>
                <m:t>8</m:t>
              </m:r>
            </m:e>
          </m:d>
        </m:oMath>
      </m:oMathPara>
    </w:p>
    <w:p>
      <w:pPr>
        <w:pStyle w:val="FirstParagraph"/>
        <w:widowControl/>
      </w:pPr>
      <w:r>
        <w:rPr>
          <w:bCs/>
          <w:b/>
        </w:rPr>
        <w:t xml:space="preserve">Proof.</w:t>
      </w:r>
      <w:r>
        <w:t xml:space="preserve"> </w:t>
      </w:r>
      <w:r>
        <w:t xml:space="preserve">The Hessian of Eq. (2) is</w:t>
      </w:r>
      <w:r>
        <w:t xml:space="preserve"> </w:t>
      </w:r>
      <m:oMath>
        <m:r>
          <m:t>K</m:t>
        </m:r>
        <m:r>
          <m:rPr>
            <m:sty m:val="p"/>
          </m:rPr>
          <m:t>=</m:t>
        </m:r>
        <m:sSubSup>
          <m:e>
            <m:r>
              <m:t>K</m:t>
            </m:r>
          </m:e>
          <m:sub>
            <m:r>
              <m:t>0</m:t>
            </m:r>
          </m:sub>
          <m:sup>
            <m:r>
              <m:t>1</m:t>
            </m:r>
            <m:r>
              <m:rPr>
                <m:sty m:val="p"/>
              </m:rPr>
              <m:t>/</m:t>
            </m:r>
            <m:r>
              <m:t>2</m:t>
            </m:r>
          </m:sup>
        </m:sSubSup>
        <m:d>
          <m:dPr>
            <m:begChr m:val="("/>
            <m:endChr m:val=")"/>
            <m:sepChr m:val=""/>
            <m:grow/>
          </m:dPr>
          <m:e>
            <m:r>
              <m:t>I</m:t>
            </m:r>
            <m:r>
              <m:rPr>
                <m:sty m:val="p"/>
              </m:rPr>
              <m:t>−</m:t>
            </m:r>
            <m:r>
              <m:t>M</m:t>
            </m:r>
          </m:e>
        </m:d>
        <m:sSubSup>
          <m:e>
            <m:r>
              <m:t>K</m:t>
            </m:r>
          </m:e>
          <m:sub>
            <m:r>
              <m:t>0</m:t>
            </m:r>
          </m:sub>
          <m:sup>
            <m:r>
              <m:t>1</m:t>
            </m:r>
            <m:r>
              <m:rPr>
                <m:sty m:val="p"/>
              </m:rPr>
              <m:t>/</m:t>
            </m:r>
            <m:r>
              <m:t>2</m:t>
            </m:r>
          </m:sup>
        </m:sSubSup>
      </m:oMath>
      <w:r>
        <w:t xml:space="preserve">. Congruence gives the stated positive-definiteness condition. Linearizing stationarity gives</w:t>
      </w:r>
      <w:r>
        <w:t xml:space="preserve"> </w:t>
      </w:r>
      <m:oMath>
        <m:r>
          <m:t>K</m:t>
        </m:r>
        <m:r>
          <m:t>δ</m:t>
        </m:r>
        <m:r>
          <m:t>x</m:t>
        </m:r>
        <m:r>
          <m:rPr>
            <m:sty m:val="p"/>
          </m:rPr>
          <m:t>+</m:t>
        </m:r>
        <m:r>
          <m:t>δ</m:t>
        </m:r>
        <m:r>
          <m:t>j</m:t>
        </m:r>
        <m:r>
          <m:rPr>
            <m:sty m:val="p"/>
          </m:rPr>
          <m:t>=</m:t>
        </m:r>
        <m:r>
          <m:t>0</m:t>
        </m:r>
      </m:oMath>
      <w:r>
        <w:t xml:space="preserve">. Every eigenvalue of</w:t>
      </w:r>
      <w:r>
        <w:t xml:space="preserve"> </w:t>
      </w:r>
      <m:oMath>
        <m:sSup>
          <m:e>
            <m:d>
              <m:dPr>
                <m:begChr m:val="("/>
                <m:endChr m:val=")"/>
                <m:sepChr m:val=""/>
                <m:grow/>
              </m:dPr>
              <m:e>
                <m:r>
                  <m:t>I</m:t>
                </m:r>
                <m:r>
                  <m:rPr>
                    <m:sty m:val="p"/>
                  </m:rPr>
                  <m:t>−</m:t>
                </m:r>
                <m:r>
                  <m:t>M</m:t>
                </m:r>
              </m:e>
            </m:d>
          </m:e>
          <m:sup>
            <m:r>
              <m:rPr>
                <m:sty m:val="p"/>
              </m:rPr>
              <m:t>−</m:t>
            </m:r>
            <m:r>
              <m:t>1</m:t>
            </m:r>
          </m:sup>
        </m:sSup>
      </m:oMath>
      <w:r>
        <w:t xml:space="preserve"> </w:t>
      </w:r>
      <w:r>
        <w:t xml:space="preserve">is at least one on the stable domain, proving the final inequality.</w:t>
      </w:r>
      <w:r>
        <w:t xml:space="preserve"> </w:t>
      </w:r>
      <m:oMath>
        <m:r>
          <m:rPr>
            <m:sty m:val="p"/>
          </m:rPr>
          <m:t>▫</m:t>
        </m:r>
      </m:oMath>
    </w:p>
    <w:p>
      <w:pPr>
        <w:pStyle w:val="BodyText"/>
        <w:widowControl/>
      </w:pPr>
      <w:r>
        <w:t xml:space="preserve">The roles of the matrices are distinct:</w:t>
      </w:r>
      <w:r>
        <w:t xml:space="preserve"> </w:t>
      </w:r>
      <m:oMath>
        <m:sSub>
          <m:e>
            <m:r>
              <m:t>C</m:t>
            </m:r>
          </m:e>
          <m:sub>
            <m:sSub>
              <m:e>
                <m:r>
                  <m:t>x</m:t>
                </m:r>
              </m:e>
              <m:sub>
                <m:r>
                  <m:rPr>
                    <m:sty m:val="p"/>
                  </m:rPr>
                  <m:t>*</m:t>
                </m:r>
              </m:sub>
            </m:sSub>
          </m:sub>
        </m:sSub>
      </m:oMath>
      <w:r>
        <w:t xml:space="preserve"> </w:t>
      </w:r>
      <w:r>
        <w:t xml:space="preserve">measures load fluctuations in the selected preparation,</w:t>
      </w:r>
      <w:r>
        <w:t xml:space="preserve"> </w:t>
      </w:r>
      <m:oMath>
        <m:r>
          <m:t>K</m:t>
        </m:r>
      </m:oMath>
      <w:r>
        <w:t xml:space="preserve"> </w:t>
      </w:r>
      <w:r>
        <w:t xml:space="preserve">is the remaining restoring stiffness after relaxation, and</w:t>
      </w:r>
      <w:r>
        <w:t xml:space="preserve"> </w:t>
      </w:r>
      <m:oMath>
        <m:r>
          <m:t>M</m:t>
        </m:r>
      </m:oMath>
      <w:r>
        <w:t xml:space="preserve"> </w:t>
      </w:r>
      <w:r>
        <w:t xml:space="preserve">measures the fractional stiffness reduction in coordinates normalized by</w:t>
      </w:r>
      <w:r>
        <w:t xml:space="preserve"> </w:t>
      </w:r>
      <m:oMath>
        <m:sSub>
          <m:e>
            <m:r>
              <m:t>K</m:t>
            </m:r>
          </m:e>
          <m:sub>
            <m:r>
              <m:t>0</m:t>
            </m:r>
          </m:sub>
        </m:sSub>
      </m:oMath>
      <w:r>
        <w:t xml:space="preserve">. In a normalized eigenmode with eigenvalue</w:t>
      </w:r>
      <w:r>
        <w:t xml:space="preserve"> </w:t>
      </w:r>
      <m:oMath>
        <m:sSub>
          <m:e>
            <m:r>
              <m:t>λ</m:t>
            </m:r>
          </m:e>
          <m:sub>
            <m:r>
              <m:t>i</m:t>
            </m:r>
          </m:sub>
        </m:sSub>
      </m:oMath>
      <w:r>
        <w:t xml:space="preserve">, the remaining stiffness is proportional to</w:t>
      </w:r>
      <w:r>
        <w:t xml:space="preserve"> </w:t>
      </w:r>
      <m:oMath>
        <m:r>
          <m:t>1</m:t>
        </m:r>
        <m:r>
          <m:rPr>
            <m:sty m:val="p"/>
          </m:rPr>
          <m:t>−</m:t>
        </m:r>
        <m:sSub>
          <m:e>
            <m:r>
              <m:t>λ</m:t>
            </m:r>
          </m:e>
          <m:sub>
            <m:r>
              <m:t>i</m:t>
            </m:r>
          </m:sub>
        </m:sSub>
      </m:oMath>
      <w:r>
        <w:t xml:space="preserve"> </w:t>
      </w:r>
      <w:r>
        <w:t xml:space="preserve">and the response gain is</w:t>
      </w:r>
      <w:r>
        <w:t xml:space="preserve"> </w:t>
      </w:r>
      <m:oMath>
        <m:sSup>
          <m:e>
            <m:d>
              <m:dPr>
                <m:begChr m:val="("/>
                <m:endChr m:val=")"/>
                <m:sepChr m:val=""/>
                <m:grow/>
              </m:dPr>
              <m:e>
                <m:r>
                  <m:t>1</m:t>
                </m:r>
                <m:r>
                  <m:rPr>
                    <m:sty m:val="p"/>
                  </m:rPr>
                  <m:t>−</m:t>
                </m:r>
                <m:sSub>
                  <m:e>
                    <m:r>
                      <m:t>λ</m:t>
                    </m:r>
                  </m:e>
                  <m:sub>
                    <m:r>
                      <m:t>i</m:t>
                    </m:r>
                  </m:sub>
                </m:sSub>
              </m:e>
            </m:d>
          </m:e>
          <m:sup>
            <m:r>
              <m:rPr>
                <m:sty m:val="p"/>
              </m:rPr>
              <m:t>−</m:t>
            </m:r>
            <m:r>
              <m:t>1</m:t>
            </m:r>
          </m:sup>
        </m:sSup>
      </m:oMath>
      <w:r>
        <w:t xml:space="preserve">. One may picture the prepared population redistributing in a way that assists the imposed field, so less restoring force remains. At</w:t>
      </w:r>
      <w:r>
        <w:t xml:space="preserve"> </w:t>
      </w:r>
      <m:oMath>
        <m:sSub>
          <m:e>
            <m:r>
              <m:t>λ</m:t>
            </m:r>
          </m:e>
          <m:sub>
            <m:r>
              <m:t>i</m:t>
            </m:r>
          </m:sub>
        </m:sSub>
        <m:r>
          <m:rPr>
            <m:sty m:val="p"/>
          </m:rPr>
          <m:t>=</m:t>
        </m:r>
        <m:r>
          <m:t>1</m:t>
        </m:r>
      </m:oMath>
      <w:r>
        <w:t xml:space="preserve"> </w:t>
      </w:r>
      <w:r>
        <w:t xml:space="preserve">the quadratic restoring term in that mode vanishes and the linear inverse ceases to exist; higher-order terms may still matter, so this statement alone does not diagnose a global phase transition.</w:t>
      </w:r>
    </w:p>
    <w:p>
      <w:pPr>
        <w:pStyle w:val="BodyText"/>
        <w:widowControl/>
      </w:pPr>
      <w:r>
        <w:t xml:space="preserve">Thus fluctuations soften the chosen field stiffness and enhance its static inverse response. This sign follows from allowing the prepared state to relax. Frozen probabilities instead give a linear load energy and no covariance contribution. At the spectral boundary the linear inverse becomes singular. Beyond it the reference stationary point is not a strict local minimum; one must solve the nonlinear problem rather than interpret a negative or divergent linear coefficient as a measured gravitational constant. A finite state sum can coexist with this loss of local stability: finite counting does not remove feedback instabilities.</w:t>
      </w:r>
    </w:p>
    <w:p>
      <w:pPr>
        <w:pStyle w:val="BodyText"/>
        <w:widowControl/>
      </w:pPr>
      <w:r>
        <w:t xml:space="preserve">For a closed graph, an ungrounded Laplacian has a constant zero mode. We either fix a Dirichlet boundary, as in the examples, or restrict to an explicitly specified zero-mean subspace with compatible sources. Applying Eq. (8) to an unreduced singular Laplacian would be invalid. In an arbitrary field domain, a sufficient uniform stability bound is obtained from the directional load ranges:</w:t>
      </w:r>
    </w:p>
    <w:p>
      <w:pPr>
        <w:pStyle w:val="BodyText"/>
        <w:widowControl/>
      </w:pPr>
      <m:oMathPara>
        <m:oMathParaPr>
          <m:jc m:val="center"/>
        </m:oMathParaPr>
        <m:oMath>
          <m:sSup>
            <m:e>
              <m:r>
                <m:t>u</m:t>
              </m:r>
            </m:e>
            <m:sup>
              <m:r>
                <m:t>T</m:t>
              </m:r>
            </m:sup>
          </m:sSup>
          <m:sSub>
            <m:e>
              <m:r>
                <m:t>C</m:t>
              </m:r>
            </m:e>
            <m:sub>
              <m:r>
                <m:t>x</m:t>
              </m:r>
            </m:sub>
          </m:sSub>
          <m:r>
            <m:t>u</m:t>
          </m:r>
          <m:r>
            <m:rPr>
              <m:sty m:val="p"/>
            </m:rPr>
            <m:t>≤</m:t>
          </m:r>
          <m:f>
            <m:fPr>
              <m:type m:val="lin"/>
            </m:fPr>
            <m:num>
              <m:r>
                <m:t>1</m:t>
              </m:r>
            </m:num>
            <m:den>
              <m:r>
                <m:t>4</m:t>
              </m:r>
            </m:den>
          </m:f>
          <m:r>
            <m:rPr>
              <m:sty m:val="p"/>
            </m:rPr>
            <m:t>[</m:t>
          </m:r>
          <m:limLow>
            <m:e>
              <m:r>
                <m:rPr>
                  <m:sty m:val="p"/>
                </m:rPr>
                <m:t>max</m:t>
              </m:r>
            </m:e>
            <m:lim>
              <m:r>
                <m:t>a</m:t>
              </m:r>
            </m:lim>
          </m:limLow>
          <m:d>
            <m:dPr>
              <m:begChr m:val="("/>
              <m:endChr m:val=")"/>
              <m:sepChr m:val=""/>
              <m:grow/>
            </m:dPr>
            <m:e>
              <m:sSup>
                <m:e>
                  <m:r>
                    <m:t>u</m:t>
                  </m:r>
                </m:e>
                <m:sup>
                  <m:r>
                    <m:t>T</m:t>
                  </m:r>
                </m:sup>
              </m:sSup>
              <m:sSub>
                <m:e>
                  <m:r>
                    <m:t>b</m:t>
                  </m:r>
                </m:e>
                <m:sub>
                  <m:r>
                    <m:t>a</m:t>
                  </m:r>
                </m:sub>
              </m:sSub>
            </m:e>
          </m:d>
          <m:r>
            <m:rPr>
              <m:sty m:val="p"/>
            </m:rPr>
            <m:t>−</m:t>
          </m:r>
          <m:limLow>
            <m:e>
              <m:r>
                <m:rPr>
                  <m:sty m:val="p"/>
                </m:rPr>
                <m:t>min</m:t>
              </m:r>
            </m:e>
            <m:lim>
              <m:r>
                <m:t>a</m:t>
              </m:r>
            </m:lim>
          </m:limLow>
          <m:d>
            <m:dPr>
              <m:begChr m:val="("/>
              <m:endChr m:val=")"/>
              <m:sepChr m:val=""/>
              <m:grow/>
            </m:dPr>
            <m:e>
              <m:sSup>
                <m:e>
                  <m:r>
                    <m:t>u</m:t>
                  </m:r>
                </m:e>
                <m:sup>
                  <m:r>
                    <m:t>T</m:t>
                  </m:r>
                </m:sup>
              </m:sSup>
              <m:sSub>
                <m:e>
                  <m:r>
                    <m:t>b</m:t>
                  </m:r>
                </m:e>
                <m:sub>
                  <m:r>
                    <m:t>a</m:t>
                  </m:r>
                </m:sub>
              </m:sSub>
            </m:e>
          </m:d>
          <m:sSup>
            <m:e>
              <m:r>
                <m:rPr>
                  <m:sty m:val="p"/>
                </m:rPr>
                <m:t>]</m:t>
              </m:r>
            </m:e>
            <m:sup>
              <m:r>
                <m:t>2</m:t>
              </m:r>
            </m:sup>
          </m:sSup>
          <m:r>
            <m:rPr>
              <m:sty m:val="p"/>
            </m:rPr>
            <m:t>.</m:t>
          </m:r>
          <m:r>
            <m:t>  </m:t>
          </m:r>
          <m:d>
            <m:dPr>
              <m:begChr m:val="("/>
              <m:endChr m:val=")"/>
              <m:sepChr m:val=""/>
              <m:grow/>
            </m:dPr>
            <m:e>
              <m:r>
                <m:t>9</m:t>
              </m:r>
            </m:e>
          </m:d>
        </m:oMath>
      </m:oMathPara>
    </w:p>
    <w:p>
      <w:pPr>
        <w:pStyle w:val="FirstParagraph"/>
        <w:widowControl/>
      </w:pPr>
      <w:r>
        <w:t xml:space="preserve">To see this, any scalar random variable confined to an interval of width</w:t>
      </w:r>
      <w:r>
        <w:t xml:space="preserve"> </w:t>
      </w:r>
      <m:oMath>
        <m:r>
          <m:t>d</m:t>
        </m:r>
      </m:oMath>
      <w:r>
        <w:t xml:space="preserve"> </w:t>
      </w:r>
      <w:r>
        <w:t xml:space="preserve">has variance at most</w:t>
      </w:r>
      <w:r>
        <w:t xml:space="preserve"> </w:t>
      </w:r>
      <m:oMath>
        <m:sSup>
          <m:e>
            <m:r>
              <m:t>d</m:t>
            </m:r>
          </m:e>
          <m:sup>
            <m:r>
              <m:t>2</m:t>
            </m:r>
          </m:sup>
        </m:sSup>
        <m:r>
          <m:rPr>
            <m:sty m:val="p"/>
          </m:rPr>
          <m:t>/</m:t>
        </m:r>
        <m:r>
          <m:t>4</m:t>
        </m:r>
      </m:oMath>
      <w:r>
        <w:t xml:space="preserve">, since its variance minimizes the mean squared distance to a constant and the interval midpoint has squared distance at most</w:t>
      </w:r>
      <w:r>
        <w:t xml:space="preserve"> </w:t>
      </w:r>
      <m:oMath>
        <m:sSup>
          <m:e>
            <m:r>
              <m:t>d</m:t>
            </m:r>
          </m:e>
          <m:sup>
            <m:r>
              <m:t>2</m:t>
            </m:r>
          </m:sup>
        </m:sSup>
        <m:r>
          <m:rPr>
            <m:sty m:val="p"/>
          </m:rPr>
          <m:t>/</m:t>
        </m:r>
        <m:r>
          <m:t>4</m:t>
        </m:r>
      </m:oMath>
      <w:r>
        <w:t xml:space="preserve">. If</w:t>
      </w:r>
      <w:r>
        <w:t xml:space="preserve"> </w:t>
      </w:r>
      <m:oMath>
        <m:sSup>
          <m:e>
            <m:r>
              <m:t>u</m:t>
            </m:r>
          </m:e>
          <m:sup>
            <m:r>
              <m:t>T</m:t>
            </m:r>
          </m:sup>
        </m:sSup>
        <m:sSub>
          <m:e>
            <m:r>
              <m:t>K</m:t>
            </m:r>
          </m:e>
          <m:sub>
            <m:r>
              <m:t>0</m:t>
            </m:r>
          </m:sub>
        </m:sSub>
        <m:r>
          <m:t>u</m:t>
        </m:r>
      </m:oMath>
      <w:r>
        <w:t xml:space="preserve"> </w:t>
      </w:r>
      <w:r>
        <w:t xml:space="preserve">exceeds</w:t>
      </w:r>
      <w:r>
        <w:t xml:space="preserve"> </w:t>
      </w:r>
      <m:oMath>
        <m:r>
          <m:t>β</m:t>
        </m:r>
        <m:sSup>
          <m:e>
            <m:r>
              <m:t>ϵ</m:t>
            </m:r>
          </m:e>
          <m:sup>
            <m:r>
              <m:t>2</m:t>
            </m:r>
          </m:sup>
        </m:sSup>
      </m:oMath>
      <w:r>
        <w:t xml:space="preserve"> </w:t>
      </w:r>
      <w:r>
        <w:t xml:space="preserve">times this bound for every nonzero</w:t>
      </w:r>
      <w:r>
        <w:t xml:space="preserve"> </w:t>
      </w:r>
      <m:oMath>
        <m:r>
          <m:t>u</m:t>
        </m:r>
      </m:oMath>
      <w:r>
        <w:t xml:space="preserve">, the full functional is strictly convex everywhere. The sharper local criterion in Proposition 2 does not require this stronger global bound.</w:t>
      </w:r>
    </w:p>
    <w:p>
      <w:pPr>
        <w:pStyle w:val="BodyText"/>
        <w:widowControl/>
      </w:pPr>
      <w:r>
        <w:t xml:space="preserve">The clamped construction replaces</w:t>
      </w:r>
      <w:r>
        <w:t xml:space="preserve"> </w:t>
      </w:r>
      <m:oMath>
        <m:sSub>
          <m:e>
            <m:r>
              <m:t>C</m:t>
            </m:r>
          </m:e>
          <m:sub>
            <m:r>
              <m:t>x</m:t>
            </m:r>
          </m:sub>
        </m:sSub>
      </m:oMath>
      <w:r>
        <w:t xml:space="preserve"> </w:t>
      </w:r>
      <w:r>
        <w:t xml:space="preserve">with the weighted sum of within-address covariances. At</w:t>
      </w:r>
      <w:r>
        <w:t xml:space="preserve"> </w:t>
      </w:r>
      <m:oMath>
        <m:r>
          <m:t>x</m:t>
        </m:r>
        <m:r>
          <m:rPr>
            <m:sty m:val="p"/>
          </m:rPr>
          <m:t>=</m:t>
        </m:r>
        <m:r>
          <m:t>0</m:t>
        </m:r>
      </m:oMath>
      <w:r>
        <w:t xml:space="preserve">, the law of total covariance yields</w:t>
      </w:r>
    </w:p>
    <w:p>
      <w:pPr>
        <w:pStyle w:val="BodyText"/>
        <w:widowControl/>
      </w:pPr>
      <m:oMathPara>
        <m:oMathParaPr>
          <m:jc m:val="center"/>
        </m:oMathParaPr>
        <m:oMath>
          <m:sSub>
            <m:e>
              <m:r>
                <m:t>C</m:t>
              </m:r>
            </m:e>
            <m:sub>
              <m:r>
                <m:rPr>
                  <m:sty m:val="p"/>
                </m:rPr>
                <m:t>j</m:t>
              </m:r>
              <m:r>
                <m:rPr>
                  <m:sty m:val="p"/>
                </m:rPr>
                <m:t>o</m:t>
              </m:r>
              <m:r>
                <m:rPr>
                  <m:sty m:val="p"/>
                </m:rPr>
                <m:t>i</m:t>
              </m:r>
              <m:r>
                <m:rPr>
                  <m:sty m:val="p"/>
                </m:rPr>
                <m:t>n</m:t>
              </m:r>
              <m:r>
                <m:rPr>
                  <m:sty m:val="p"/>
                </m:rPr>
                <m:t>t</m:t>
              </m:r>
            </m:sub>
          </m:sSub>
          <m:r>
            <m:rPr>
              <m:sty m:val="p"/>
            </m:rPr>
            <m:t>=</m:t>
          </m:r>
          <m:nary>
            <m:naryPr>
              <m:chr m:val="∑"/>
              <m:limLoc m:val="undOvr"/>
              <m:subHide m:val="off"/>
              <m:supHide m:val="on"/>
            </m:naryPr>
            <m:sub>
              <m:r>
                <m:t>n</m:t>
              </m:r>
            </m:sub>
            <m:sup>
              <m:r>
                <m:t>​</m:t>
              </m:r>
            </m:sup>
            <m:e>
              <m:sSub>
                <m:e>
                  <m:r>
                    <m:t>w</m:t>
                  </m:r>
                </m:e>
                <m:sub>
                  <m:r>
                    <m:t>n</m:t>
                  </m:r>
                </m:sub>
              </m:sSub>
            </m:e>
          </m:nary>
          <m:sSub>
            <m:e>
              <m:r>
                <m:rPr>
                  <m:sty m:val="p"/>
                </m:rPr>
                <m:t>Cov</m:t>
              </m:r>
            </m:e>
            <m:sub>
              <m:sSub>
                <m:e>
                  <m:r>
                    <m:t>r</m:t>
                  </m:r>
                </m:e>
                <m:sub>
                  <m:r>
                    <m:t>n</m:t>
                  </m:r>
                </m:sub>
              </m:sSub>
            </m:sub>
          </m:sSub>
          <m:d>
            <m:dPr>
              <m:begChr m:val="("/>
              <m:endChr m:val=")"/>
              <m:sepChr m:val=""/>
              <m:grow/>
            </m:dPr>
            <m:e>
              <m:sSub>
                <m:e>
                  <m:r>
                    <m:t>b</m:t>
                  </m:r>
                </m:e>
                <m:sub>
                  <m:r>
                    <m:t>n</m:t>
                  </m:r>
                </m:sub>
              </m:sSub>
            </m:e>
          </m:d>
          <m:r>
            <m:rPr>
              <m:sty m:val="p"/>
            </m:rPr>
            <m:t>+</m:t>
          </m:r>
          <m:sSub>
            <m:e>
              <m:r>
                <m:rPr>
                  <m:sty m:val="p"/>
                </m:rPr>
                <m:t>Cov</m:t>
              </m:r>
            </m:e>
            <m:sub>
              <m:r>
                <m:t>w</m:t>
              </m:r>
            </m:sub>
          </m:sSub>
          <m:d>
            <m:dPr>
              <m:begChr m:val="("/>
              <m:endChr m:val=")"/>
              <m:sepChr m:val=""/>
              <m:grow/>
            </m:dPr>
            <m:e>
              <m:r>
                <m:rPr>
                  <m:sty m:val="p"/>
                </m:rPr>
                <m:t>⟨</m:t>
              </m:r>
              <m:sSub>
                <m:e>
                  <m:r>
                    <m:t>b</m:t>
                  </m:r>
                </m:e>
                <m:sub>
                  <m:r>
                    <m:t>n</m:t>
                  </m:r>
                </m:sub>
              </m:sSub>
              <m:sSub>
                <m:e>
                  <m:r>
                    <m:rPr>
                      <m:sty m:val="p"/>
                    </m:rPr>
                    <m:t>⟩</m:t>
                  </m:r>
                </m:e>
                <m:sub>
                  <m:sSub>
                    <m:e>
                      <m:r>
                        <m:t>r</m:t>
                      </m:r>
                    </m:e>
                    <m:sub>
                      <m:r>
                        <m:t>n</m:t>
                      </m:r>
                    </m:sub>
                  </m:sSub>
                </m:sub>
              </m:sSub>
            </m:e>
          </m:d>
          <m:r>
            <m:rPr>
              <m:sty m:val="p"/>
            </m:rPr>
            <m:t>.</m:t>
          </m:r>
          <m:r>
            <m:t>  </m:t>
          </m:r>
          <m:d>
            <m:dPr>
              <m:begChr m:val="("/>
              <m:endChr m:val=")"/>
              <m:sepChr m:val=""/>
              <m:grow/>
            </m:dPr>
            <m:e>
              <m:r>
                <m:t>10</m:t>
              </m:r>
            </m:e>
          </m:d>
        </m:oMath>
      </m:oMathPara>
    </w:p>
    <w:p>
      <w:pPr>
        <w:pStyle w:val="FirstParagraph"/>
        <w:widowControl/>
      </w:pPr>
      <w:r>
        <w:t xml:space="preserve">Hence joint relaxation softens the reference stiffness at least as much as clamped relaxation. This is a conditional comparison at the same reference state, scales and bias. At nonzero fields the two contracts have different address weights and different equilibria, so Eq. (10) is not a license to compare unmatched operating points. Proposition 1 demonstrates that snapshot insufficiency survives either choice.</w:t>
      </w:r>
    </w:p>
    <w:bookmarkEnd w:id="24"/>
    <w:bookmarkStart w:id="25" w:name="what-information-determines-the-response"/>
    <w:p>
      <w:pPr>
        <w:pStyle w:val="Heading1"/>
        <w:widowControl/>
      </w:pPr>
      <w:r>
        <w:t xml:space="preserve">5 What information determines the response</w:t>
      </w:r>
    </w:p>
    <w:p>
      <w:pPr>
        <w:pStyle w:val="FirstParagraph"/>
        <w:widowControl/>
      </w:pPr>
      <w:r>
        <w:t xml:space="preserve">The word information admits several candidates in this setting. The Shannon entropy is</w:t>
      </w:r>
      <w:r>
        <w:t xml:space="preserve"> </w:t>
      </w:r>
      <m:oMath>
        <m:r>
          <m:t>S</m:t>
        </m:r>
        <m:d>
          <m:dPr>
            <m:begChr m:val="("/>
            <m:endChr m:val=")"/>
            <m:sepChr m:val=""/>
            <m:grow/>
          </m:dPr>
          <m:e>
            <m:r>
              <m:t>p</m:t>
            </m:r>
          </m:e>
        </m:d>
        <m:r>
          <m:rPr>
            <m:sty m:val="p"/>
          </m:rPr>
          <m:t>=</m:t>
        </m:r>
        <m:r>
          <m:rPr>
            <m:sty m:val="p"/>
          </m:rPr>
          <m:t>−</m:t>
        </m:r>
        <m:nary>
          <m:naryPr>
            <m:chr m:val="∑"/>
            <m:limLoc m:val="undOvr"/>
            <m:subHide m:val="off"/>
            <m:supHide m:val="on"/>
          </m:naryPr>
          <m:sub>
            <m:r>
              <m:t>a</m:t>
            </m:r>
          </m:sub>
          <m:sup>
            <m:r>
              <m:t>​</m:t>
            </m:r>
          </m:sup>
          <m:e>
            <m:sSub>
              <m:e>
                <m:r>
                  <m:t>p</m:t>
                </m:r>
              </m:e>
              <m:sub>
                <m:r>
                  <m:t>a</m:t>
                </m:r>
              </m:sub>
            </m:sSub>
          </m:e>
        </m:nary>
        <m:r>
          <m:rPr>
            <m:sty m:val="p"/>
          </m:rPr>
          <m:t>log</m:t>
        </m:r>
        <m:sSub>
          <m:e>
            <m:r>
              <m:t>p</m:t>
            </m:r>
          </m:e>
          <m:sub>
            <m:r>
              <m:t>a</m:t>
            </m:r>
          </m:sub>
        </m:sSub>
      </m:oMath>
      <w:r>
        <w:t xml:space="preserve">, in nats. The load mean is</w:t>
      </w:r>
      <w:r>
        <w:t xml:space="preserve"> </w:t>
      </w:r>
      <m:oMath>
        <m:r>
          <m:rPr>
            <m:sty m:val="p"/>
          </m:rPr>
          <m:t>⟨</m:t>
        </m:r>
        <m:r>
          <m:t>b</m:t>
        </m:r>
        <m:sSub>
          <m:e>
            <m:r>
              <m:rPr>
                <m:sty m:val="p"/>
              </m:rPr>
              <m:t>⟩</m:t>
            </m:r>
          </m:e>
          <m:sub>
            <m:r>
              <m:t>p</m:t>
            </m:r>
          </m:sub>
        </m:sSub>
      </m:oMath>
      <w:r>
        <w:t xml:space="preserve">; the response matrix involves</w:t>
      </w:r>
      <w:r>
        <w:t xml:space="preserve"> </w:t>
      </w:r>
      <m:oMath>
        <m:sSub>
          <m:e>
            <m:r>
              <m:t>C</m:t>
            </m:r>
          </m:e>
          <m:sub>
            <m:r>
              <m:t>p</m:t>
            </m:r>
          </m:sub>
        </m:sSub>
      </m:oMath>
      <w:r>
        <w:t xml:space="preserve">. For a fixed alphabet</w:t>
      </w:r>
      <w:r>
        <w:t xml:space="preserve"> </w:t>
      </w:r>
      <m:oMath>
        <m:r>
          <m:t>b</m:t>
        </m:r>
        <m:r>
          <m:rPr>
            <m:sty m:val="p"/>
          </m:rPr>
          <m:t>=</m:t>
        </m:r>
        <m:d>
          <m:dPr>
            <m:begChr m:val="("/>
            <m:endChr m:val=")"/>
            <m:sepChr m:val=""/>
            <m:grow/>
          </m:dPr>
          <m:e>
            <m:r>
              <m:rPr>
                <m:sty m:val="p"/>
              </m:rPr>
              <m:t>−</m:t>
            </m:r>
            <m:r>
              <m:t>2</m:t>
            </m:r>
            <m:r>
              <m:rPr>
                <m:sty m:val="p"/>
              </m:rPr>
              <m:t>,</m:t>
            </m:r>
            <m:r>
              <m:rPr>
                <m:sty m:val="p"/>
              </m:rPr>
              <m:t>−</m:t>
            </m:r>
            <m:r>
              <m:t>1</m:t>
            </m:r>
            <m:r>
              <m:rPr>
                <m:sty m:val="p"/>
              </m:rPr>
              <m:t>,</m:t>
            </m:r>
            <m:r>
              <m:t>1</m:t>
            </m:r>
            <m:r>
              <m:rPr>
                <m:sty m:val="p"/>
              </m:rPr>
              <m:t>,</m:t>
            </m:r>
            <m:r>
              <m:t>2</m:t>
            </m:r>
          </m:e>
        </m:d>
      </m:oMath>
      <w:r>
        <w:t xml:space="preserve">, distributions</w:t>
      </w:r>
      <w:r>
        <w:t xml:space="preserve"> </w:t>
      </w:r>
      <m:oMath>
        <m:d>
          <m:dPr>
            <m:begChr m:val="("/>
            <m:endChr m:val=")"/>
            <m:sepChr m:val=""/>
            <m:grow/>
          </m:dPr>
          <m:e>
            <m:r>
              <m:t>0.1</m:t>
            </m:r>
            <m:r>
              <m:rPr>
                <m:sty m:val="p"/>
              </m:rPr>
              <m:t>,</m:t>
            </m:r>
            <m:r>
              <m:t>0.4</m:t>
            </m:r>
            <m:r>
              <m:rPr>
                <m:sty m:val="p"/>
              </m:rPr>
              <m:t>,</m:t>
            </m:r>
            <m:r>
              <m:t>0.4</m:t>
            </m:r>
            <m:r>
              <m:rPr>
                <m:sty m:val="p"/>
              </m:rPr>
              <m:t>,</m:t>
            </m:r>
            <m:r>
              <m:t>0.1</m:t>
            </m:r>
          </m:e>
        </m:d>
      </m:oMath>
      <w:r>
        <w:t xml:space="preserve"> </w:t>
      </w:r>
      <w:r>
        <w:t xml:space="preserve">and</w:t>
      </w:r>
      <w:r>
        <w:t xml:space="preserve"> </w:t>
      </w:r>
      <m:oMath>
        <m:d>
          <m:dPr>
            <m:begChr m:val="("/>
            <m:endChr m:val=")"/>
            <m:sepChr m:val=""/>
            <m:grow/>
          </m:dPr>
          <m:e>
            <m:r>
              <m:t>0.4</m:t>
            </m:r>
            <m:r>
              <m:rPr>
                <m:sty m:val="p"/>
              </m:rPr>
              <m:t>,</m:t>
            </m:r>
            <m:r>
              <m:t>0.1</m:t>
            </m:r>
            <m:r>
              <m:rPr>
                <m:sty m:val="p"/>
              </m:rPr>
              <m:t>,</m:t>
            </m:r>
            <m:r>
              <m:t>0.1</m:t>
            </m:r>
            <m:r>
              <m:rPr>
                <m:sty m:val="p"/>
              </m:rPr>
              <m:t>,</m:t>
            </m:r>
            <m:r>
              <m:t>0.4</m:t>
            </m:r>
          </m:e>
        </m:d>
      </m:oMath>
      <w:r>
        <w:t xml:space="preserve"> </w:t>
      </w:r>
      <w:r>
        <w:t xml:space="preserve">have the same entropy and zero mean, but variances</w:t>
      </w:r>
      <w:r>
        <w:t xml:space="preserve"> </w:t>
      </w:r>
      <m:oMath>
        <m:r>
          <m:t>1.6</m:t>
        </m:r>
      </m:oMath>
      <w:r>
        <w:t xml:space="preserve"> </w:t>
      </w:r>
      <w:r>
        <w:t xml:space="preserve">and</w:t>
      </w:r>
      <w:r>
        <w:t xml:space="preserve"> </w:t>
      </w:r>
      <m:oMath>
        <m:r>
          <m:t>3.4</m:t>
        </m:r>
      </m:oMath>
      <w:r>
        <w:t xml:space="preserve">. At fixed</w:t>
      </w:r>
      <w:r>
        <w:t xml:space="preserve"> </w:t>
      </w:r>
      <m:oMath>
        <m:sSub>
          <m:e>
            <m:r>
              <m:t>K</m:t>
            </m:r>
          </m:e>
          <m:sub>
            <m:r>
              <m:t>0</m:t>
            </m:r>
          </m:sub>
        </m:sSub>
        <m:r>
          <m:rPr>
            <m:sty m:val="p"/>
          </m:rPr>
          <m:t>,</m:t>
        </m:r>
        <m:r>
          <m:t>β</m:t>
        </m:r>
        <m:r>
          <m:rPr>
            <m:sty m:val="p"/>
          </m:rPr>
          <m:t>,</m:t>
        </m:r>
        <m:r>
          <m:t>ϵ</m:t>
        </m:r>
      </m:oMath>
      <w:r>
        <w:t xml:space="preserve">, they therefore have different response. This is a comparison of two prepared reference states, not two distinct canonical equilibria of one unchanged nondegenerate Hamiltonian at the same temperature.</w:t>
      </w:r>
    </w:p>
    <w:p>
      <w:pPr>
        <w:pStyle w:val="BodyText"/>
        <w:widowControl/>
      </w:pPr>
      <w:r>
        <w:t xml:space="preserve">The Gibbs family nevertheless has a precise information-geometric interpretation. Its classical Fisher information in the coordinates</w:t>
      </w:r>
      <w:r>
        <w:t xml:space="preserve"> </w:t>
      </w:r>
      <m:oMath>
        <m:r>
          <m:t>x</m:t>
        </m:r>
      </m:oMath>
      <w:r>
        <w:t xml:space="preserve"> </w:t>
      </w:r>
      <w:r>
        <w:t xml:space="preserve">is</w:t>
      </w:r>
      <w:r>
        <w:t xml:space="preserve"> </w:t>
      </w:r>
      <m:oMath>
        <m:sSup>
          <m:e>
            <m:r>
              <m:t>β</m:t>
            </m:r>
          </m:e>
          <m:sup>
            <m:r>
              <m:t>2</m:t>
            </m:r>
          </m:sup>
        </m:sSup>
        <m:sSup>
          <m:e>
            <m:r>
              <m:t>ϵ</m:t>
            </m:r>
          </m:e>
          <m:sup>
            <m:r>
              <m:t>2</m:t>
            </m:r>
          </m:sup>
        </m:sSup>
        <m:sSub>
          <m:e>
            <m:r>
              <m:t>C</m:t>
            </m:r>
          </m:e>
          <m:sub>
            <m:r>
              <m:t>x</m:t>
            </m:r>
          </m:sub>
        </m:sSub>
      </m:oMath>
      <w:r>
        <w:t xml:space="preserve">. Thus the curvature of distinguishability is proportional to the load-induced stiffness correction. The scalar entropy itself is insufficient. This identity uses a specified family of probability changes; changing the load alphabet or the preparation rule changes the family and its metric.</w:t>
      </w:r>
    </w:p>
    <w:p>
      <w:pPr>
        <w:pStyle w:val="BodyText"/>
        <w:widowControl/>
      </w:pPr>
      <w:r>
        <w:t xml:space="preserve">At one operating point under the joint contract, normalization, the first load moments and the symmetric second load moments determine Eq. (8). For arbitrary distributions on the finite alphabet, form the row matrix with entries</w:t>
      </w:r>
      <w:r>
        <w:t xml:space="preserve"> </w:t>
      </w:r>
      <m:oMath>
        <m:r>
          <m:t>1</m:t>
        </m:r>
      </m:oMath>
      <w:r>
        <w:t xml:space="preserve">,</w:t>
      </w:r>
      <w:r>
        <w:t xml:space="preserve"> </w:t>
      </w:r>
      <m:oMath>
        <m:sSub>
          <m:e>
            <m:r>
              <m:t>b</m:t>
            </m:r>
          </m:e>
          <m:sub>
            <m:r>
              <m:t>i</m:t>
            </m:r>
          </m:sub>
        </m:sSub>
      </m:oMath>
      <w:r>
        <w:t xml:space="preserve"> </w:t>
      </w:r>
      <w:r>
        <w:t xml:space="preserve">and</w:t>
      </w:r>
      <w:r>
        <w:t xml:space="preserve"> </w:t>
      </w:r>
      <m:oMath>
        <m:sSub>
          <m:e>
            <m:r>
              <m:t>b</m:t>
            </m:r>
          </m:e>
          <m:sub>
            <m:r>
              <m:t>i</m:t>
            </m:r>
          </m:sub>
        </m:sSub>
        <m:sSub>
          <m:e>
            <m:r>
              <m:t>b</m:t>
            </m:r>
          </m:e>
          <m:sub>
            <m:r>
              <m:t>j</m:t>
            </m:r>
          </m:sub>
        </m:sSub>
      </m:oMath>
      <w:r>
        <w:t xml:space="preserve"> </w:t>
      </w:r>
      <w:r>
        <w:t xml:space="preserve">for</w:t>
      </w:r>
      <w:r>
        <w:t xml:space="preserve"> </w:t>
      </w:r>
      <m:oMath>
        <m:r>
          <m:t>i</m:t>
        </m:r>
        <m:r>
          <m:rPr>
            <m:sty m:val="p"/>
          </m:rPr>
          <m:t>≤</m:t>
        </m:r>
        <m:r>
          <m:t>j</m:t>
        </m:r>
      </m:oMath>
      <w:r>
        <w:t xml:space="preserve">. Its rank, minus the known normalization direction, counts the variable linear coordinates needed to preserve this full moment family on the interior of the simplex. Some rows may be dependent, so the count need not equal the number of listed moments. The usual null-space argument proves necessity: an omitted independent row admits opposite sufficiently small interior perturbations with unchanged retained coordinates and a changed target moment. This statement concerns the full joint moment family, not a claim that every individual response scalar needs every moment.</w:t>
      </w:r>
    </w:p>
    <w:p>
      <w:pPr>
        <w:pStyle w:val="BodyText"/>
        <w:widowControl/>
      </w:pPr>
      <w:r>
        <w:t xml:space="preserve">For clamped addresses, the required covariance is</w:t>
      </w:r>
      <w:r>
        <w:t xml:space="preserve"> </w:t>
      </w:r>
      <m:oMath>
        <m:sSub>
          <m:e>
            <m:r>
              <m:t>C</m:t>
            </m:r>
          </m:e>
          <m:sub>
            <m:r>
              <m:rPr>
                <m:sty m:val="p"/>
              </m:rPr>
              <m:t>c</m:t>
            </m:r>
            <m:r>
              <m:rPr>
                <m:sty m:val="p"/>
              </m:rPr>
              <m:t>l</m:t>
            </m:r>
          </m:sub>
        </m:sSub>
        <m:r>
          <m:rPr>
            <m:sty m:val="p"/>
          </m:rPr>
          <m:t>=</m:t>
        </m:r>
        <m:nary>
          <m:naryPr>
            <m:chr m:val="∑"/>
            <m:limLoc m:val="undOvr"/>
            <m:subHide m:val="off"/>
            <m:supHide m:val="on"/>
          </m:naryPr>
          <m:sub>
            <m:r>
              <m:t>n</m:t>
            </m:r>
          </m:sub>
          <m:sup>
            <m:r>
              <m:t>​</m:t>
            </m:r>
          </m:sup>
          <m:e>
            <m:sSub>
              <m:e>
                <m:r>
                  <m:t>w</m:t>
                </m:r>
              </m:e>
              <m:sub>
                <m:r>
                  <m:t>n</m:t>
                </m:r>
              </m:sub>
            </m:sSub>
          </m:e>
        </m:nary>
        <m:d>
          <m:dPr>
            <m:begChr m:val="["/>
            <m:endChr m:val="]"/>
            <m:sepChr m:val=""/>
            <m:grow/>
          </m:dPr>
          <m:e>
            <m:r>
              <m:rPr>
                <m:sty m:val="p"/>
              </m:rPr>
              <m:t>⟨</m:t>
            </m:r>
            <m:sSub>
              <m:e>
                <m:r>
                  <m:t>b</m:t>
                </m:r>
              </m:e>
              <m:sub>
                <m:r>
                  <m:t>n</m:t>
                </m:r>
              </m:sub>
            </m:sSub>
            <m:sSubSup>
              <m:e>
                <m:r>
                  <m:t>b</m:t>
                </m:r>
              </m:e>
              <m:sub>
                <m:r>
                  <m:t>n</m:t>
                </m:r>
              </m:sub>
              <m:sup>
                <m:r>
                  <m:t>T</m:t>
                </m:r>
              </m:sup>
            </m:sSubSup>
            <m:r>
              <m:rPr>
                <m:sty m:val="p"/>
              </m:rPr>
              <m:t>⟩</m:t>
            </m:r>
            <m:r>
              <m:rPr>
                <m:sty m:val="p"/>
              </m:rPr>
              <m:t>−</m:t>
            </m:r>
            <m:sSub>
              <m:e>
                <m:r>
                  <m:t>μ</m:t>
                </m:r>
              </m:e>
              <m:sub>
                <m:r>
                  <m:t>n</m:t>
                </m:r>
              </m:sub>
            </m:sSub>
            <m:sSubSup>
              <m:e>
                <m:r>
                  <m:t>μ</m:t>
                </m:r>
              </m:e>
              <m:sub>
                <m:r>
                  <m:t>n</m:t>
                </m:r>
              </m:sub>
              <m:sup>
                <m:r>
                  <m:t>T</m:t>
                </m:r>
              </m:sup>
            </m:sSubSup>
          </m:e>
        </m:d>
      </m:oMath>
      <w:r>
        <w:t xml:space="preserve">, where</w:t>
      </w:r>
      <w:r>
        <w:t xml:space="preserve"> </w:t>
      </w:r>
      <m:oMath>
        <m:sSub>
          <m:e>
            <m:r>
              <m:t>μ</m:t>
            </m:r>
          </m:e>
          <m:sub>
            <m:r>
              <m:t>n</m:t>
            </m:r>
          </m:sub>
        </m:sSub>
        <m:r>
          <m:rPr>
            <m:sty m:val="p"/>
          </m:rPr>
          <m:t>=</m:t>
        </m:r>
        <m:r>
          <m:rPr>
            <m:sty m:val="p"/>
          </m:rPr>
          <m:t>⟨</m:t>
        </m:r>
        <m:sSub>
          <m:e>
            <m:r>
              <m:t>b</m:t>
            </m:r>
          </m:e>
          <m:sub>
            <m:r>
              <m:t>n</m:t>
            </m:r>
          </m:sub>
        </m:sSub>
        <m:r>
          <m:rPr>
            <m:sty m:val="p"/>
          </m:rPr>
          <m:t>⟩</m:t>
        </m:r>
      </m:oMath>
      <w:r>
        <w:t xml:space="preserve">. Global second moments alone do not determine the subtraction</w:t>
      </w:r>
      <w:r>
        <w:t xml:space="preserve"> </w:t>
      </w:r>
      <m:oMath>
        <m:nary>
          <m:naryPr>
            <m:chr m:val="∑"/>
            <m:limLoc m:val="undOvr"/>
            <m:subHide m:val="off"/>
            <m:supHide m:val="on"/>
          </m:naryPr>
          <m:sub>
            <m:r>
              <m:t>n</m:t>
            </m:r>
          </m:sub>
          <m:sup>
            <m:r>
              <m:t>​</m:t>
            </m:r>
          </m:sup>
          <m:e>
            <m:sSub>
              <m:e>
                <m:r>
                  <m:t>w</m:t>
                </m:r>
              </m:e>
              <m:sub>
                <m:r>
                  <m:t>n</m:t>
                </m:r>
              </m:sub>
            </m:sSub>
          </m:e>
        </m:nary>
        <m:sSub>
          <m:e>
            <m:r>
              <m:t>μ</m:t>
            </m:r>
          </m:e>
          <m:sub>
            <m:r>
              <m:t>n</m:t>
            </m:r>
          </m:sub>
        </m:sSub>
        <m:sSubSup>
          <m:e>
            <m:r>
              <m:t>μ</m:t>
            </m:r>
          </m:e>
          <m:sub>
            <m:r>
              <m:t>n</m:t>
            </m:r>
          </m:sub>
          <m:sup>
            <m:r>
              <m:t>T</m:t>
            </m:r>
          </m:sup>
        </m:sSubSup>
      </m:oMath>
      <w:r>
        <w:t xml:space="preserve">. A sufficient linear microscopic representation retains the conditional first and second moments at each address, together with</w:t>
      </w:r>
      <w:r>
        <w:t xml:space="preserve"> </w:t>
      </w:r>
      <m:oMath>
        <m:sSub>
          <m:e>
            <m:r>
              <m:t>w</m:t>
            </m:r>
          </m:e>
          <m:sub>
            <m:r>
              <m:t>n</m:t>
            </m:r>
          </m:sub>
        </m:sSub>
      </m:oMath>
      <w:r>
        <w:t xml:space="preserve">; a task-specific nonlinear cache may instead retain the final covariance itself. We assert no minimum dimension for this clamped representation.</w:t>
      </w:r>
    </w:p>
    <w:p>
      <w:pPr>
        <w:pStyle w:val="BodyText"/>
        <w:widowControl/>
      </w:pPr>
      <w:r>
        <w:rPr>
          <w:bCs/>
          <w:b/>
        </w:rPr>
        <w:t xml:space="preserve">A stronger separation of the two contracts.</w:t>
      </w:r>
      <w:r>
        <w:t xml:space="preserve"> </w:t>
      </w:r>
      <w:r>
        <w:t xml:space="preserve">Take two addresses of equal weight, each with load alphabet</w:t>
      </w:r>
      <w:r>
        <w:t xml:space="preserve"> </w:t>
      </w:r>
      <m:oMath>
        <m:d>
          <m:dPr>
            <m:begChr m:val="("/>
            <m:endChr m:val=")"/>
            <m:sepChr m:val=""/>
            <m:grow/>
          </m:dPr>
          <m:e>
            <m:r>
              <m:t>0</m:t>
            </m:r>
            <m:r>
              <m:rPr>
                <m:sty m:val="p"/>
              </m:rPr>
              <m:t>,</m:t>
            </m:r>
            <m:r>
              <m:t>2</m:t>
            </m:r>
          </m:e>
        </m:d>
      </m:oMath>
      <w:r>
        <w:t xml:space="preserve">. Preparation A has conditional probabilities</w:t>
      </w:r>
      <w:r>
        <w:t xml:space="preserve"> </w:t>
      </w:r>
      <m:oMath>
        <m:d>
          <m:dPr>
            <m:begChr m:val="("/>
            <m:endChr m:val=")"/>
            <m:sepChr m:val=""/>
            <m:grow/>
          </m:dPr>
          <m:e>
            <m:r>
              <m:t>1</m:t>
            </m:r>
            <m:r>
              <m:rPr>
                <m:sty m:val="p"/>
              </m:rPr>
              <m:t>/</m:t>
            </m:r>
            <m:r>
              <m:t>2</m:t>
            </m:r>
            <m:r>
              <m:rPr>
                <m:sty m:val="p"/>
              </m:rPr>
              <m:t>,</m:t>
            </m:r>
            <m:r>
              <m:t>1</m:t>
            </m:r>
            <m:r>
              <m:rPr>
                <m:sty m:val="p"/>
              </m:rPr>
              <m:t>/</m:t>
            </m:r>
            <m:r>
              <m:t>2</m:t>
            </m:r>
          </m:e>
        </m:d>
      </m:oMath>
      <w:r>
        <w:t xml:space="preserve"> </w:t>
      </w:r>
      <w:r>
        <w:t xml:space="preserve">at both addresses. Preparation B has</w:t>
      </w:r>
      <w:r>
        <w:t xml:space="preserve"> </w:t>
      </w:r>
      <m:oMath>
        <m:d>
          <m:dPr>
            <m:begChr m:val="("/>
            <m:endChr m:val=")"/>
            <m:sepChr m:val=""/>
            <m:grow/>
          </m:dPr>
          <m:e>
            <m:r>
              <m:t>0.8</m:t>
            </m:r>
            <m:r>
              <m:rPr>
                <m:sty m:val="p"/>
              </m:rPr>
              <m:t>,</m:t>
            </m:r>
            <m:r>
              <m:t>0.2</m:t>
            </m:r>
          </m:e>
        </m:d>
      </m:oMath>
      <w:r>
        <w:t xml:space="preserve"> </w:t>
      </w:r>
      <w:r>
        <w:t xml:space="preserve">at the first and</w:t>
      </w:r>
      <w:r>
        <w:t xml:space="preserve"> </w:t>
      </w:r>
      <m:oMath>
        <m:d>
          <m:dPr>
            <m:begChr m:val="("/>
            <m:endChr m:val=")"/>
            <m:sepChr m:val=""/>
            <m:grow/>
          </m:dPr>
          <m:e>
            <m:r>
              <m:t>0.2</m:t>
            </m:r>
            <m:r>
              <m:rPr>
                <m:sty m:val="p"/>
              </m:rPr>
              <m:t>,</m:t>
            </m:r>
            <m:r>
              <m:t>0.8</m:t>
            </m:r>
          </m:e>
        </m:d>
      </m:oMath>
      <w:r>
        <w:t xml:space="preserve"> </w:t>
      </w:r>
      <w:r>
        <w:t xml:space="preserve">at the second. Their entire global load distribution is identical, so their joint partition functions agree for every field. Their clamped variances are nevertheless</w:t>
      </w:r>
      <w:r>
        <w:t xml:space="preserve"> </w:t>
      </w:r>
      <m:oMath>
        <m:r>
          <m:t>1</m:t>
        </m:r>
      </m:oMath>
      <w:r>
        <w:t xml:space="preserve"> </w:t>
      </w:r>
      <w:r>
        <w:t xml:space="preserve">and</w:t>
      </w:r>
      <w:r>
        <w:t xml:space="preserve"> </w:t>
      </w:r>
      <m:oMath>
        <m:r>
          <m:t>0.64</m:t>
        </m:r>
      </m:oMath>
      <w:r>
        <w:t xml:space="preserve">. Thus even exact global load-class compression can lose the clamped susceptibility. This elementary example proves that a preparation constraint is part of the sufficient-description contract, not a detail that can be restored from a globally compressed state.</w:t>
      </w:r>
    </w:p>
    <w:p>
      <w:pPr>
        <w:pStyle w:val="BodyText"/>
        <w:widowControl/>
      </w:pPr>
      <w:r>
        <w:t xml:space="preserve">Exact finite-field prediction demands more information. Partition the labels into</w:t>
      </w:r>
      <w:r>
        <w:t xml:space="preserve"> </w:t>
      </w:r>
      <m:oMath>
        <m:r>
          <m:t>r</m:t>
        </m:r>
      </m:oMath>
      <w:r>
        <w:t xml:space="preserve"> </w:t>
      </w:r>
      <w:r>
        <w:t xml:space="preserve">nonempty classes with distinct common load vectors</w:t>
      </w:r>
      <w:r>
        <w:t xml:space="preserve"> </w:t>
      </w:r>
      <m:oMath>
        <m:sSub>
          <m:e>
            <m:r>
              <m:t>c</m:t>
            </m:r>
          </m:e>
          <m:sub>
            <m:r>
              <m:rPr>
                <m:sty m:val="p"/>
              </m:rPr>
              <m:t>ℓ</m:t>
            </m:r>
          </m:sub>
        </m:sSub>
      </m:oMath>
      <w:r>
        <w:t xml:space="preserve">, and let</w:t>
      </w:r>
      <w:r>
        <w:t xml:space="preserve"> </w:t>
      </w:r>
      <m:oMath>
        <m:sSub>
          <m:e>
            <m:r>
              <m:t>q</m:t>
            </m:r>
          </m:e>
          <m:sub>
            <m:r>
              <m:rPr>
                <m:sty m:val="p"/>
              </m:rPr>
              <m:t>ℓ</m:t>
            </m:r>
          </m:sub>
        </m:sSub>
        <m:r>
          <m:rPr>
            <m:sty m:val="p"/>
          </m:rPr>
          <m:t>=</m:t>
        </m:r>
        <m:nary>
          <m:naryPr>
            <m:chr m:val="∑"/>
            <m:limLoc m:val="undOvr"/>
            <m:subHide m:val="off"/>
            <m:supHide m:val="on"/>
          </m:naryPr>
          <m:sub>
            <m:r>
              <m:t>a</m:t>
            </m:r>
            <m:r>
              <m:rPr>
                <m:sty m:val="p"/>
              </m:rPr>
              <m:t>:</m:t>
            </m:r>
            <m:sSub>
              <m:e>
                <m:r>
                  <m:t>b</m:t>
                </m:r>
              </m:e>
              <m:sub>
                <m:r>
                  <m:t>a</m:t>
                </m:r>
              </m:sub>
            </m:sSub>
            <m:r>
              <m:rPr>
                <m:sty m:val="p"/>
              </m:rPr>
              <m:t>=</m:t>
            </m:r>
            <m:sSub>
              <m:e>
                <m:r>
                  <m:t>c</m:t>
                </m:r>
              </m:e>
              <m:sub>
                <m:r>
                  <m:rPr>
                    <m:sty m:val="p"/>
                  </m:rPr>
                  <m:t>ℓ</m:t>
                </m:r>
              </m:sub>
            </m:sSub>
          </m:sub>
          <m:sup>
            <m:r>
              <m:t>​</m:t>
            </m:r>
          </m:sup>
          <m:e>
            <m:sSub>
              <m:e>
                <m:r>
                  <m:t>p</m:t>
                </m:r>
              </m:e>
              <m:sub>
                <m:r>
                  <m:t>a</m:t>
                </m:r>
              </m:sub>
            </m:sSub>
          </m:e>
        </m:nary>
      </m:oMath>
      <w:r>
        <w:t xml:space="preserve">. Then</w:t>
      </w:r>
    </w:p>
    <w:p>
      <w:pPr>
        <w:pStyle w:val="BodyText"/>
        <w:widowControl/>
      </w:pPr>
      <m:oMathPara>
        <m:oMathParaPr>
          <m:jc m:val="center"/>
        </m:oMathParaPr>
        <m:oMath>
          <m:sSub>
            <m:e>
              <m:r>
                <m:t>Z</m:t>
              </m:r>
            </m:e>
            <m:sub>
              <m:r>
                <m:t>p</m:t>
              </m:r>
            </m:sub>
          </m:sSub>
          <m:d>
            <m:dPr>
              <m:begChr m:val="("/>
              <m:endChr m:val=")"/>
              <m:sepChr m:val=""/>
              <m:grow/>
            </m:dPr>
            <m:e>
              <m:r>
                <m:t>x</m:t>
              </m:r>
            </m:e>
          </m:d>
          <m:r>
            <m:rPr>
              <m:sty m:val="p"/>
            </m:rPr>
            <m:t>=</m:t>
          </m:r>
          <m:nary>
            <m:naryPr>
              <m:chr m:val="∑"/>
              <m:limLoc m:val="undOvr"/>
              <m:subHide m:val="off"/>
              <m:supHide m:val="off"/>
            </m:naryPr>
            <m:sub>
              <m:r>
                <m:rPr>
                  <m:sty m:val="p"/>
                </m:rPr>
                <m:t>ℓ</m:t>
              </m:r>
              <m:r>
                <m:rPr>
                  <m:sty m:val="p"/>
                </m:rPr>
                <m:t>=</m:t>
              </m:r>
              <m:r>
                <m:t>1</m:t>
              </m:r>
            </m:sub>
            <m:sup>
              <m:r>
                <m:t>r</m:t>
              </m:r>
            </m:sup>
            <m:e>
              <m:sSub>
                <m:e>
                  <m:r>
                    <m:t>q</m:t>
                  </m:r>
                </m:e>
                <m:sub>
                  <m:r>
                    <m:rPr>
                      <m:sty m:val="p"/>
                    </m:rPr>
                    <m:t>ℓ</m:t>
                  </m:r>
                </m:sub>
              </m:sSub>
            </m:e>
          </m:nary>
          <m:sSup>
            <m:e>
              <m:r>
                <m:t>e</m:t>
              </m:r>
            </m:e>
            <m:sup>
              <m:r>
                <m:rPr>
                  <m:sty m:val="p"/>
                </m:rPr>
                <m:t>−</m:t>
              </m:r>
              <m:r>
                <m:t>β</m:t>
              </m:r>
              <m:r>
                <m:t>ϵ</m:t>
              </m:r>
              <m:sSubSup>
                <m:e>
                  <m:r>
                    <m:t>c</m:t>
                  </m:r>
                </m:e>
                <m:sub>
                  <m:r>
                    <m:rPr>
                      <m:sty m:val="p"/>
                    </m:rPr>
                    <m:t>ℓ</m:t>
                  </m:r>
                </m:sub>
                <m:sup>
                  <m:r>
                    <m:t>T</m:t>
                  </m:r>
                </m:sup>
              </m:sSubSup>
              <m:r>
                <m:t>x</m:t>
              </m:r>
            </m:sup>
          </m:sSup>
          <m:r>
            <m:rPr>
              <m:sty m:val="p"/>
            </m:rPr>
            <m:t>.</m:t>
          </m:r>
          <m:r>
            <m:t>  </m:t>
          </m:r>
          <m:d>
            <m:dPr>
              <m:begChr m:val="("/>
              <m:endChr m:val=")"/>
              <m:sepChr m:val=""/>
              <m:grow/>
            </m:dPr>
            <m:e>
              <m:r>
                <m:t>11</m:t>
              </m:r>
            </m:e>
          </m:d>
        </m:oMath>
      </m:oMathPara>
    </w:p>
    <w:p>
      <w:pPr>
        <w:pStyle w:val="FirstParagraph"/>
        <w:widowControl/>
      </w:pPr>
      <w:r>
        <w:rPr>
          <w:bCs/>
          <w:b/>
        </w:rPr>
        <w:t xml:space="preserve">Proposition 3.</w:t>
      </w:r>
      <w:r>
        <w:t xml:space="preserve"> </w:t>
      </w:r>
      <w:r>
        <w:t xml:space="preserve">With fixed distinct load vectors and positive normalized class masses, the</w:t>
      </w:r>
      <w:r>
        <w:t xml:space="preserve"> </w:t>
      </w:r>
      <m:oMath>
        <m:r>
          <m:t>r</m:t>
        </m:r>
      </m:oMath>
      <w:r>
        <w:t xml:space="preserve"> </w:t>
      </w:r>
      <w:r>
        <w:t xml:space="preserve">class masses determine the partition function and all its derivatives on every finite field domain. Conversely, agreement of the partition functions on a nonempty open subset of</w:t>
      </w:r>
      <w:r>
        <w:t xml:space="preserve"> </w:t>
      </w:r>
      <m:oMath>
        <m:sSup>
          <m:e>
            <m:r>
              <m:rPr>
                <m:sty m:val="p"/>
                <m:scr m:val="double-struck"/>
              </m:rPr>
              <m:t>R</m:t>
            </m:r>
          </m:e>
          <m:sup>
            <m:r>
              <m:t>m</m:t>
            </m:r>
          </m:sup>
        </m:sSup>
      </m:oMath>
      <w:r>
        <w:t xml:space="preserve"> </w:t>
      </w:r>
      <w:r>
        <w:t xml:space="preserve">implies agreement of all class masses. Any exact linear encoding for this full family needs at least</w:t>
      </w:r>
      <w:r>
        <w:t xml:space="preserve"> </w:t>
      </w:r>
      <m:oMath>
        <m:r>
          <m:t>r</m:t>
        </m:r>
        <m:r>
          <m:rPr>
            <m:sty m:val="p"/>
          </m:rPr>
          <m:t>−</m:t>
        </m:r>
        <m:r>
          <m:t>1</m:t>
        </m:r>
      </m:oMath>
      <w:r>
        <w:t xml:space="preserve"> </w:t>
      </w:r>
      <w:r>
        <w:t xml:space="preserve">variable real coordinates; this number suffices together with known normalization.</w:t>
      </w:r>
    </w:p>
    <w:p>
      <w:pPr>
        <w:pStyle w:val="BodyText"/>
        <w:widowControl/>
      </w:pPr>
      <w:r>
        <w:rPr>
          <w:bCs/>
          <w:b/>
        </w:rPr>
        <w:t xml:space="preserve">Proof.</w:t>
      </w:r>
      <w:r>
        <w:t xml:space="preserve"> </w:t>
      </w:r>
      <w:r>
        <w:t xml:space="preserve">Sufficiency follows by grouping the finite sum. For necessity choose a direction</w:t>
      </w:r>
      <w:r>
        <w:t xml:space="preserve"> </w:t>
      </w:r>
      <m:oMath>
        <m:r>
          <m:t>u</m:t>
        </m:r>
      </m:oMath>
      <w:r>
        <w:t xml:space="preserve"> </w:t>
      </w:r>
      <w:r>
        <w:t xml:space="preserve">avoiding the finite union of hyperplanes</w:t>
      </w:r>
      <w:r>
        <w:t xml:space="preserve"> </w:t>
      </w:r>
      <m:oMath>
        <m:sSup>
          <m:e>
            <m:d>
              <m:dPr>
                <m:begChr m:val="("/>
                <m:endChr m:val=")"/>
                <m:sepChr m:val=""/>
                <m:grow/>
              </m:dPr>
              <m:e>
                <m:sSub>
                  <m:e>
                    <m:r>
                      <m:t>c</m:t>
                    </m:r>
                  </m:e>
                  <m:sub>
                    <m:r>
                      <m:rPr>
                        <m:sty m:val="p"/>
                      </m:rPr>
                      <m:t>ℓ</m:t>
                    </m:r>
                  </m:sub>
                </m:sSub>
                <m:r>
                  <m:rPr>
                    <m:sty m:val="p"/>
                  </m:rPr>
                  <m:t>−</m:t>
                </m:r>
                <m:sSub>
                  <m:e>
                    <m:r>
                      <m:t>c</m:t>
                    </m:r>
                  </m:e>
                  <m:sub>
                    <m:r>
                      <m:t>k</m:t>
                    </m:r>
                  </m:sub>
                </m:sSub>
              </m:e>
            </m:d>
          </m:e>
          <m:sup>
            <m:r>
              <m:t>T</m:t>
            </m:r>
          </m:sup>
        </m:sSup>
        <m:r>
          <m:t>u</m:t>
        </m:r>
        <m:r>
          <m:rPr>
            <m:sty m:val="p"/>
          </m:rPr>
          <m:t>=</m:t>
        </m:r>
        <m:r>
          <m:t>0</m:t>
        </m:r>
      </m:oMath>
      <w:r>
        <w:t xml:space="preserve">. Restrict equality to a line segment inside the open set. Differentiating orders</w:t>
      </w:r>
      <w:r>
        <w:t xml:space="preserve"> </w:t>
      </w:r>
      <m:oMath>
        <m:r>
          <m:t>0</m:t>
        </m:r>
      </m:oMath>
      <w:r>
        <w:t xml:space="preserve"> </w:t>
      </w:r>
      <w:r>
        <w:t xml:space="preserve">through</w:t>
      </w:r>
      <w:r>
        <w:t xml:space="preserve"> </w:t>
      </w:r>
      <m:oMath>
        <m:r>
          <m:t>r</m:t>
        </m:r>
        <m:r>
          <m:rPr>
            <m:sty m:val="p"/>
          </m:rPr>
          <m:t>−</m:t>
        </m:r>
        <m:r>
          <m:t>1</m:t>
        </m:r>
      </m:oMath>
      <w:r>
        <w:t xml:space="preserve"> </w:t>
      </w:r>
      <w:r>
        <w:t xml:space="preserve">at an interior point gives a Vandermonde system in the distinct numbers</w:t>
      </w:r>
      <w:r>
        <w:t xml:space="preserve"> </w:t>
      </w:r>
      <m:oMath>
        <m:sSubSup>
          <m:e>
            <m:r>
              <m:t>c</m:t>
            </m:r>
          </m:e>
          <m:sub>
            <m:r>
              <m:rPr>
                <m:sty m:val="p"/>
              </m:rPr>
              <m:t>ℓ</m:t>
            </m:r>
          </m:sub>
          <m:sup>
            <m:r>
              <m:t>T</m:t>
            </m:r>
          </m:sup>
        </m:sSubSup>
        <m:r>
          <m:t>u</m:t>
        </m:r>
      </m:oMath>
      <w:r>
        <w:t xml:space="preserve">, multiplied by nonzero exponential factors. Every coefficient difference therefore vanishes. The interior of the normalized class simplex has dimension</w:t>
      </w:r>
      <w:r>
        <w:t xml:space="preserve"> </w:t>
      </w:r>
      <m:oMath>
        <m:r>
          <m:t>r</m:t>
        </m:r>
        <m:r>
          <m:rPr>
            <m:sty m:val="p"/>
          </m:rPr>
          <m:t>−</m:t>
        </m:r>
        <m:r>
          <m:t>1</m:t>
        </m:r>
      </m:oMath>
      <w:r>
        <w:t xml:space="preserve">; a lower-rank linear encoding has a nonzero tangent kernel, yielding two nearby positive mass vectors with the same code but different partition functions. Storing the first</w:t>
      </w:r>
      <w:r>
        <w:t xml:space="preserve"> </w:t>
      </w:r>
      <m:oMath>
        <m:r>
          <m:t>r</m:t>
        </m:r>
        <m:r>
          <m:rPr>
            <m:sty m:val="p"/>
          </m:rPr>
          <m:t>−</m:t>
        </m:r>
        <m:r>
          <m:t>1</m:t>
        </m:r>
      </m:oMath>
      <w:r>
        <w:t xml:space="preserve"> </w:t>
      </w:r>
      <w:r>
        <w:t xml:space="preserve">masses and reconstructing the last from normalization attains the bound.</w:t>
      </w:r>
      <w:r>
        <w:t xml:space="preserve"> </w:t>
      </w:r>
      <m:oMath>
        <m:r>
          <m:rPr>
            <m:sty m:val="p"/>
          </m:rPr>
          <m:t>▫</m:t>
        </m:r>
      </m:oMath>
    </w:p>
    <w:p>
      <w:pPr>
        <w:pStyle w:val="BodyText"/>
        <w:widowControl/>
      </w:pPr>
      <w:r>
        <w:t xml:space="preserve">This minimality is for exact linear encoding of the entire partition family on an open domain, with the load alphabet already known. It is not a bound on all possible nonlinear algorithms, approximate representations, or one-point response storage. A finite set of measurements can have a smaller sufficient encoding. Moreover, Eq. (11) applies to joint relaxation; for the clamped sum of logarithms one may safely retain each address’s conditional load-class masses and its fixed weight. We make no minimality claim for that alternative, whose factorization can have additional degeneracies.</w:t>
      </w:r>
    </w:p>
    <w:bookmarkEnd w:id="25"/>
    <w:bookmarkStart w:id="26" w:name="X23da3a9cb06842c676eb136329420bfda6fdd73"/>
    <w:p>
      <w:pPr>
        <w:pStyle w:val="Heading1"/>
        <w:widowControl/>
      </w:pPr>
      <w:r>
        <w:t xml:space="preserve">6 When the response can be called a gravitational coupling</w:t>
      </w:r>
    </w:p>
    <w:p>
      <w:pPr>
        <w:pStyle w:val="FirstParagraph"/>
        <w:widowControl/>
      </w:pPr>
      <w:r>
        <w:t xml:space="preserve">For a physical interpretation, let</w:t>
      </w:r>
      <w:r>
        <w:t xml:space="preserve"> </w:t>
      </w:r>
      <m:oMath>
        <m:sSub>
          <m:e>
            <m:r>
              <m:t>x</m:t>
            </m:r>
          </m:e>
          <m:sub>
            <m:r>
              <m:t>i</m:t>
            </m:r>
          </m:sub>
        </m:sSub>
        <m:r>
          <m:rPr>
            <m:sty m:val="p"/>
          </m:rPr>
          <m:t>=</m:t>
        </m:r>
        <m:sSub>
          <m:e>
            <m:r>
              <m:t>Φ</m:t>
            </m:r>
          </m:e>
          <m:sub>
            <m:r>
              <m:t>i</m:t>
            </m:r>
          </m:sub>
        </m:sSub>
        <m:r>
          <m:rPr>
            <m:sty m:val="p"/>
          </m:rPr>
          <m:t>/</m:t>
        </m:r>
        <m:sSup>
          <m:e>
            <m:r>
              <m:t>c</m:t>
            </m:r>
          </m:e>
          <m:sup>
            <m:r>
              <m:t>2</m:t>
            </m:r>
          </m:sup>
        </m:sSup>
      </m:oMath>
      <w:r>
        <w:t xml:space="preserve"> </w:t>
      </w:r>
      <w:r>
        <w:t xml:space="preserve">be dimensionless weak gravitational potentials in fixed basis functions. A discretization of the positive Newtonian field functional has</w:t>
      </w:r>
      <w:r>
        <w:t xml:space="preserve"> </w:t>
      </w:r>
      <m:oMath>
        <m:sSub>
          <m:e>
            <m:r>
              <m:t>K</m:t>
            </m:r>
          </m:e>
          <m:sub>
            <m:r>
              <m:t>0</m:t>
            </m:r>
          </m:sub>
        </m:sSub>
      </m:oMath>
      <w:r>
        <w:t xml:space="preserve"> </w:t>
      </w:r>
      <w:r>
        <w:t xml:space="preserve">proportional to</w:t>
      </w:r>
      <w:r>
        <w:t xml:space="preserve"> </w:t>
      </w:r>
      <m:oMath>
        <m:sSup>
          <m:e>
            <m:r>
              <m:t>c</m:t>
            </m:r>
          </m:e>
          <m:sup>
            <m:r>
              <m:t>4</m:t>
            </m:r>
          </m:sup>
        </m:sSup>
        <m:r>
          <m:rPr>
            <m:sty m:val="p"/>
          </m:rPr>
          <m:t>/</m:t>
        </m:r>
        <m:sSub>
          <m:e>
            <m:r>
              <m:t>G</m:t>
            </m:r>
          </m:e>
          <m:sub>
            <m:r>
              <m:t>0</m:t>
            </m:r>
          </m:sub>
        </m:sSub>
      </m:oMath>
      <w:r>
        <w:t xml:space="preserve"> </w:t>
      </w:r>
      <w:r>
        <w:t xml:space="preserve">times a geometric stiffness with length units. The source term approximates the mass-energy coupling</w:t>
      </w:r>
      <w:r>
        <w:t xml:space="preserve"> </w:t>
      </w:r>
      <m:oMath>
        <m:r>
          <m:rPr>
            <m:sty m:val="p"/>
          </m:rPr>
          <m:t>∫</m:t>
        </m:r>
        <m:sSub>
          <m:e>
            <m:r>
              <m:t>ρ</m:t>
            </m:r>
          </m:e>
          <m:sub>
            <m:r>
              <m:t>m</m:t>
            </m:r>
          </m:sub>
        </m:sSub>
        <m:r>
          <m:t>Φ</m:t>
        </m:r>
        <m:r>
          <m:t> </m:t>
        </m:r>
        <m:sSup>
          <m:e>
            <m:r>
              <m:t>d</m:t>
            </m:r>
          </m:e>
          <m:sup>
            <m:r>
              <m:t>3</m:t>
            </m:r>
          </m:sup>
        </m:sSup>
        <m:r>
          <m:t>r</m:t>
        </m:r>
      </m:oMath>
      <w:r>
        <w:t xml:space="preserve">, with</w:t>
      </w:r>
      <w:r>
        <w:t xml:space="preserve"> </w:t>
      </w:r>
      <m:oMath>
        <m:sSub>
          <m:e>
            <m:r>
              <m:t>j</m:t>
            </m:r>
          </m:e>
          <m:sub>
            <m:r>
              <m:t>i</m:t>
            </m:r>
          </m:sub>
        </m:sSub>
      </m:oMath>
      <w:r>
        <w:t xml:space="preserve"> </w:t>
      </w:r>
      <w:r>
        <w:t xml:space="preserve">in energy units. Variation of the continuum expression</w:t>
      </w:r>
      <w:r>
        <w:t xml:space="preserve"> </w:t>
      </w:r>
      <m:oMath>
        <m:r>
          <m:rPr>
            <m:sty m:val="p"/>
          </m:rPr>
          <m:t>∫</m:t>
        </m:r>
        <m:sSup>
          <m:e>
            <m:d>
              <m:dPr>
                <m:begChr m:val="|"/>
                <m:endChr m:val="|"/>
                <m:sepChr m:val=""/>
                <m:grow/>
              </m:dPr>
              <m:e>
                <m:r>
                  <m:rPr>
                    <m:sty m:val="p"/>
                  </m:rPr>
                  <m:t>∇</m:t>
                </m:r>
                <m:r>
                  <m:t>Φ</m:t>
                </m:r>
              </m:e>
            </m:d>
          </m:e>
          <m:sup>
            <m:r>
              <m:t>2</m:t>
            </m:r>
          </m:sup>
        </m:sSup>
        <m:r>
          <m:rPr>
            <m:sty m:val="p"/>
          </m:rPr>
          <m:t>/</m:t>
        </m:r>
        <m:d>
          <m:dPr>
            <m:begChr m:val="("/>
            <m:endChr m:val=")"/>
            <m:sepChr m:val=""/>
            <m:grow/>
          </m:dPr>
          <m:e>
            <m:r>
              <m:t>8</m:t>
            </m:r>
            <m:r>
              <m:t>π</m:t>
            </m:r>
            <m:sSub>
              <m:e>
                <m:r>
                  <m:t>G</m:t>
                </m:r>
              </m:e>
              <m:sub>
                <m:r>
                  <m:t>0</m:t>
                </m:r>
              </m:sub>
            </m:sSub>
          </m:e>
        </m:d>
        <m:r>
          <m:t> </m:t>
        </m:r>
        <m:sSup>
          <m:e>
            <m:r>
              <m:t>d</m:t>
            </m:r>
          </m:e>
          <m:sup>
            <m:r>
              <m:t>3</m:t>
            </m:r>
          </m:sup>
        </m:sSup>
        <m:r>
          <m:t>r</m:t>
        </m:r>
        <m:r>
          <m:rPr>
            <m:sty m:val="p"/>
          </m:rPr>
          <m:t>+</m:t>
        </m:r>
        <m:r>
          <m:rPr>
            <m:sty m:val="p"/>
          </m:rPr>
          <m:t>∫</m:t>
        </m:r>
        <m:sSub>
          <m:e>
            <m:r>
              <m:t>ρ</m:t>
            </m:r>
          </m:e>
          <m:sub>
            <m:r>
              <m:t>m</m:t>
            </m:r>
          </m:sub>
        </m:sSub>
        <m:r>
          <m:t>Φ</m:t>
        </m:r>
        <m:r>
          <m:t> </m:t>
        </m:r>
        <m:sSup>
          <m:e>
            <m:r>
              <m:t>d</m:t>
            </m:r>
          </m:e>
          <m:sup>
            <m:r>
              <m:t>3</m:t>
            </m:r>
          </m:sup>
        </m:sSup>
        <m:r>
          <m:t>r</m:t>
        </m:r>
      </m:oMath>
      <w:r>
        <w:t xml:space="preserve"> </w:t>
      </w:r>
      <w:r>
        <w:t xml:space="preserve">gives</w:t>
      </w:r>
      <w:r>
        <w:t xml:space="preserve"> </w:t>
      </w:r>
      <m:oMath>
        <m:sSup>
          <m:e>
            <m:r>
              <m:rPr>
                <m:sty m:val="p"/>
              </m:rPr>
              <m:t>∇</m:t>
            </m:r>
          </m:e>
          <m:sup>
            <m:r>
              <m:t>2</m:t>
            </m:r>
          </m:sup>
        </m:sSup>
        <m:r>
          <m:t>Φ</m:t>
        </m:r>
        <m:r>
          <m:rPr>
            <m:sty m:val="p"/>
          </m:rPr>
          <m:t>=</m:t>
        </m:r>
        <m:r>
          <m:t>4</m:t>
        </m:r>
        <m:r>
          <m:t>π</m:t>
        </m:r>
        <m:sSub>
          <m:e>
            <m:r>
              <m:t>G</m:t>
            </m:r>
          </m:e>
          <m:sub>
            <m:r>
              <m:t>0</m:t>
            </m:r>
          </m:sub>
        </m:sSub>
        <m:sSub>
          <m:e>
            <m:r>
              <m:t>ρ</m:t>
            </m:r>
          </m:e>
          <m:sub>
            <m:r>
              <m:t>m</m:t>
            </m:r>
          </m:sub>
        </m:sSub>
      </m:oMath>
      <w:r>
        <w:t xml:space="preserve"> </w:t>
      </w:r>
      <w:r>
        <w:t xml:space="preserve">for fixed boundary data. We adopt this weak-field bridge as a constitutive ansatz; no continuum limit or spacetime geometry follows from our finite addresses alone.</w:t>
      </w:r>
    </w:p>
    <w:p>
      <w:pPr>
        <w:pStyle w:val="BodyText"/>
        <w:widowControl/>
      </w:pPr>
      <w:r>
        <w:t xml:space="preserve">The new microscopic assumption is that the chosen information load shifts energy by</w:t>
      </w:r>
      <w:r>
        <w:t xml:space="preserve"> </w:t>
      </w:r>
      <m:oMath>
        <m:r>
          <m:t>ϵ</m:t>
        </m:r>
        <m:sSubSup>
          <m:e>
            <m:r>
              <m:t>b</m:t>
            </m:r>
          </m:e>
          <m:sub>
            <m:r>
              <m:t>a</m:t>
            </m:r>
          </m:sub>
          <m:sup>
            <m:r>
              <m:t>T</m:t>
            </m:r>
          </m:sup>
        </m:sSubSup>
        <m:r>
          <m:t>x</m:t>
        </m:r>
      </m:oMath>
      <w:r>
        <w:t xml:space="preserve">. Interpreting</w:t>
      </w:r>
      <w:r>
        <w:t xml:space="preserve"> </w:t>
      </w:r>
      <m:oMath>
        <m:r>
          <m:t>ϵ</m:t>
        </m:r>
        <m:sSub>
          <m:e>
            <m:r>
              <m:t>b</m:t>
            </m:r>
          </m:e>
          <m:sub>
            <m:r>
              <m:t>a</m:t>
            </m:r>
          </m:sub>
        </m:sSub>
      </m:oMath>
      <w:r>
        <w:t xml:space="preserve"> </w:t>
      </w:r>
      <w:r>
        <w:t xml:space="preserve">as a gravitational source is a stipulated effective bridge, not a consequence of its thermodynamic baseline energy. We have not established equivalence of inertial mass, total energy and this charge. Accordingly the calculation is a conditional weak-field response model that can be tested as such, not a derivation of universal gravitational coupling. For a fixed probe vector</w:t>
      </w:r>
      <w:r>
        <w:t xml:space="preserve"> </w:t>
      </w:r>
      <m:oMath>
        <m:r>
          <m:t>u</m:t>
        </m:r>
      </m:oMath>
      <w:r>
        <w:t xml:space="preserve">, define the dimensionless enhancement</w:t>
      </w:r>
    </w:p>
    <w:p>
      <w:pPr>
        <w:pStyle w:val="BodyText"/>
        <w:widowControl/>
      </w:pPr>
      <m:oMathPara>
        <m:oMathParaPr>
          <m:jc m:val="center"/>
        </m:oMathParaPr>
        <m:oMath>
          <m:r>
            <m:t>γ</m:t>
          </m:r>
          <m:d>
            <m:dPr>
              <m:begChr m:val="("/>
              <m:endChr m:val=")"/>
              <m:sepChr m:val=""/>
              <m:grow/>
            </m:dPr>
            <m:e>
              <m:r>
                <m:t>u</m:t>
              </m:r>
            </m:e>
          </m:d>
          <m:r>
            <m:rPr>
              <m:sty m:val="p"/>
            </m:rPr>
            <m:t>=</m:t>
          </m:r>
          <m:f>
            <m:fPr>
              <m:type m:val="bar"/>
            </m:fPr>
            <m:num>
              <m:sSup>
                <m:e>
                  <m:r>
                    <m:t>u</m:t>
                  </m:r>
                </m:e>
                <m:sup>
                  <m:r>
                    <m:t>T</m:t>
                  </m:r>
                </m:sup>
              </m:sSup>
              <m:r>
                <m:t>R</m:t>
              </m:r>
              <m:r>
                <m:t>u</m:t>
              </m:r>
            </m:num>
            <m:den>
              <m:sSup>
                <m:e>
                  <m:r>
                    <m:t>u</m:t>
                  </m:r>
                </m:e>
                <m:sup>
                  <m:r>
                    <m:t>T</m:t>
                  </m:r>
                </m:sup>
              </m:sSup>
              <m:sSubSup>
                <m:e>
                  <m:r>
                    <m:t>K</m:t>
                  </m:r>
                </m:e>
                <m:sub>
                  <m:r>
                    <m:t>0</m:t>
                  </m:r>
                </m:sub>
                <m:sup>
                  <m:r>
                    <m:rPr>
                      <m:sty m:val="p"/>
                    </m:rPr>
                    <m:t>−</m:t>
                  </m:r>
                  <m:r>
                    <m:t>1</m:t>
                  </m:r>
                </m:sup>
              </m:sSubSup>
              <m:r>
                <m:t>u</m:t>
              </m:r>
            </m:den>
          </m:f>
          <m:r>
            <m:rPr>
              <m:sty m:val="p"/>
            </m:rPr>
            <m:t>,</m:t>
          </m:r>
          <m:r>
            <m:t>  </m:t>
          </m:r>
          <m:sSub>
            <m:e>
              <m:r>
                <m:t>G</m:t>
              </m:r>
            </m:e>
            <m:sub>
              <m:r>
                <m:rPr>
                  <m:sty m:val="p"/>
                </m:rPr>
                <m:t>e</m:t>
              </m:r>
              <m:r>
                <m:rPr>
                  <m:sty m:val="p"/>
                </m:rPr>
                <m:t>f</m:t>
              </m:r>
              <m:r>
                <m:rPr>
                  <m:sty m:val="p"/>
                </m:rPr>
                <m:t>f</m:t>
              </m:r>
            </m:sub>
          </m:sSub>
          <m:d>
            <m:dPr>
              <m:begChr m:val="("/>
              <m:endChr m:val=")"/>
              <m:sepChr m:val=""/>
              <m:grow/>
            </m:dPr>
            <m:e>
              <m:r>
                <m:t>u</m:t>
              </m:r>
            </m:e>
          </m:d>
          <m:r>
            <m:rPr>
              <m:sty m:val="p"/>
            </m:rPr>
            <m:t>=</m:t>
          </m:r>
          <m:sSub>
            <m:e>
              <m:r>
                <m:t>G</m:t>
              </m:r>
            </m:e>
            <m:sub>
              <m:r>
                <m:t>0</m:t>
              </m:r>
            </m:sub>
          </m:sSub>
          <m:r>
            <m:t>γ</m:t>
          </m:r>
          <m:d>
            <m:dPr>
              <m:begChr m:val="("/>
              <m:endChr m:val=")"/>
              <m:sepChr m:val=""/>
              <m:grow/>
            </m:dPr>
            <m:e>
              <m:r>
                <m:t>u</m:t>
              </m:r>
            </m:e>
          </m:d>
          <m:r>
            <m:rPr>
              <m:sty m:val="p"/>
            </m:rPr>
            <m:t>.</m:t>
          </m:r>
          <m:r>
            <m:t>  </m:t>
          </m:r>
          <m:d>
            <m:dPr>
              <m:begChr m:val="("/>
              <m:endChr m:val=")"/>
              <m:sepChr m:val=""/>
              <m:grow/>
            </m:dPr>
            <m:e>
              <m:r>
                <m:t>12</m:t>
              </m:r>
            </m:e>
          </m:d>
        </m:oMath>
      </m:oMathPara>
    </w:p>
    <w:p>
      <w:pPr>
        <w:pStyle w:val="FirstParagraph"/>
        <w:widowControl/>
      </w:pPr>
      <w:r>
        <w:t xml:space="preserve">This definition measures a conjugate source-and-readout response with the same vector on both sides. It does not assert that arbitrary off-diagonal transfer elements increase, that a force obeys an inverse-square law on an arbitrary graph, or that the probe-dependent quantity is a new universal constant.</w:t>
      </w:r>
    </w:p>
    <w:p>
      <w:pPr>
        <w:pStyle w:val="BodyText"/>
        <w:widowControl/>
      </w:pPr>
      <w:r>
        <w:rPr>
          <w:bCs/>
          <w:b/>
        </w:rPr>
        <w:t xml:space="preserve">Proposition 4.</w:t>
      </w:r>
      <w:r>
        <w:t xml:space="preserve"> </w:t>
      </w:r>
      <w:r>
        <w:t xml:space="preserve">The full response can be replaced by one scalar</w:t>
      </w:r>
      <w:r>
        <w:t xml:space="preserve"> </w:t>
      </w:r>
      <m:oMath>
        <m:sSub>
          <m:e>
            <m:r>
              <m:t>G</m:t>
            </m:r>
          </m:e>
          <m:sub>
            <m:r>
              <m:rPr>
                <m:sty m:val="p"/>
              </m:rPr>
              <m:t>e</m:t>
            </m:r>
            <m:r>
              <m:rPr>
                <m:sty m:val="p"/>
              </m:rPr>
              <m:t>f</m:t>
            </m:r>
            <m:r>
              <m:rPr>
                <m:sty m:val="p"/>
              </m:rPr>
              <m:t>f</m:t>
            </m:r>
          </m:sub>
        </m:sSub>
        <m:r>
          <m:rPr>
            <m:sty m:val="p"/>
          </m:rPr>
          <m:t>=</m:t>
        </m:r>
        <m:r>
          <m:t>γ</m:t>
        </m:r>
        <m:sSub>
          <m:e>
            <m:r>
              <m:t>G</m:t>
            </m:r>
          </m:e>
          <m:sub>
            <m:r>
              <m:t>0</m:t>
            </m:r>
          </m:sub>
        </m:sSub>
      </m:oMath>
      <w:r>
        <w:t xml:space="preserve"> </w:t>
      </w:r>
      <w:r>
        <w:t xml:space="preserve">at the operating point if and only if</w:t>
      </w:r>
    </w:p>
    <w:p>
      <w:pPr>
        <w:pStyle w:val="BodyText"/>
        <w:widowControl/>
      </w:pPr>
      <m:oMathPara>
        <m:oMathParaPr>
          <m:jc m:val="center"/>
        </m:oMathParaPr>
        <m:oMath>
          <m:r>
            <m:t>R</m:t>
          </m:r>
          <m:r>
            <m:rPr>
              <m:sty m:val="p"/>
            </m:rPr>
            <m:t>=</m:t>
          </m:r>
          <m:r>
            <m:t>γ</m:t>
          </m:r>
          <m:sSubSup>
            <m:e>
              <m:r>
                <m:t>K</m:t>
              </m:r>
            </m:e>
            <m:sub>
              <m:r>
                <m:t>0</m:t>
              </m:r>
            </m:sub>
            <m:sup>
              <m:r>
                <m:rPr>
                  <m:sty m:val="p"/>
                </m:rPr>
                <m:t>−</m:t>
              </m:r>
              <m:r>
                <m:t>1</m:t>
              </m:r>
            </m:sup>
          </m:sSubSup>
          <m:r>
            <m:t> </m:t>
          </m:r>
          <m:r>
            <m:rPr>
              <m:sty m:val="p"/>
            </m:rPr>
            <m:t>⇔</m:t>
          </m:r>
          <m:r>
            <m:t> </m:t>
          </m:r>
          <m:r>
            <m:t>β</m:t>
          </m:r>
          <m:sSup>
            <m:e>
              <m:r>
                <m:t>ϵ</m:t>
              </m:r>
            </m:e>
            <m:sup>
              <m:r>
                <m:t>2</m:t>
              </m:r>
            </m:sup>
          </m:sSup>
          <m:r>
            <m:t>C</m:t>
          </m:r>
          <m:r>
            <m:rPr>
              <m:sty m:val="p"/>
            </m:rPr>
            <m:t>=</m:t>
          </m:r>
          <m:d>
            <m:dPr>
              <m:begChr m:val="("/>
              <m:endChr m:val=")"/>
              <m:sepChr m:val=""/>
              <m:grow/>
            </m:dPr>
            <m:e>
              <m:r>
                <m:t>1</m:t>
              </m:r>
              <m:r>
                <m:rPr>
                  <m:sty m:val="p"/>
                </m:rPr>
                <m:t>−</m:t>
              </m:r>
              <m:sSup>
                <m:e>
                  <m:r>
                    <m:t>γ</m:t>
                  </m:r>
                </m:e>
                <m:sup>
                  <m:r>
                    <m:rPr>
                      <m:sty m:val="p"/>
                    </m:rPr>
                    <m:t>−</m:t>
                  </m:r>
                  <m:r>
                    <m:t>1</m:t>
                  </m:r>
                </m:sup>
              </m:sSup>
            </m:e>
          </m:d>
          <m:sSub>
            <m:e>
              <m:r>
                <m:t>K</m:t>
              </m:r>
            </m:e>
            <m:sub>
              <m:r>
                <m:t>0</m:t>
              </m:r>
            </m:sub>
          </m:sSub>
          <m:r>
            <m:rPr>
              <m:sty m:val="p"/>
            </m:rPr>
            <m:t>.</m:t>
          </m:r>
          <m:r>
            <m:t>  </m:t>
          </m:r>
          <m:d>
            <m:dPr>
              <m:begChr m:val="("/>
              <m:endChr m:val=")"/>
              <m:sepChr m:val=""/>
              <m:grow/>
            </m:dPr>
            <m:e>
              <m:r>
                <m:t>13</m:t>
              </m:r>
            </m:e>
          </m:d>
        </m:oMath>
      </m:oMathPara>
    </w:p>
    <w:p>
      <w:pPr>
        <w:pStyle w:val="FirstParagraph"/>
        <w:widowControl/>
      </w:pPr>
      <w:r>
        <w:rPr>
          <w:bCs/>
          <w:b/>
        </w:rPr>
        <w:t xml:space="preserve">Proof.</w:t>
      </w:r>
      <w:r>
        <w:t xml:space="preserve"> </w:t>
      </w:r>
      <w:r>
        <w:t xml:space="preserve">Invert the positive definite matrices and subtract</w:t>
      </w:r>
      <w:r>
        <w:t xml:space="preserve"> </w:t>
      </w:r>
      <m:oMath>
        <m:r>
          <m:t>K</m:t>
        </m:r>
      </m:oMath>
      <w:r>
        <w:t xml:space="preserve"> </w:t>
      </w:r>
      <w:r>
        <w:t xml:space="preserve">from</w:t>
      </w:r>
      <w:r>
        <w:t xml:space="preserve"> </w:t>
      </w:r>
      <m:oMath>
        <m:sSub>
          <m:e>
            <m:r>
              <m:t>K</m:t>
            </m:r>
          </m:e>
          <m:sub>
            <m:r>
              <m:t>0</m:t>
            </m:r>
          </m:sub>
        </m:sSub>
      </m:oMath>
      <w:r>
        <w:t xml:space="preserve">. Conversely the proportionality yields the displayed inverse. Equivalently, constant quadratic ratios for all</w:t>
      </w:r>
      <w:r>
        <w:t xml:space="preserve"> </w:t>
      </w:r>
      <m:oMath>
        <m:r>
          <m:t>u</m:t>
        </m:r>
      </m:oMath>
      <w:r>
        <w:t xml:space="preserve"> </w:t>
      </w:r>
      <w:r>
        <w:t xml:space="preserve">imply matrix equality by polarization. In the stable domain</w:t>
      </w:r>
      <w:r>
        <w:t xml:space="preserve"> </w:t>
      </w:r>
      <m:oMath>
        <m:r>
          <m:t>γ</m:t>
        </m:r>
        <m:r>
          <m:rPr>
            <m:sty m:val="p"/>
          </m:rPr>
          <m:t>≥</m:t>
        </m:r>
        <m:r>
          <m:t>1</m:t>
        </m:r>
      </m:oMath>
      <w:r>
        <w:t xml:space="preserve">.</w:t>
      </w:r>
      <w:r>
        <w:t xml:space="preserve"> </w:t>
      </w:r>
      <m:oMath>
        <m:r>
          <m:rPr>
            <m:sty m:val="p"/>
          </m:rPr>
          <m:t>▫</m:t>
        </m:r>
      </m:oMath>
    </w:p>
    <w:p>
      <w:pPr>
        <w:pStyle w:val="BodyText"/>
        <w:widowControl/>
      </w:pPr>
      <w:r>
        <w:t xml:space="preserve">Outside this special proportional case, the eigenvalues of</w:t>
      </w:r>
      <w:r>
        <w:t xml:space="preserve"> </w:t>
      </w:r>
      <m:oMath>
        <m:r>
          <m:t>M</m:t>
        </m:r>
      </m:oMath>
      <w:r>
        <w:t xml:space="preserve"> </w:t>
      </w:r>
      <w:r>
        <w:t xml:space="preserve">determine different gains</w:t>
      </w:r>
      <w:r>
        <w:t xml:space="preserve"> </w:t>
      </w:r>
      <m:oMath>
        <m:sSup>
          <m:e>
            <m:d>
              <m:dPr>
                <m:begChr m:val="("/>
                <m:endChr m:val=")"/>
                <m:sepChr m:val=""/>
                <m:grow/>
              </m:dPr>
              <m:e>
                <m:r>
                  <m:t>1</m:t>
                </m:r>
                <m:r>
                  <m:rPr>
                    <m:sty m:val="p"/>
                  </m:rPr>
                  <m:t>−</m:t>
                </m:r>
                <m:sSub>
                  <m:e>
                    <m:r>
                      <m:t>λ</m:t>
                    </m:r>
                  </m:e>
                  <m:sub>
                    <m:r>
                      <m:t>i</m:t>
                    </m:r>
                  </m:sub>
                </m:sSub>
              </m:e>
            </m:d>
          </m:e>
          <m:sup>
            <m:r>
              <m:rPr>
                <m:sty m:val="p"/>
              </m:rPr>
              <m:t>−</m:t>
            </m:r>
            <m:r>
              <m:t>1</m:t>
            </m:r>
          </m:sup>
        </m:sSup>
      </m:oMath>
      <w:r>
        <w:t xml:space="preserve">. Matching one mode cannot justify a universal scalar replacement. Even where Eq. (13) holds locally, higher derivatives of the finite Gibbs free energy can break it away from the reference field. Thus the model supplies an effective response kernel first, with a scalar coupling only as a restricted consequence.</w:t>
      </w:r>
    </w:p>
    <w:p>
      <w:pPr>
        <w:pStyle w:val="BodyText"/>
        <w:widowControl/>
      </w:pPr>
      <w:r>
        <w:t xml:space="preserve">The dimensional limitation can be made exact. Rescale</w:t>
      </w:r>
      <w:r>
        <w:t xml:space="preserve"> </w:t>
      </w:r>
      <m:oMath>
        <m:sSub>
          <m:e>
            <m:r>
              <m:t>K</m:t>
            </m:r>
          </m:e>
          <m:sub>
            <m:r>
              <m:t>0</m:t>
            </m:r>
          </m:sub>
        </m:sSub>
        <m:r>
          <m:rPr>
            <m:sty m:val="p"/>
          </m:rPr>
          <m:t>,</m:t>
        </m:r>
        <m:r>
          <m:t>ϵ</m:t>
        </m:r>
        <m:r>
          <m:rPr>
            <m:sty m:val="p"/>
          </m:rPr>
          <m:t>,</m:t>
        </m:r>
        <m:r>
          <m:t>j</m:t>
        </m:r>
      </m:oMath>
      <w:r>
        <w:t xml:space="preserve"> </w:t>
      </w:r>
      <w:r>
        <w:t xml:space="preserve">by a common positive factor</w:t>
      </w:r>
      <w:r>
        <w:t xml:space="preserve"> </w:t>
      </w:r>
      <m:oMath>
        <m:r>
          <m:t>s</m:t>
        </m:r>
      </m:oMath>
      <w:r>
        <w:t xml:space="preserve"> </w:t>
      </w:r>
      <w:r>
        <w:t xml:space="preserve">and</w:t>
      </w:r>
      <w:r>
        <w:t xml:space="preserve"> </w:t>
      </w:r>
      <m:oMath>
        <m:r>
          <m:t>β</m:t>
        </m:r>
      </m:oMath>
      <w:r>
        <w:t xml:space="preserve"> </w:t>
      </w:r>
      <w:r>
        <w:t xml:space="preserve">by</w:t>
      </w:r>
      <w:r>
        <w:t xml:space="preserve"> </w:t>
      </w:r>
      <m:oMath>
        <m:r>
          <m:t>1</m:t>
        </m:r>
        <m:r>
          <m:rPr>
            <m:sty m:val="p"/>
          </m:rPr>
          <m:t>/</m:t>
        </m:r>
        <m:r>
          <m:t>s</m:t>
        </m:r>
      </m:oMath>
      <w:r>
        <w:t xml:space="preserve">. The probability family and</w:t>
      </w:r>
      <w:r>
        <w:t xml:space="preserve"> </w:t>
      </w:r>
      <m:oMath>
        <m:r>
          <m:t>M</m:t>
        </m:r>
      </m:oMath>
      <w:r>
        <w:t xml:space="preserve"> </w:t>
      </w:r>
      <w:r>
        <w:t xml:space="preserve">are unchanged, whereas</w:t>
      </w:r>
      <w:r>
        <w:t xml:space="preserve"> </w:t>
      </w:r>
      <m:oMath>
        <m:r>
          <m:t>R</m:t>
        </m:r>
      </m:oMath>
      <w:r>
        <w:t xml:space="preserve"> </w:t>
      </w:r>
      <w:r>
        <w:t xml:space="preserve">is divided by</w:t>
      </w:r>
      <w:r>
        <w:t xml:space="preserve"> </w:t>
      </w:r>
      <m:oMath>
        <m:r>
          <m:t>s</m:t>
        </m:r>
      </m:oMath>
      <w:r>
        <w:t xml:space="preserve">. Dimensionless address data therefore cannot select an absolute energy stiffness. With the geometry and</w:t>
      </w:r>
      <w:r>
        <w:t xml:space="preserve"> </w:t>
      </w:r>
      <m:oMath>
        <m:r>
          <m:t>c</m:t>
        </m:r>
      </m:oMath>
      <w:r>
        <w:t xml:space="preserve"> </w:t>
      </w:r>
      <w:r>
        <w:t xml:space="preserve">fixed, the corresponding baseline</w:t>
      </w:r>
      <w:r>
        <w:t xml:space="preserve"> </w:t>
      </w:r>
      <m:oMath>
        <m:sSub>
          <m:e>
            <m:r>
              <m:t>G</m:t>
            </m:r>
          </m:e>
          <m:sub>
            <m:r>
              <m:t>0</m:t>
            </m:r>
          </m:sub>
        </m:sSub>
      </m:oMath>
      <w:r>
        <w:t xml:space="preserve"> </w:t>
      </w:r>
      <w:r>
        <w:t xml:space="preserve">also changes. Fixing a legitimate empirical calibration removes this ambiguity and leaves calculable relative responses, but it is not an independent derivation of</w:t>
      </w:r>
      <w:r>
        <w:t xml:space="preserve"> </w:t>
      </w:r>
      <m:oMath>
        <m:sSub>
          <m:e>
            <m:r>
              <m:t>G</m:t>
            </m:r>
          </m:e>
          <m:sub>
            <m:r>
              <m:t>0</m:t>
            </m:r>
          </m:sub>
        </m:sSub>
      </m:oMath>
      <w:r>
        <w:t xml:space="preserve">. The same limitation prevents finiteness alone from determining a dimensional cosmological constant.</w:t>
      </w:r>
    </w:p>
    <w:bookmarkEnd w:id="26"/>
    <w:bookmarkStart w:id="27" w:name="eliminating-unobserved-field-coordinates"/>
    <w:p>
      <w:pPr>
        <w:pStyle w:val="Heading1"/>
        <w:widowControl/>
      </w:pPr>
      <w:r>
        <w:t xml:space="preserve">7 Eliminating unobserved field coordinates</w:t>
      </w:r>
    </w:p>
    <w:p>
      <w:pPr>
        <w:pStyle w:val="FirstParagraph"/>
        <w:widowControl/>
      </w:pPr>
      <w:r>
        <w:t xml:space="preserve">Coarse graining must preserve the source as well as the stiffness. At a stable operating point, write the quadratic perturbation functional in observed coordinates</w:t>
      </w:r>
      <w:r>
        <w:t xml:space="preserve"> </w:t>
      </w:r>
      <m:oMath>
        <m:r>
          <m:t>y</m:t>
        </m:r>
      </m:oMath>
      <w:r>
        <w:t xml:space="preserve"> </w:t>
      </w:r>
      <w:r>
        <w:t xml:space="preserve">and hidden coordinates</w:t>
      </w:r>
      <w:r>
        <w:t xml:space="preserve"> </w:t>
      </w:r>
      <m:oMath>
        <m:r>
          <m:t>z</m:t>
        </m:r>
      </m:oMath>
      <w:r>
        <w:t xml:space="preserve">:</w:t>
      </w:r>
    </w:p>
    <w:p>
      <w:pPr>
        <w:pStyle w:val="BodyText"/>
        <w:widowControl/>
      </w:pPr>
      <m:oMathPara>
        <m:oMathParaPr>
          <m:jc m:val="center"/>
        </m:oMathParaPr>
        <m:oMath>
          <m:r>
            <m:t>Q</m:t>
          </m:r>
          <m:d>
            <m:dPr>
              <m:begChr m:val="("/>
              <m:endChr m:val=")"/>
              <m:sepChr m:val=""/>
              <m:grow/>
            </m:dPr>
            <m:e>
              <m:r>
                <m:t>y</m:t>
              </m:r>
              <m:r>
                <m:rPr>
                  <m:sty m:val="p"/>
                </m:rPr>
                <m:t>,</m:t>
              </m:r>
              <m:r>
                <m:t>z</m:t>
              </m:r>
            </m:e>
          </m:d>
          <m:r>
            <m:rPr>
              <m:sty m:val="p"/>
            </m:rPr>
            <m:t>=</m:t>
          </m:r>
          <m:f>
            <m:fPr>
              <m:type m:val="lin"/>
            </m:fPr>
            <m:num>
              <m:r>
                <m:t>1</m:t>
              </m:r>
            </m:num>
            <m:den>
              <m:r>
                <m:t>2</m:t>
              </m:r>
            </m:den>
          </m:f>
          <m:sSup>
            <m:e>
              <m:d>
                <m:dPr>
                  <m:begChr m:val="("/>
                  <m:endChr m:val=")"/>
                  <m:sepChr m:val=""/>
                  <m:grow/>
                </m:dPr>
                <m:e>
                  <m:m>
                    <m:mPr>
                      <m:baseJc m:val="center"/>
                      <m:plcHide m:val="on"/>
                      <m:mcs>
                        <m:mc>
                          <m:mcPr>
                            <m:mcJc m:val="center"/>
                            <m:count m:val="1"/>
                          </m:mcPr>
                        </m:mc>
                      </m:mcs>
                    </m:mPr>
                    <m:mr>
                      <m:e>
                        <m:r>
                          <m:t>y</m:t>
                        </m:r>
                      </m:e>
                    </m:mr>
                    <m:mr>
                      <m:e>
                        <m:r>
                          <m:t>z</m:t>
                        </m:r>
                      </m:e>
                    </m:mr>
                  </m:m>
                </m:e>
              </m:d>
            </m:e>
            <m:sup>
              <m:r>
                <m:t>T</m:t>
              </m:r>
            </m:sup>
          </m:sSup>
          <m:d>
            <m:dPr>
              <m:begChr m:val="("/>
              <m:endChr m:val=")"/>
              <m:sepChr m:val=""/>
              <m:grow/>
            </m:dPr>
            <m:e>
              <m:m>
                <m:mPr>
                  <m:baseJc m:val="center"/>
                  <m:plcHide m:val="on"/>
                  <m:mcs>
                    <m:mc>
                      <m:mcPr>
                        <m:mcJc m:val="center"/>
                        <m:count m:val="1"/>
                      </m:mcPr>
                    </m:mc>
                    <m:mc>
                      <m:mcPr>
                        <m:mcJc m:val="center"/>
                        <m:count m:val="1"/>
                      </m:mcPr>
                    </m:mc>
                  </m:mcs>
                </m:mPr>
                <m:mr>
                  <m:e>
                    <m:r>
                      <m:t>A</m:t>
                    </m:r>
                  </m:e>
                  <m:e>
                    <m:r>
                      <m:t>B</m:t>
                    </m:r>
                  </m:e>
                </m:mr>
                <m:mr>
                  <m:e>
                    <m:sSup>
                      <m:e>
                        <m:r>
                          <m:t>B</m:t>
                        </m:r>
                      </m:e>
                      <m:sup>
                        <m:r>
                          <m:t>T</m:t>
                        </m:r>
                      </m:sup>
                    </m:sSup>
                  </m:e>
                  <m:e>
                    <m:r>
                      <m:t>D</m:t>
                    </m:r>
                  </m:e>
                </m:mr>
              </m:m>
            </m:e>
          </m:d>
          <m:d>
            <m:dPr>
              <m:begChr m:val="("/>
              <m:endChr m:val=")"/>
              <m:sepChr m:val=""/>
              <m:grow/>
            </m:dPr>
            <m:e>
              <m:m>
                <m:mPr>
                  <m:baseJc m:val="center"/>
                  <m:plcHide m:val="on"/>
                  <m:mcs>
                    <m:mc>
                      <m:mcPr>
                        <m:mcJc m:val="center"/>
                        <m:count m:val="1"/>
                      </m:mcPr>
                    </m:mc>
                  </m:mcs>
                </m:mPr>
                <m:mr>
                  <m:e>
                    <m:r>
                      <m:t>y</m:t>
                    </m:r>
                  </m:e>
                </m:mr>
                <m:mr>
                  <m:e>
                    <m:r>
                      <m:t>z</m:t>
                    </m:r>
                  </m:e>
                </m:mr>
              </m:m>
            </m:e>
          </m:d>
          <m:r>
            <m:rPr>
              <m:sty m:val="p"/>
            </m:rPr>
            <m:t>+</m:t>
          </m:r>
          <m:sSubSup>
            <m:e>
              <m:r>
                <m:t>j</m:t>
              </m:r>
            </m:e>
            <m:sub>
              <m:r>
                <m:t>y</m:t>
              </m:r>
            </m:sub>
            <m:sup>
              <m:r>
                <m:t>T</m:t>
              </m:r>
            </m:sup>
          </m:sSubSup>
          <m:r>
            <m:t>y</m:t>
          </m:r>
          <m:r>
            <m:rPr>
              <m:sty m:val="p"/>
            </m:rPr>
            <m:t>+</m:t>
          </m:r>
          <m:sSubSup>
            <m:e>
              <m:r>
                <m:t>j</m:t>
              </m:r>
            </m:e>
            <m:sub>
              <m:r>
                <m:t>z</m:t>
              </m:r>
            </m:sub>
            <m:sup>
              <m:r>
                <m:t>T</m:t>
              </m:r>
            </m:sup>
          </m:sSubSup>
          <m:r>
            <m:t>z</m:t>
          </m:r>
          <m:r>
            <m:rPr>
              <m:sty m:val="p"/>
            </m:rPr>
            <m:t>.</m:t>
          </m:r>
          <m:r>
            <m:t>  </m:t>
          </m:r>
          <m:d>
            <m:dPr>
              <m:begChr m:val="("/>
              <m:endChr m:val=")"/>
              <m:sepChr m:val=""/>
              <m:grow/>
            </m:dPr>
            <m:e>
              <m:r>
                <m:t>14</m:t>
              </m:r>
            </m:e>
          </m:d>
        </m:oMath>
      </m:oMathPara>
    </w:p>
    <w:p>
      <w:pPr>
        <w:pStyle w:val="FirstParagraph"/>
        <w:widowControl/>
      </w:pPr>
      <w:r>
        <w:t xml:space="preserve">Here the full matrix is the effective Hessian,</w:t>
      </w:r>
      <w:r>
        <w:t xml:space="preserve"> </w:t>
      </w:r>
      <m:oMath>
        <m:sSub>
          <m:e>
            <m:r>
              <m:t>j</m:t>
            </m:r>
          </m:e>
          <m:sub>
            <m:r>
              <m:t>y</m:t>
            </m:r>
          </m:sub>
        </m:sSub>
        <m:r>
          <m:rPr>
            <m:sty m:val="p"/>
          </m:rPr>
          <m:t>,</m:t>
        </m:r>
        <m:sSub>
          <m:e>
            <m:r>
              <m:t>j</m:t>
            </m:r>
          </m:e>
          <m:sub>
            <m:r>
              <m:t>z</m:t>
            </m:r>
          </m:sub>
        </m:sSub>
      </m:oMath>
      <w:r>
        <w:t xml:space="preserve"> </w:t>
      </w:r>
      <w:r>
        <w:t xml:space="preserve">are perturbation sources distinct from the background operating-point bias, and</w:t>
      </w:r>
      <w:r>
        <w:t xml:space="preserve"> </w:t>
      </w:r>
      <m:oMath>
        <m:r>
          <m:t>D</m:t>
        </m:r>
      </m:oMath>
      <w:r>
        <w:t xml:space="preserve"> </w:t>
      </w:r>
      <w:r>
        <w:t xml:space="preserve">is positive definite. Minimization in</w:t>
      </w:r>
      <w:r>
        <w:t xml:space="preserve"> </w:t>
      </w:r>
      <m:oMath>
        <m:r>
          <m:t>z</m:t>
        </m:r>
      </m:oMath>
      <w:r>
        <w:t xml:space="preserve"> </w:t>
      </w:r>
      <w:r>
        <w:t xml:space="preserve">gives</w:t>
      </w:r>
    </w:p>
    <w:p>
      <w:pPr>
        <w:pStyle w:val="BodyText"/>
        <w:widowControl/>
      </w:pPr>
      <m:oMathPara>
        <m:oMathParaPr>
          <m:jc m:val="center"/>
        </m:oMathParaPr>
        <m:oMath>
          <m:sSub>
            <m:e>
              <m:r>
                <m:t>Q</m:t>
              </m:r>
            </m:e>
            <m:sub>
              <m:r>
                <m:rPr>
                  <m:sty m:val="p"/>
                </m:rPr>
                <m:t>r</m:t>
              </m:r>
              <m:r>
                <m:rPr>
                  <m:sty m:val="p"/>
                </m:rPr>
                <m:t>e</m:t>
              </m:r>
              <m:r>
                <m:rPr>
                  <m:sty m:val="p"/>
                </m:rPr>
                <m:t>d</m:t>
              </m:r>
            </m:sub>
          </m:sSub>
          <m:d>
            <m:dPr>
              <m:begChr m:val="("/>
              <m:endChr m:val=")"/>
              <m:sepChr m:val=""/>
              <m:grow/>
            </m:dPr>
            <m:e>
              <m:r>
                <m:t>y</m:t>
              </m:r>
            </m:e>
          </m:d>
          <m:r>
            <m:rPr>
              <m:sty m:val="p"/>
            </m:rPr>
            <m:t>=</m:t>
          </m:r>
          <m:f>
            <m:fPr>
              <m:type m:val="lin"/>
            </m:fPr>
            <m:num>
              <m:r>
                <m:t>1</m:t>
              </m:r>
            </m:num>
            <m:den>
              <m:r>
                <m:t>2</m:t>
              </m:r>
            </m:den>
          </m:f>
          <m:sSup>
            <m:e>
              <m:r>
                <m:t>y</m:t>
              </m:r>
            </m:e>
            <m:sup>
              <m:r>
                <m:t>T</m:t>
              </m:r>
            </m:sup>
          </m:sSup>
          <m:d>
            <m:dPr>
              <m:begChr m:val="("/>
              <m:endChr m:val=")"/>
              <m:sepChr m:val=""/>
              <m:grow/>
            </m:dPr>
            <m:e>
              <m:r>
                <m:t>A</m:t>
              </m:r>
              <m:r>
                <m:rPr>
                  <m:sty m:val="p"/>
                </m:rPr>
                <m:t>−</m:t>
              </m:r>
              <m:r>
                <m:t>B</m:t>
              </m:r>
              <m:sSup>
                <m:e>
                  <m:r>
                    <m:t>D</m:t>
                  </m:r>
                </m:e>
                <m:sup>
                  <m:r>
                    <m:rPr>
                      <m:sty m:val="p"/>
                    </m:rPr>
                    <m:t>−</m:t>
                  </m:r>
                  <m:r>
                    <m:t>1</m:t>
                  </m:r>
                </m:sup>
              </m:sSup>
              <m:sSup>
                <m:e>
                  <m:r>
                    <m:t>B</m:t>
                  </m:r>
                </m:e>
                <m:sup>
                  <m:r>
                    <m:t>T</m:t>
                  </m:r>
                </m:sup>
              </m:sSup>
            </m:e>
          </m:d>
          <m:r>
            <m:t>y</m:t>
          </m:r>
          <m:r>
            <m:rPr>
              <m:sty m:val="p"/>
            </m:rPr>
            <m:t>+</m:t>
          </m:r>
          <m:sSup>
            <m:e>
              <m:d>
                <m:dPr>
                  <m:begChr m:val="("/>
                  <m:endChr m:val=")"/>
                  <m:sepChr m:val=""/>
                  <m:grow/>
                </m:dPr>
                <m:e>
                  <m:sSub>
                    <m:e>
                      <m:r>
                        <m:t>j</m:t>
                      </m:r>
                    </m:e>
                    <m:sub>
                      <m:r>
                        <m:t>y</m:t>
                      </m:r>
                    </m:sub>
                  </m:sSub>
                  <m:r>
                    <m:rPr>
                      <m:sty m:val="p"/>
                    </m:rPr>
                    <m:t>−</m:t>
                  </m:r>
                  <m:r>
                    <m:t>B</m:t>
                  </m:r>
                  <m:sSup>
                    <m:e>
                      <m:r>
                        <m:t>D</m:t>
                      </m:r>
                    </m:e>
                    <m:sup>
                      <m:r>
                        <m:rPr>
                          <m:sty m:val="p"/>
                        </m:rPr>
                        <m:t>−</m:t>
                      </m:r>
                      <m:r>
                        <m:t>1</m:t>
                      </m:r>
                    </m:sup>
                  </m:sSup>
                  <m:sSub>
                    <m:e>
                      <m:r>
                        <m:t>j</m:t>
                      </m:r>
                    </m:e>
                    <m:sub>
                      <m:r>
                        <m:t>z</m:t>
                      </m:r>
                    </m:sub>
                  </m:sSub>
                </m:e>
              </m:d>
            </m:e>
            <m:sup>
              <m:r>
                <m:t>T</m:t>
              </m:r>
            </m:sup>
          </m:sSup>
          <m:r>
            <m:t>y</m:t>
          </m:r>
          <m:r>
            <m:rPr>
              <m:sty m:val="p"/>
            </m:rPr>
            <m:t>−</m:t>
          </m:r>
          <m:f>
            <m:fPr>
              <m:type m:val="lin"/>
            </m:fPr>
            <m:num>
              <m:r>
                <m:t>1</m:t>
              </m:r>
            </m:num>
            <m:den>
              <m:r>
                <m:t>2</m:t>
              </m:r>
            </m:den>
          </m:f>
          <m:sSubSup>
            <m:e>
              <m:r>
                <m:t>j</m:t>
              </m:r>
            </m:e>
            <m:sub>
              <m:r>
                <m:t>z</m:t>
              </m:r>
            </m:sub>
            <m:sup>
              <m:r>
                <m:t>T</m:t>
              </m:r>
            </m:sup>
          </m:sSubSup>
          <m:sSup>
            <m:e>
              <m:r>
                <m:t>D</m:t>
              </m:r>
            </m:e>
            <m:sup>
              <m:r>
                <m:rPr>
                  <m:sty m:val="p"/>
                </m:rPr>
                <m:t>−</m:t>
              </m:r>
              <m:r>
                <m:t>1</m:t>
              </m:r>
            </m:sup>
          </m:sSup>
          <m:sSub>
            <m:e>
              <m:r>
                <m:t>j</m:t>
              </m:r>
            </m:e>
            <m:sub>
              <m:r>
                <m:t>z</m:t>
              </m:r>
            </m:sub>
          </m:sSub>
          <m:r>
            <m:rPr>
              <m:sty m:val="p"/>
            </m:rPr>
            <m:t>.</m:t>
          </m:r>
          <m:r>
            <m:t>  </m:t>
          </m:r>
          <m:d>
            <m:dPr>
              <m:begChr m:val="("/>
              <m:endChr m:val=")"/>
              <m:sepChr m:val=""/>
              <m:grow/>
            </m:dPr>
            <m:e>
              <m:r>
                <m:t>15</m:t>
              </m:r>
            </m:e>
          </m:d>
        </m:oMath>
      </m:oMathPara>
    </w:p>
    <w:p>
      <w:pPr>
        <w:pStyle w:val="FirstParagraph"/>
        <w:widowControl/>
      </w:pPr>
      <w:r>
        <w:t xml:space="preserve">Substituting</w:t>
      </w:r>
      <w:r>
        <w:t xml:space="preserve"> </w:t>
      </w:r>
      <m:oMath>
        <m:r>
          <m:t>z</m:t>
        </m:r>
        <m:r>
          <m:rPr>
            <m:sty m:val="p"/>
          </m:rPr>
          <m:t>=</m:t>
        </m:r>
        <m:r>
          <m:rPr>
            <m:sty m:val="p"/>
          </m:rPr>
          <m:t>−</m:t>
        </m:r>
        <m:sSup>
          <m:e>
            <m:r>
              <m:t>D</m:t>
            </m:r>
          </m:e>
          <m:sup>
            <m:r>
              <m:rPr>
                <m:sty m:val="p"/>
              </m:rPr>
              <m:t>−</m:t>
            </m:r>
            <m:r>
              <m:t>1</m:t>
            </m:r>
          </m:sup>
        </m:sSup>
        <m:d>
          <m:dPr>
            <m:begChr m:val="("/>
            <m:endChr m:val=")"/>
            <m:sepChr m:val=""/>
            <m:grow/>
          </m:dPr>
          <m:e>
            <m:sSup>
              <m:e>
                <m:r>
                  <m:t>B</m:t>
                </m:r>
              </m:e>
              <m:sup>
                <m:r>
                  <m:t>T</m:t>
                </m:r>
              </m:sup>
            </m:sSup>
            <m:r>
              <m:t>y</m:t>
            </m:r>
            <m:r>
              <m:rPr>
                <m:sty m:val="p"/>
              </m:rPr>
              <m:t>+</m:t>
            </m:r>
            <m:sSub>
              <m:e>
                <m:r>
                  <m:t>j</m:t>
                </m:r>
              </m:e>
              <m:sub>
                <m:r>
                  <m:t>z</m:t>
                </m:r>
              </m:sub>
            </m:sSub>
          </m:e>
        </m:d>
      </m:oMath>
      <w:r>
        <w:t xml:space="preserve"> </w:t>
      </w:r>
      <w:r>
        <w:t xml:space="preserve">proves Eq. (15). Its stiffness is the Schur complement; its source is transformed, and its constant is required for the minimized energy. The constant does not affect fixed-parameter stationarity, but it can contribute when differentiating energy with respect to volume or other parameters. For graph Laplacians the related elimination is commonly called Kron reduction [7]. An effective Hessian after covariance softening need not itself retain all graph-Laplacian sign properties, so we use the more general positive-definite matrix statement.</w:t>
      </w:r>
    </w:p>
    <w:p>
      <w:pPr>
        <w:pStyle w:val="BodyText"/>
        <w:widowControl/>
      </w:pPr>
      <w:r>
        <w:t xml:space="preserve">This distinguishes two reductions. Load-class aggregation acts on the microscopic probability family before the field is solved. Schur elimination acts on field coordinates after the local Hessian and operating point are fixed. Replacing one with the other would discard different information. Equation (15) is exact for the quadratic perturbation problem; it is not a global elimination formula for an arbitrary nonlinear log-partition functional.</w:t>
      </w:r>
    </w:p>
    <w:bookmarkEnd w:id="27"/>
    <w:bookmarkStart w:id="28" w:name="a-shared-energy-and-pressure-account"/>
    <w:p>
      <w:pPr>
        <w:pStyle w:val="Heading1"/>
        <w:widowControl/>
      </w:pPr>
      <w:r>
        <w:t xml:space="preserve">8 A shared energy and pressure account</w:t>
      </w:r>
    </w:p>
    <w:p>
      <w:pPr>
        <w:pStyle w:val="FirstParagraph"/>
        <w:widowControl/>
      </w:pPr>
      <w:r>
        <w:t xml:space="preserve">To connect with the previous energy-pressure papers, specify a physical volume</w:t>
      </w:r>
      <w:r>
        <w:t xml:space="preserve"> </w:t>
      </w:r>
      <m:oMath>
        <m:r>
          <m:t>V</m:t>
        </m:r>
      </m:oMath>
      <w:r>
        <w:t xml:space="preserve"> </w:t>
      </w:r>
      <w:r>
        <w:t xml:space="preserve">and let</w:t>
      </w:r>
      <w:r>
        <w:t xml:space="preserve"> </w:t>
      </w:r>
      <m:oMath>
        <m:sSub>
          <m:e>
            <m:r>
              <m:t>h</m:t>
            </m:r>
          </m:e>
          <m:sub>
            <m:r>
              <m:t>a</m:t>
            </m:r>
          </m:sub>
        </m:sSub>
        <m:d>
          <m:dPr>
            <m:begChr m:val="("/>
            <m:endChr m:val=")"/>
            <m:sepChr m:val=""/>
            <m:grow/>
          </m:dPr>
          <m:e>
            <m:r>
              <m:t>V</m:t>
            </m:r>
          </m:e>
        </m:d>
      </m:oMath>
      <w:r>
        <w:t xml:space="preserve">,</w:t>
      </w:r>
      <w:r>
        <w:t xml:space="preserve"> </w:t>
      </w:r>
      <m:oMath>
        <m:sSub>
          <m:e>
            <m:r>
              <m:t>b</m:t>
            </m:r>
          </m:e>
          <m:sub>
            <m:r>
              <m:t>a</m:t>
            </m:r>
          </m:sub>
        </m:sSub>
        <m:d>
          <m:dPr>
            <m:begChr m:val="("/>
            <m:endChr m:val=")"/>
            <m:sepChr m:val=""/>
            <m:grow/>
          </m:dPr>
          <m:e>
            <m:r>
              <m:t>V</m:t>
            </m:r>
          </m:e>
        </m:d>
      </m:oMath>
      <w:r>
        <w:t xml:space="preserve">,</w:t>
      </w:r>
      <w:r>
        <w:t xml:space="preserve"> </w:t>
      </w:r>
      <m:oMath>
        <m:sSub>
          <m:e>
            <m:r>
              <m:t>K</m:t>
            </m:r>
          </m:e>
          <m:sub>
            <m:r>
              <m:t>0</m:t>
            </m:r>
          </m:sub>
        </m:sSub>
        <m:d>
          <m:dPr>
            <m:begChr m:val="("/>
            <m:endChr m:val=")"/>
            <m:sepChr m:val=""/>
            <m:grow/>
          </m:dPr>
          <m:e>
            <m:r>
              <m:t>V</m:t>
            </m:r>
          </m:e>
        </m:d>
      </m:oMath>
      <w:r>
        <w:t xml:space="preserve"> </w:t>
      </w:r>
      <w:r>
        <w:t xml:space="preserve">and</w:t>
      </w:r>
      <w:r>
        <w:t xml:space="preserve"> </w:t>
      </w:r>
      <m:oMath>
        <m:r>
          <m:t>j</m:t>
        </m:r>
        <m:d>
          <m:dPr>
            <m:begChr m:val="("/>
            <m:endChr m:val=")"/>
            <m:sepChr m:val=""/>
            <m:grow/>
          </m:dPr>
          <m:e>
            <m:r>
              <m:t>V</m:t>
            </m:r>
          </m:e>
        </m:d>
      </m:oMath>
      <w:r>
        <w:t xml:space="preserve"> </w:t>
      </w:r>
      <w:r>
        <w:t xml:space="preserve">be differentiable, keeping</w:t>
      </w:r>
      <w:r>
        <w:t xml:space="preserve"> </w:t>
      </w:r>
      <m:oMath>
        <m:r>
          <m:t>β</m:t>
        </m:r>
      </m:oMath>
      <w:r>
        <w:t xml:space="preserve"> </w:t>
      </w:r>
      <w:r>
        <w:t xml:space="preserve">fixed. The relevant canonical free energy uses</w:t>
      </w:r>
      <w:r>
        <w:t xml:space="preserve"> </w:t>
      </w:r>
      <m:oMath>
        <m:sSub>
          <m:e>
            <m:r>
              <m:t>E</m:t>
            </m:r>
          </m:e>
          <m:sub>
            <m:r>
              <m:t>a</m:t>
            </m:r>
          </m:sub>
        </m:sSub>
        <m:d>
          <m:dPr>
            <m:begChr m:val="("/>
            <m:endChr m:val=")"/>
            <m:sepChr m:val=""/>
            <m:grow/>
          </m:dPr>
          <m:e>
            <m:r>
              <m:t>V</m:t>
            </m:r>
            <m:r>
              <m:rPr>
                <m:sty m:val="p"/>
              </m:rPr>
              <m:t>,</m:t>
            </m:r>
            <m:r>
              <m:t>x</m:t>
            </m:r>
          </m:e>
        </m:d>
        <m:r>
          <m:rPr>
            <m:sty m:val="p"/>
          </m:rPr>
          <m:t>=</m:t>
        </m:r>
        <m:sSub>
          <m:e>
            <m:r>
              <m:t>h</m:t>
            </m:r>
          </m:e>
          <m:sub>
            <m:r>
              <m:t>a</m:t>
            </m:r>
          </m:sub>
        </m:sSub>
        <m:d>
          <m:dPr>
            <m:begChr m:val="("/>
            <m:endChr m:val=")"/>
            <m:sepChr m:val=""/>
            <m:grow/>
          </m:dPr>
          <m:e>
            <m:r>
              <m:t>V</m:t>
            </m:r>
          </m:e>
        </m:d>
        <m:r>
          <m:rPr>
            <m:sty m:val="p"/>
          </m:rPr>
          <m:t>+</m:t>
        </m:r>
        <m:r>
          <m:t>ϵ</m:t>
        </m:r>
        <m:sSub>
          <m:e>
            <m:r>
              <m:t>b</m:t>
            </m:r>
          </m:e>
          <m:sub>
            <m:r>
              <m:t>a</m:t>
            </m:r>
          </m:sub>
        </m:sSub>
        <m:sSup>
          <m:e>
            <m:d>
              <m:dPr>
                <m:begChr m:val="("/>
                <m:endChr m:val=")"/>
                <m:sepChr m:val=""/>
                <m:grow/>
              </m:dPr>
              <m:e>
                <m:r>
                  <m:t>V</m:t>
                </m:r>
              </m:e>
            </m:d>
          </m:e>
          <m:sup>
            <m:r>
              <m:t>T</m:t>
            </m:r>
          </m:sup>
        </m:sSup>
        <m:r>
          <m:t>x</m:t>
        </m:r>
      </m:oMath>
      <w:r>
        <w:t xml:space="preserve"> </w:t>
      </w:r>
      <w:r>
        <w:t xml:space="preserve">inside the partition function, rather than silently reusing a normalized reference prior whose volume dependence has been omitted. Its pressure at fixed</w:t>
      </w:r>
      <w:r>
        <w:t xml:space="preserve"> </w:t>
      </w:r>
      <m:oMath>
        <m:r>
          <m:t>x</m:t>
        </m:r>
      </m:oMath>
      <w:r>
        <w:t xml:space="preserve"> </w:t>
      </w:r>
      <w:r>
        <w:t xml:space="preserve">is</w:t>
      </w:r>
    </w:p>
    <w:p>
      <w:pPr>
        <w:pStyle w:val="BodyText"/>
        <w:widowControl/>
      </w:pPr>
      <m:oMathPara>
        <m:oMathParaPr>
          <m:jc m:val="center"/>
        </m:oMathParaPr>
        <m:oMath>
          <m:sSub>
            <m:e>
              <m:r>
                <m:t>P</m:t>
              </m:r>
            </m:e>
            <m:sub>
              <m:r>
                <m:t>T</m:t>
              </m:r>
            </m:sub>
          </m:sSub>
          <m:r>
            <m:rPr>
              <m:sty m:val="p"/>
            </m:rPr>
            <m:t>=</m:t>
          </m:r>
          <m:r>
            <m:rPr>
              <m:sty m:val="p"/>
            </m:rPr>
            <m:t>−</m:t>
          </m:r>
          <m:f>
            <m:fPr>
              <m:type m:val="lin"/>
            </m:fPr>
            <m:num>
              <m:r>
                <m:t>1</m:t>
              </m:r>
            </m:num>
            <m:den>
              <m:r>
                <m:t>2</m:t>
              </m:r>
            </m:den>
          </m:f>
          <m:sSup>
            <m:e>
              <m:r>
                <m:t>x</m:t>
              </m:r>
            </m:e>
            <m:sup>
              <m:r>
                <m:t>T</m:t>
              </m:r>
            </m:sup>
          </m:sSup>
          <m:sSub>
            <m:e>
              <m:r>
                <m:rPr>
                  <m:sty m:val="p"/>
                </m:rPr>
                <m:t>∂</m:t>
              </m:r>
            </m:e>
            <m:sub>
              <m:r>
                <m:t>V</m:t>
              </m:r>
            </m:sub>
          </m:sSub>
          <m:sSub>
            <m:e>
              <m:r>
                <m:t>K</m:t>
              </m:r>
            </m:e>
            <m:sub>
              <m:r>
                <m:t>0</m:t>
              </m:r>
            </m:sub>
          </m:sSub>
          <m:r>
            <m:t> </m:t>
          </m:r>
          <m:r>
            <m:t>x</m:t>
          </m:r>
          <m:r>
            <m:rPr>
              <m:sty m:val="p"/>
            </m:rPr>
            <m:t>−</m:t>
          </m:r>
          <m:sSup>
            <m:e>
              <m:d>
                <m:dPr>
                  <m:begChr m:val="("/>
                  <m:endChr m:val=")"/>
                  <m:sepChr m:val=""/>
                  <m:grow/>
                </m:dPr>
                <m:e>
                  <m:sSub>
                    <m:e>
                      <m:r>
                        <m:rPr>
                          <m:sty m:val="p"/>
                        </m:rPr>
                        <m:t>∂</m:t>
                      </m:r>
                    </m:e>
                    <m:sub>
                      <m:r>
                        <m:t>V</m:t>
                      </m:r>
                    </m:sub>
                  </m:sSub>
                  <m:r>
                    <m:t>j</m:t>
                  </m:r>
                </m:e>
              </m:d>
            </m:e>
            <m:sup>
              <m:r>
                <m:t>T</m:t>
              </m:r>
            </m:sup>
          </m:sSup>
          <m:r>
            <m:t>x</m:t>
          </m:r>
          <m:r>
            <m:rPr>
              <m:sty m:val="p"/>
            </m:rPr>
            <m:t>−</m:t>
          </m:r>
          <m:d>
            <m:dPr>
              <m:begChr m:val="⟨"/>
              <m:endChr m:val="⟩"/>
              <m:sepChr m:val=""/>
              <m:grow/>
            </m:dPr>
            <m:e>
              <m:sSub>
                <m:e>
                  <m:r>
                    <m:rPr>
                      <m:sty m:val="p"/>
                    </m:rPr>
                    <m:t>∂</m:t>
                  </m:r>
                </m:e>
                <m:sub>
                  <m:r>
                    <m:t>V</m:t>
                  </m:r>
                </m:sub>
              </m:sSub>
              <m:sSub>
                <m:e>
                  <m:r>
                    <m:t>E</m:t>
                  </m:r>
                </m:e>
                <m:sub>
                  <m:r>
                    <m:t>a</m:t>
                  </m:r>
                </m:sub>
              </m:sSub>
            </m:e>
          </m:d>
          <m:r>
            <m:rPr>
              <m:sty m:val="p"/>
            </m:rPr>
            <m:t>.</m:t>
          </m:r>
          <m:r>
            <m:t>  </m:t>
          </m:r>
          <m:d>
            <m:dPr>
              <m:begChr m:val="("/>
              <m:endChr m:val=")"/>
              <m:sepChr m:val=""/>
              <m:grow/>
            </m:dPr>
            <m:e>
              <m:r>
                <m:t>16</m:t>
              </m:r>
            </m:e>
          </m:d>
        </m:oMath>
      </m:oMathPara>
    </w:p>
    <w:p>
      <w:pPr>
        <w:pStyle w:val="FirstParagraph"/>
        <w:widowControl/>
      </w:pPr>
      <w:r>
        <w:t xml:space="preserve">Equation (16) follows directly by differentiating the finite partition sum. At a stationary</w:t>
      </w:r>
      <w:r>
        <w:t xml:space="preserve"> </w:t>
      </w:r>
      <m:oMath>
        <m:sSub>
          <m:e>
            <m:r>
              <m:t>x</m:t>
            </m:r>
          </m:e>
          <m:sub>
            <m:r>
              <m:rPr>
                <m:sty m:val="p"/>
              </m:rPr>
              <m:t>*</m:t>
            </m:r>
          </m:sub>
        </m:sSub>
        <m:d>
          <m:dPr>
            <m:begChr m:val="("/>
            <m:endChr m:val=")"/>
            <m:sepChr m:val=""/>
            <m:grow/>
          </m:dPr>
          <m:e>
            <m:r>
              <m:t>V</m:t>
            </m:r>
          </m:e>
        </m:d>
      </m:oMath>
      <w:r>
        <w:t xml:space="preserve">, the envelope identity cancels the term</w:t>
      </w:r>
      <w:r>
        <w:t xml:space="preserve"> </w:t>
      </w:r>
      <m:oMath>
        <m:sSup>
          <m:e>
            <m:d>
              <m:dPr>
                <m:begChr m:val="("/>
                <m:endChr m:val=")"/>
                <m:sepChr m:val=""/>
                <m:grow/>
              </m:dPr>
              <m:e>
                <m:sSub>
                  <m:e>
                    <m:r>
                      <m:rPr>
                        <m:sty m:val="p"/>
                      </m:rPr>
                      <m:t>∂</m:t>
                    </m:r>
                  </m:e>
                  <m:sub>
                    <m:r>
                      <m:t>x</m:t>
                    </m:r>
                  </m:sub>
                </m:sSub>
                <m:r>
                  <m:rPr>
                    <m:sty m:val="p"/>
                    <m:scr m:val="script"/>
                  </m:rPr>
                  <m:t>F</m:t>
                </m:r>
              </m:e>
            </m:d>
          </m:e>
          <m:sup>
            <m:r>
              <m:t>T</m:t>
            </m:r>
          </m:sup>
        </m:sSup>
        <m:r>
          <m:t>d</m:t>
        </m:r>
        <m:sSub>
          <m:e>
            <m:r>
              <m:t>x</m:t>
            </m:r>
          </m:e>
          <m:sub>
            <m:r>
              <m:rPr>
                <m:sty m:val="p"/>
              </m:rPr>
              <m:t>*</m:t>
            </m:r>
          </m:sub>
        </m:sSub>
        <m:r>
          <m:rPr>
            <m:sty m:val="p"/>
          </m:rPr>
          <m:t>/</m:t>
        </m:r>
        <m:r>
          <m:t>d</m:t>
        </m:r>
        <m:r>
          <m:t>V</m:t>
        </m:r>
      </m:oMath>
      <w:r>
        <w:t xml:space="preserve">. This requires a differentiable stationary branch and its stated stability domain; it cannot be continued through a singular response without further analysis. At frozen probabilities, pressure is instead the expectation of the same microscopic energy derivative plus the field terms. One must not identify a total derivative of a changing internal energy with that frozen pressure. The isothermal bath supplies the corresponding heat; no isolated-universe conservation claim is attached to the canonical ansatz.</w:t>
      </w:r>
    </w:p>
    <w:p>
      <w:pPr>
        <w:pStyle w:val="BodyText"/>
        <w:widowControl/>
      </w:pPr>
      <w:r>
        <w:t xml:space="preserve">Our numerical pressure check takes</w:t>
      </w:r>
      <w:r>
        <w:t xml:space="preserve"> </w:t>
      </w:r>
      <m:oMath>
        <m:r>
          <m:t>v</m:t>
        </m:r>
        <m:r>
          <m:rPr>
            <m:sty m:val="p"/>
          </m:rPr>
          <m:t>=</m:t>
        </m:r>
        <m:r>
          <m:t>V</m:t>
        </m:r>
        <m:r>
          <m:rPr>
            <m:sty m:val="p"/>
          </m:rPr>
          <m:t>/</m:t>
        </m:r>
        <m:sSub>
          <m:e>
            <m:r>
              <m:t>V</m:t>
            </m:r>
          </m:e>
          <m:sub>
            <m:r>
              <m:t>0</m:t>
            </m:r>
          </m:sub>
        </m:sSub>
      </m:oMath>
      <w:r>
        <w:t xml:space="preserve">, volume-independent baseline energies</w:t>
      </w:r>
      <w:r>
        <w:t xml:space="preserve"> </w:t>
      </w:r>
      <m:oMath>
        <m:sSub>
          <m:e>
            <m:r>
              <m:t>h</m:t>
            </m:r>
          </m:e>
          <m:sub>
            <m:r>
              <m:t>a</m:t>
            </m:r>
          </m:sub>
        </m:sSub>
      </m:oMath>
      <w:r>
        <w:t xml:space="preserve"> </w:t>
      </w:r>
      <w:r>
        <w:t xml:space="preserve">realizing the fixed reference probabilities, a volume-dependent addition</w:t>
      </w:r>
      <w:r>
        <w:t xml:space="preserve"> </w:t>
      </w:r>
      <m:oMath>
        <m:sSub>
          <m:e>
            <m:r>
              <m:t>E</m:t>
            </m:r>
          </m:e>
          <m:sub>
            <m:r>
              <m:t>a</m:t>
            </m:r>
          </m:sub>
        </m:sSub>
        <m:r>
          <m:rPr>
            <m:sty m:val="p"/>
          </m:rPr>
          <m:t>−</m:t>
        </m:r>
        <m:sSub>
          <m:e>
            <m:r>
              <m:t>h</m:t>
            </m:r>
          </m:e>
          <m:sub>
            <m:r>
              <m:t>a</m:t>
            </m:r>
          </m:sub>
        </m:sSub>
        <m:r>
          <m:rPr>
            <m:sty m:val="p"/>
          </m:rPr>
          <m:t>=</m:t>
        </m:r>
        <m:r>
          <m:t>ϵ</m:t>
        </m:r>
        <m:sSup>
          <m:e>
            <m:r>
              <m:t>v</m:t>
            </m:r>
          </m:e>
          <m:sup>
            <m:r>
              <m:rPr>
                <m:sty m:val="p"/>
              </m:rPr>
              <m:t>−</m:t>
            </m:r>
            <m:r>
              <m:t>1</m:t>
            </m:r>
            <m:r>
              <m:rPr>
                <m:sty m:val="p"/>
              </m:rPr>
              <m:t>/</m:t>
            </m:r>
            <m:r>
              <m:t>3</m:t>
            </m:r>
          </m:sup>
        </m:sSup>
        <m:sSub>
          <m:e>
            <m:r>
              <m:t>b</m:t>
            </m:r>
          </m:e>
          <m:sub>
            <m:r>
              <m:t>a</m:t>
            </m:r>
          </m:sub>
        </m:sSub>
        <m:r>
          <m:t>x</m:t>
        </m:r>
      </m:oMath>
      <w:r>
        <w:t xml:space="preserve">, and</w:t>
      </w:r>
      <w:r>
        <w:t xml:space="preserve"> </w:t>
      </w:r>
      <m:oMath>
        <m:sSub>
          <m:e>
            <m:r>
              <m:t>K</m:t>
            </m:r>
          </m:e>
          <m:sub>
            <m:r>
              <m:t>0</m:t>
            </m:r>
          </m:sub>
        </m:sSub>
        <m:r>
          <m:rPr>
            <m:sty m:val="p"/>
          </m:rPr>
          <m:t>=</m:t>
        </m:r>
        <m:r>
          <m:t>k</m:t>
        </m:r>
        <m:sSup>
          <m:e>
            <m:r>
              <m:t>v</m:t>
            </m:r>
          </m:e>
          <m:sup>
            <m:r>
              <m:t>1</m:t>
            </m:r>
            <m:r>
              <m:rPr>
                <m:sty m:val="p"/>
              </m:rPr>
              <m:t>/</m:t>
            </m:r>
            <m:r>
              <m:t>3</m:t>
            </m:r>
          </m:sup>
        </m:sSup>
      </m:oMath>
      <w:r>
        <w:t xml:space="preserve">. Differentiation is at fixed temperature and field, and reports</w:t>
      </w:r>
      <w:r>
        <w:t xml:space="preserve"> </w:t>
      </w:r>
      <m:oMath>
        <m:r>
          <m:t>P</m:t>
        </m:r>
        <m:sSub>
          <m:e>
            <m:r>
              <m:t>V</m:t>
            </m:r>
          </m:e>
          <m:sub>
            <m:r>
              <m:t>0</m:t>
            </m:r>
          </m:sub>
        </m:sSub>
      </m:oMath>
      <w:r>
        <w:t xml:space="preserve"> </w:t>
      </w:r>
      <w:r>
        <w:t xml:space="preserve">in energy units. This is a small closure check of one explicitly specified potential. It is not the fifth paper’s correlated compensator, an equation of state for dark energy, or a tensor conservation law. A covariant stress tensor, causal dynamics and a bath-inclusive gravitational stress account require a further physical model. The present matrix response is a susceptibility in a finite probe basis, not a spacetime stress-energy tensor.</w:t>
      </w:r>
    </w:p>
    <w:bookmarkEnd w:id="28"/>
    <w:bookmarkStart w:id="32" w:name="Xeef3db9f4a24775d6d6d776dc54e7c990e64abb"/>
    <w:p>
      <w:pPr>
        <w:pStyle w:val="Heading1"/>
        <w:widowControl/>
      </w:pPr>
      <w:r>
        <w:t xml:space="preserve">9 Reproducible results and negative controls</w:t>
      </w:r>
    </w:p>
    <w:p>
      <w:pPr>
        <w:pStyle w:val="FirstParagraph"/>
        <w:widowControl/>
      </w:pPr>
      <w:r>
        <w:t xml:space="preserve">The offline script</w:t>
      </w:r>
      <w:r>
        <w:t xml:space="preserve"> </w:t>
      </w:r>
      <w:r>
        <w:rPr>
          <w:rStyle w:val="VerbatimChar"/>
        </w:rPr>
        <w:t xml:space="preserve">reproduce.py</w:t>
      </w:r>
      <w:r>
        <w:t xml:space="preserve"> </w:t>
      </w:r>
      <w:r>
        <w:t xml:space="preserve">uses NumPy and SciPy for finite sums and matrices and Matplotlib for the figure. It writes</w:t>
      </w:r>
      <w:r>
        <w:t xml:space="preserve"> </w:t>
      </w:r>
      <w:r>
        <w:rPr>
          <w:rStyle w:val="VerbatimChar"/>
        </w:rPr>
        <w:t xml:space="preserve">results.json</w:t>
      </w:r>
      <w:r>
        <w:t xml:space="preserve"> </w:t>
      </w:r>
      <w:r>
        <w:t xml:space="preserve">with named residuals and tolerances. No random seed, online dataset, fit or new astronomical observation enters these calculations. Table 3 gives the direct witness results; the common load agrees to floating precision while the two response coefficients differ. The numerical difference is deliberately small because the inherited logarithmic response varies weakly across 4, 6 and 8. Its nonzero value is established analytically by the Vandermonde proof, not inferred merely from floating-point rank.</w:t>
      </w:r>
    </w:p>
    <w:p>
      <w:pPr>
        <w:pStyle w:val="BodyText"/>
        <w:keepNext/>
        <w:widowControl/>
      </w:pPr>
      <w:r>
        <w:t xml:space="preserve">Table 3. Conditioned WRRA witness at</w:t>
      </w:r>
      <w:r>
        <w:t xml:space="preserve"> </w:t>
      </w:r>
      <m:oMath>
        <m:r>
          <m:t>β</m:t>
        </m:r>
        <m:r>
          <m:rPr>
            <m:sty m:val="p"/>
          </m:rPr>
          <m:t>=</m:t>
        </m:r>
        <m:r>
          <m:t>ϵ</m:t>
        </m:r>
        <m:r>
          <m:rPr>
            <m:sty m:val="p"/>
          </m:rPr>
          <m:t>=</m:t>
        </m:r>
        <m:r>
          <m:t>1</m:t>
        </m:r>
      </m:oMath>
      <w:r>
        <w:t xml:space="preserve"> </w:t>
      </w:r>
      <w:r>
        <w:t xml:space="preserve">and</w:t>
      </w:r>
      <w:r>
        <w:t xml:space="preserve"> </w:t>
      </w:r>
      <m:oMath>
        <m:sSub>
          <m:e>
            <m:r>
              <m:t>K</m:t>
            </m:r>
          </m:e>
          <m:sub>
            <m:r>
              <m:t>0</m:t>
            </m:r>
          </m:sub>
        </m:sSub>
        <m:r>
          <m:rPr>
            <m:sty m:val="p"/>
          </m:rPr>
          <m:t>=</m:t>
        </m:r>
        <m:r>
          <m:t>2</m:t>
        </m:r>
      </m:oMath>
      <w:r>
        <w:t xml:space="preserve"> </w:t>
      </w:r>
      <w:r>
        <w:t xml:space="preserve">in declared dimensionless numerical units.</w:t>
      </w:r>
    </w:p>
    <w:tbl>
      <w:tblPr>
        <w:tblStyle w:val="Table"/>
        <w:tblW w:type="auto" w:w="0"/>
        <w:tblLayout w:type="fixed"/>
        <w:tblLook w:firstRow="1" w:lastRow="0" w:firstColumn="0" w:lastColumn="0" w:noHBand="0" w:noVBand="0" w:val="0020"/>
        <w:jc w:val="start"/>
      </w:tblPr>
      <w:tblGrid>
        <w:gridCol w:w="2640"/>
        <w:gridCol w:w="2640"/>
        <w:gridCol w:w="2640"/>
      </w:tblGrid>
      <w:tr>
        <w:trPr>
          <w:tblHeader w:val="true"/>
          <w:tblHeader/>
        </w:trPr>
        <w:tc>
          <w:tcPr>
            <w:tcBorders>
              <w:top w:val="single" w:sz="4" w:color="D9D9D9"/>
              <w:bottom w:val="single" w:sz="4" w:color="D9D9D9"/>
              <w:left w:val="single" w:sz="4" w:color="D9D9D9"/>
              <w:right w:val="single" w:sz="4" w:color="D9D9D9"/>
            </w:tcBorders>
            <w:shd w:fill="E7EDF2"/>
          </w:tcPr>
          <w:p>
            <w:pPr>
              <w:pStyle w:val="Compact"/>
              <w:spacing w:after="80" w:before="80"/>
              <w:jc w:val="left"/>
            </w:pPr>
            <w:r>
              <w:rPr>
                <w:sz w:val="20"/>
              </w:rPr>
              <w:t xml:space="preserve">Quantity</w:t>
            </w:r>
          </w:p>
        </w:tc>
        <w:tc>
          <w:tcPr>
            <w:tcBorders>
              <w:top w:val="single" w:sz="4" w:color="D9D9D9"/>
              <w:bottom w:val="single" w:sz="4" w:color="D9D9D9"/>
              <w:left w:val="single" w:sz="4" w:color="D9D9D9"/>
              <w:right w:val="single" w:sz="4" w:color="D9D9D9"/>
            </w:tcBorders>
            <w:shd w:fill="E7EDF2"/>
          </w:tcPr>
          <w:p>
            <w:pPr>
              <w:pStyle w:val="Compact"/>
              <w:spacing w:after="80" w:before="80"/>
              <w:jc w:val="right"/>
            </w:pPr>
            <w:r>
              <w:rPr>
                <w:sz w:val="20"/>
              </w:rPr>
              <w:t xml:space="preserve">Preparation A</w:t>
            </w:r>
          </w:p>
        </w:tc>
        <w:tc>
          <w:tcPr>
            <w:tcBorders>
              <w:top w:val="single" w:sz="4" w:color="D9D9D9"/>
              <w:bottom w:val="single" w:sz="4" w:color="D9D9D9"/>
              <w:left w:val="single" w:sz="4" w:color="D9D9D9"/>
              <w:right w:val="single" w:sz="4" w:color="D9D9D9"/>
            </w:tcBorders>
            <w:shd w:fill="E7EDF2"/>
          </w:tcPr>
          <w:p>
            <w:pPr>
              <w:pStyle w:val="Compact"/>
              <w:spacing w:after="80" w:before="80"/>
              <w:jc w:val="right"/>
            </w:pPr>
            <w:r>
              <w:rPr>
                <w:sz w:val="20"/>
              </w:rPr>
              <w:t xml:space="preserve">Preparation B</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Mean load</w:t>
            </w:r>
          </w:p>
        </w:tc>
        <w:tc>
          <w:tcPr>
            <w:tcBorders>
              <w:top w:val="single" w:sz="4" w:color="D9D9D9"/>
              <w:bottom w:val="single" w:sz="4" w:color="D9D9D9"/>
              <w:left w:val="single" w:sz="4" w:color="D9D9D9"/>
              <w:right w:val="single" w:sz="4" w:color="D9D9D9"/>
            </w:tcBorders>
          </w:tcPr>
          <w:p>
            <w:pPr>
              <w:pStyle w:val="Compact"/>
              <w:spacing w:after="80" w:before="80"/>
              <w:jc w:val="right"/>
            </w:pPr>
            <w:r>
              <w:rPr>
                <w:sz w:val="20"/>
              </w:rPr>
              <w:t xml:space="preserve">0.823167093659</w:t>
            </w:r>
          </w:p>
        </w:tc>
        <w:tc>
          <w:tcPr>
            <w:tcBorders>
              <w:top w:val="single" w:sz="4" w:color="D9D9D9"/>
              <w:bottom w:val="single" w:sz="4" w:color="D9D9D9"/>
              <w:left w:val="single" w:sz="4" w:color="D9D9D9"/>
              <w:right w:val="single" w:sz="4" w:color="D9D9D9"/>
            </w:tcBorders>
          </w:tcPr>
          <w:p>
            <w:pPr>
              <w:pStyle w:val="Compact"/>
              <w:spacing w:after="80" w:before="80"/>
              <w:jc w:val="right"/>
            </w:pPr>
            <w:r>
              <w:rPr>
                <w:sz w:val="20"/>
              </w:rPr>
              <w:t xml:space="preserve">0.823167093659</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Joint variance</w:t>
            </w:r>
          </w:p>
        </w:tc>
        <w:tc>
          <w:tcPr>
            <w:tcBorders>
              <w:top w:val="single" w:sz="4" w:color="D9D9D9"/>
              <w:bottom w:val="single" w:sz="4" w:color="D9D9D9"/>
              <w:left w:val="single" w:sz="4" w:color="D9D9D9"/>
              <w:right w:val="single" w:sz="4" w:color="D9D9D9"/>
            </w:tcBorders>
          </w:tcPr>
          <w:p>
            <w:pPr>
              <w:pStyle w:val="Compact"/>
              <w:spacing w:after="80" w:before="80"/>
              <w:jc w:val="right"/>
            </w:pPr>
            <w:r>
              <w:rPr>
                <w:sz w:val="20"/>
              </w:rPr>
              <w:t xml:space="preserve">1.016451706290</w:t>
            </w:r>
          </w:p>
        </w:tc>
        <w:tc>
          <w:tcPr>
            <w:tcBorders>
              <w:top w:val="single" w:sz="4" w:color="D9D9D9"/>
              <w:bottom w:val="single" w:sz="4" w:color="D9D9D9"/>
              <w:left w:val="single" w:sz="4" w:color="D9D9D9"/>
              <w:right w:val="single" w:sz="4" w:color="D9D9D9"/>
            </w:tcBorders>
          </w:tcPr>
          <w:p>
            <w:pPr>
              <w:pStyle w:val="Compact"/>
              <w:spacing w:after="80" w:before="80"/>
              <w:jc w:val="right"/>
            </w:pPr>
            <w:r>
              <w:rPr>
                <w:sz w:val="20"/>
              </w:rPr>
              <w:t xml:space="preserve">1.016435565120</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Clamped variance</w:t>
            </w:r>
          </w:p>
        </w:tc>
        <w:tc>
          <w:tcPr>
            <w:tcBorders>
              <w:top w:val="single" w:sz="4" w:color="D9D9D9"/>
              <w:bottom w:val="single" w:sz="4" w:color="D9D9D9"/>
              <w:left w:val="single" w:sz="4" w:color="D9D9D9"/>
              <w:right w:val="single" w:sz="4" w:color="D9D9D9"/>
            </w:tcBorders>
          </w:tcPr>
          <w:p>
            <w:pPr>
              <w:pStyle w:val="Compact"/>
              <w:spacing w:after="80" w:before="80"/>
              <w:jc w:val="right"/>
            </w:pPr>
            <w:r>
              <w:rPr>
                <w:sz w:val="20"/>
              </w:rPr>
              <w:t xml:space="preserve">0.941571835290</w:t>
            </w:r>
          </w:p>
        </w:tc>
        <w:tc>
          <w:tcPr>
            <w:tcBorders>
              <w:top w:val="single" w:sz="4" w:color="D9D9D9"/>
              <w:bottom w:val="single" w:sz="4" w:color="D9D9D9"/>
              <w:left w:val="single" w:sz="4" w:color="D9D9D9"/>
              <w:right w:val="single" w:sz="4" w:color="D9D9D9"/>
            </w:tcBorders>
          </w:tcPr>
          <w:p>
            <w:pPr>
              <w:pStyle w:val="Compact"/>
              <w:spacing w:after="80" w:before="80"/>
              <w:jc w:val="right"/>
            </w:pPr>
            <w:r>
              <w:rPr>
                <w:sz w:val="20"/>
              </w:rPr>
              <w:t xml:space="preserve">0.941568607056</w:t>
            </w:r>
          </w:p>
        </w:tc>
      </w:tr>
      <w:tr>
        <w:trPr/>
        <w:tc>
          <w:tcPr>
            <w:tcBorders>
              <w:top w:val="single" w:sz="4" w:color="D9D9D9"/>
              <w:bottom w:val="single" w:sz="4" w:color="D9D9D9"/>
              <w:left w:val="single" w:sz="4" w:color="D9D9D9"/>
              <w:right w:val="single" w:sz="4" w:color="D9D9D9"/>
            </w:tcBorders>
          </w:tcPr>
          <w:p>
            <w:pPr>
              <w:pStyle w:val="Compact"/>
              <w:spacing w:after="80" w:before="80"/>
              <w:jc w:val="left"/>
            </w:pPr>
            <w:r>
              <w:rPr>
                <w:sz w:val="20"/>
              </w:rPr>
              <w:t xml:space="preserve">Joint inverse response</w:t>
            </w:r>
          </w:p>
        </w:tc>
        <w:tc>
          <w:tcPr>
            <w:tcBorders>
              <w:top w:val="single" w:sz="4" w:color="D9D9D9"/>
              <w:bottom w:val="single" w:sz="4" w:color="D9D9D9"/>
              <w:left w:val="single" w:sz="4" w:color="D9D9D9"/>
              <w:right w:val="single" w:sz="4" w:color="D9D9D9"/>
            </w:tcBorders>
          </w:tcPr>
          <w:p>
            <w:pPr>
              <w:pStyle w:val="Compact"/>
              <w:spacing w:after="80" w:before="80"/>
              <w:jc w:val="right"/>
            </w:pPr>
            <w:r>
              <w:rPr>
                <w:sz w:val="20"/>
              </w:rPr>
              <w:t xml:space="preserve">1.016726892208</w:t>
            </w:r>
          </w:p>
        </w:tc>
        <w:tc>
          <w:tcPr>
            <w:tcBorders>
              <w:top w:val="single" w:sz="4" w:color="D9D9D9"/>
              <w:bottom w:val="single" w:sz="4" w:color="D9D9D9"/>
              <w:left w:val="single" w:sz="4" w:color="D9D9D9"/>
              <w:right w:val="single" w:sz="4" w:color="D9D9D9"/>
            </w:tcBorders>
          </w:tcPr>
          <w:p>
            <w:pPr>
              <w:pStyle w:val="Compact"/>
              <w:spacing w:after="80" w:before="80"/>
              <w:jc w:val="right"/>
            </w:pPr>
            <w:r>
              <w:rPr>
                <w:sz w:val="20"/>
              </w:rPr>
              <w:t xml:space="preserve">1.016710206812</w:t>
            </w:r>
          </w:p>
        </w:tc>
      </w:tr>
    </w:tbl>
    <w:p>
      <w:pPr>
        <w:pStyle w:val="BodyText"/>
        <w:widowControl/>
      </w:pPr>
      <w:r>
        <w:t xml:space="preserve">The joint variance gap is</w:t>
      </w:r>
      <w:r>
        <w:t xml:space="preserve"> </w:t>
      </w:r>
      <m:oMath>
        <m:r>
          <m:t>1.614116958</m:t>
        </m:r>
        <m:r>
          <m:rPr>
            <m:sty m:val="p"/>
          </m:rPr>
          <m:t>×</m:t>
        </m:r>
        <m:sSup>
          <m:e>
            <m:r>
              <m:t>10</m:t>
            </m:r>
          </m:e>
          <m:sup>
            <m:r>
              <m:rPr>
                <m:sty m:val="p"/>
              </m:rPr>
              <m:t>−</m:t>
            </m:r>
            <m:r>
              <m:t>5</m:t>
            </m:r>
          </m:sup>
        </m:sSup>
      </m:oMath>
      <w:r>
        <w:t xml:space="preserve">; the clamped gap is one fifth of it. The carrier marginal residual is zero in this run and the weighted-operator residual is</w:t>
      </w:r>
      <w:r>
        <w:t xml:space="preserve"> </w:t>
      </w:r>
      <m:oMath>
        <m:r>
          <m:t>5.56</m:t>
        </m:r>
        <m:r>
          <m:rPr>
            <m:sty m:val="p"/>
          </m:rPr>
          <m:t>×</m:t>
        </m:r>
        <m:sSup>
          <m:e>
            <m:r>
              <m:t>10</m:t>
            </m:r>
          </m:e>
          <m:sup>
            <m:r>
              <m:rPr>
                <m:sty m:val="p"/>
              </m:rPr>
              <m:t>−</m:t>
            </m:r>
            <m:r>
              <m:t>17</m:t>
            </m:r>
          </m:sup>
        </m:sSup>
      </m:oMath>
      <w:r>
        <w:t xml:space="preserve">. Both preparations use the same stationary bias because their mean loads agree. These values quantify a failure of response sufficiency within the model, not a measured departure from Newtonian gravity.</w:t>
      </w:r>
    </w:p>
    <w:p>
      <w:pPr>
        <w:pStyle w:val="BodyText"/>
        <w:widowControl/>
      </w:pPr>
      <w:r>
        <w:t xml:space="preserve">For a separate two-node grounded field example take</w:t>
      </w:r>
    </w:p>
    <w:p>
      <w:pPr>
        <w:pStyle w:val="BodyText"/>
        <w:widowControl/>
      </w:pPr>
      <m:oMathPara>
        <m:oMathParaPr>
          <m:jc m:val="center"/>
        </m:oMathParaPr>
        <m:oMath>
          <m:sSub>
            <m:e>
              <m:r>
                <m:t>K</m:t>
              </m:r>
            </m:e>
            <m:sub>
              <m:r>
                <m:t>0</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r>
            <m:t>  </m:t>
          </m:r>
          <m:r>
            <m:t>b</m:t>
          </m:r>
          <m:r>
            <m:rPr>
              <m:sty m:val="p"/>
            </m:rPr>
            <m:t>∈</m:t>
          </m:r>
          <m:r>
            <m:rPr>
              <m:sty m:val="p"/>
            </m:rPr>
            <m:t>{</m:t>
          </m:r>
          <m:d>
            <m:dPr>
              <m:begChr m:val="("/>
              <m:endChr m:val=")"/>
              <m:sepChr m:val=""/>
              <m:grow/>
            </m:dPr>
            <m:e>
              <m:r>
                <m:t>1</m:t>
              </m:r>
              <m:r>
                <m:rPr>
                  <m:sty m:val="p"/>
                </m:rPr>
                <m:t>,</m:t>
              </m:r>
              <m:r>
                <m:t>0</m:t>
              </m:r>
            </m:e>
          </m:d>
          <m:r>
            <m:rPr>
              <m:sty m:val="p"/>
            </m:rPr>
            <m:t>,</m:t>
          </m:r>
          <m:d>
            <m:dPr>
              <m:begChr m:val="("/>
              <m:endChr m:val=")"/>
              <m:sepChr m:val=""/>
              <m:grow/>
            </m:dPr>
            <m:e>
              <m:r>
                <m:rPr>
                  <m:sty m:val="p"/>
                </m:rPr>
                <m:t>−</m:t>
              </m:r>
              <m:r>
                <m:t>1</m:t>
              </m:r>
              <m:r>
                <m:rPr>
                  <m:sty m:val="p"/>
                </m:rPr>
                <m:t>,</m:t>
              </m:r>
              <m:r>
                <m:t>0</m:t>
              </m:r>
            </m:e>
          </m:d>
          <m:r>
            <m:rPr>
              <m:sty m:val="p"/>
            </m:rPr>
            <m:t>,</m:t>
          </m:r>
          <m:d>
            <m:dPr>
              <m:begChr m:val="("/>
              <m:endChr m:val=")"/>
              <m:sepChr m:val=""/>
              <m:grow/>
            </m:dPr>
            <m:e>
              <m:r>
                <m:t>0</m:t>
              </m:r>
              <m:r>
                <m:rPr>
                  <m:sty m:val="p"/>
                </m:rPr>
                <m:t>,</m:t>
              </m:r>
              <m:r>
                <m:t>2</m:t>
              </m:r>
            </m:e>
          </m:d>
          <m:r>
            <m:rPr>
              <m:sty m:val="p"/>
            </m:rPr>
            <m:t>,</m:t>
          </m:r>
          <m:d>
            <m:dPr>
              <m:begChr m:val="("/>
              <m:endChr m:val=")"/>
              <m:sepChr m:val=""/>
              <m:grow/>
            </m:dPr>
            <m:e>
              <m:r>
                <m:t>0</m:t>
              </m:r>
              <m:r>
                <m:rPr>
                  <m:sty m:val="p"/>
                </m:rPr>
                <m:t>,</m:t>
              </m:r>
              <m:r>
                <m:rPr>
                  <m:sty m:val="p"/>
                </m:rPr>
                <m:t>−</m:t>
              </m:r>
              <m:r>
                <m:t>2</m:t>
              </m:r>
            </m:e>
          </m:d>
          <m:r>
            <m:rPr>
              <m:sty m:val="p"/>
            </m:rPr>
            <m:t>}</m:t>
          </m:r>
          <m:r>
            <m:rPr>
              <m:sty m:val="p"/>
            </m:rPr>
            <m:t>,</m:t>
          </m:r>
          <m:r>
            <m:t>  </m:t>
          </m:r>
          <m:sSub>
            <m:e>
              <m:r>
                <m:t>p</m:t>
              </m:r>
            </m:e>
            <m:sub>
              <m:r>
                <m:t>a</m:t>
              </m:r>
            </m:sub>
          </m:sSub>
          <m:r>
            <m:rPr>
              <m:sty m:val="p"/>
            </m:rPr>
            <m:t>=</m:t>
          </m:r>
          <m:f>
            <m:fPr>
              <m:type m:val="lin"/>
            </m:fPr>
            <m:num>
              <m:r>
                <m:t>1</m:t>
              </m:r>
            </m:num>
            <m:den>
              <m:r>
                <m:t>4</m:t>
              </m:r>
            </m:den>
          </m:f>
          <m:r>
            <m:rPr>
              <m:sty m:val="p"/>
            </m:rPr>
            <m:t>.</m:t>
          </m:r>
          <m:r>
            <m:t>  </m:t>
          </m:r>
          <m:d>
            <m:dPr>
              <m:begChr m:val="("/>
              <m:endChr m:val=")"/>
              <m:sepChr m:val=""/>
              <m:grow/>
            </m:dPr>
            <m:e>
              <m:r>
                <m:t>17</m:t>
              </m:r>
            </m:e>
          </m:d>
        </m:oMath>
      </m:oMathPara>
    </w:p>
    <w:p>
      <w:pPr>
        <w:pStyle w:val="FirstParagraph"/>
        <w:widowControl/>
      </w:pPr>
      <w:r>
        <w:t xml:space="preserve">Its covariance is</w:t>
      </w:r>
      <w:r>
        <w:t xml:space="preserve"> </w:t>
      </w:r>
      <m:oMath>
        <m:r>
          <m:rPr>
            <m:sty m:val="p"/>
          </m:rPr>
          <m:t>diag</m:t>
        </m:r>
        <m:d>
          <m:dPr>
            <m:begChr m:val="("/>
            <m:endChr m:val=")"/>
            <m:sepChr m:val=""/>
            <m:grow/>
          </m:dPr>
          <m:e>
            <m:r>
              <m:t>1</m:t>
            </m:r>
            <m:r>
              <m:rPr>
                <m:sty m:val="p"/>
              </m:rPr>
              <m:t>/</m:t>
            </m:r>
            <m:r>
              <m:t>2</m:t>
            </m:r>
            <m:r>
              <m:rPr>
                <m:sty m:val="p"/>
              </m:rPr>
              <m:t>,</m:t>
            </m:r>
            <m:r>
              <m:t>2</m:t>
            </m:r>
          </m:e>
        </m:d>
      </m:oMath>
      <w:r>
        <w:t xml:space="preserve">. In numerical units let</w:t>
      </w:r>
      <w:r>
        <w:t xml:space="preserve"> </w:t>
      </w:r>
      <m:oMath>
        <m:r>
          <m:t>η</m:t>
        </m:r>
        <m:r>
          <m:rPr>
            <m:sty m:val="p"/>
          </m:rPr>
          <m:t>=</m:t>
        </m:r>
        <m:r>
          <m:t>β</m:t>
        </m:r>
        <m:sSup>
          <m:e>
            <m:r>
              <m:t>ϵ</m:t>
            </m:r>
          </m:e>
          <m:sup>
            <m:r>
              <m:t>2</m:t>
            </m:r>
          </m:sup>
        </m:sSup>
      </m:oMath>
      <w:r>
        <w:t xml:space="preserve">. The generalized covariance eigenvalues are</w:t>
      </w:r>
      <w:r>
        <w:t xml:space="preserve"> </w:t>
      </w:r>
      <m:oMath>
        <m:r>
          <m:t>0.232408120756</m:t>
        </m:r>
      </m:oMath>
      <w:r>
        <w:t xml:space="preserve"> </w:t>
      </w:r>
      <w:r>
        <w:t xml:space="preserve">and</w:t>
      </w:r>
      <w:r>
        <w:t xml:space="preserve"> </w:t>
      </w:r>
      <m:oMath>
        <m:r>
          <m:t>1.434258545911</m:t>
        </m:r>
      </m:oMath>
      <w:r>
        <w:t xml:space="preserve">, giving the critical value</w:t>
      </w:r>
      <w:r>
        <w:t xml:space="preserve"> </w:t>
      </w:r>
      <m:oMath>
        <m:sSub>
          <m:e>
            <m:r>
              <m:t>η</m:t>
            </m:r>
          </m:e>
          <m:sub>
            <m:r>
              <m:t>c</m:t>
            </m:r>
          </m:sub>
        </m:sSub>
        <m:r>
          <m:rPr>
            <m:sty m:val="p"/>
          </m:rPr>
          <m:t>=</m:t>
        </m:r>
        <m:r>
          <m:t>0.697224362268</m:t>
        </m:r>
      </m:oMath>
      <w:r>
        <w:t xml:space="preserve">. At</w:t>
      </w:r>
      <w:r>
        <w:t xml:space="preserve"> </w:t>
      </w:r>
      <m:oMath>
        <m:r>
          <m:t>η</m:t>
        </m:r>
        <m:r>
          <m:rPr>
            <m:sty m:val="p"/>
          </m:rPr>
          <m:t>=</m:t>
        </m:r>
        <m:r>
          <m:t>0.3</m:t>
        </m:r>
      </m:oMath>
      <w:r>
        <w:t xml:space="preserve">, the two modal gains are</w:t>
      </w:r>
      <w:r>
        <w:t xml:space="preserve"> </w:t>
      </w:r>
      <m:oMath>
        <m:r>
          <m:t>1.074947992881</m:t>
        </m:r>
      </m:oMath>
      <w:r>
        <w:t xml:space="preserve"> </w:t>
      </w:r>
      <w:r>
        <w:t xml:space="preserve">and</w:t>
      </w:r>
      <w:r>
        <w:t xml:space="preserve"> </w:t>
      </w:r>
      <m:oMath>
        <m:r>
          <m:t>1.755240686365</m:t>
        </m:r>
      </m:oMath>
      <w:r>
        <w:t xml:space="preserve">. The response therefore cannot be represented by a single scalar coupling. Figure 1 shows their growth toward the local stability boundary. Its second panel resolves the otherwise nearly coincident free-energy responses of the WRRA witness.</w:t>
      </w:r>
    </w:p>
    <w:p>
      <w:pPr>
        <w:pStyle w:val="BodyText"/>
        <w:widowControl/>
      </w:pPr>
      <w:r>
        <w:drawing>
          <wp:inline>
            <wp:extent cx="5334000" cy="2074333"/>
            <wp:effectExtent b="0" l="0" r="0" t="0"/>
            <wp:docPr descr="" title="" id="30" name="Picture"/>
            <a:graphic>
              <a:graphicData uri="http://schemas.openxmlformats.org/drawingml/2006/picture">
                <pic:pic>
                  <pic:nvPicPr>
                    <pic:cNvPr descr="response_figure.png" id="31" name="Picture"/>
                    <pic:cNvPicPr>
                      <a:picLocks noChangeArrowheads="1" noChangeAspect="1"/>
                    </pic:cNvPicPr>
                  </pic:nvPicPr>
                  <pic:blipFill>
                    <a:blip r:embed="rId29"/>
                    <a:stretch>
                      <a:fillRect/>
                    </a:stretch>
                  </pic:blipFill>
                  <pic:spPr bwMode="auto">
                    <a:xfrm>
                      <a:off x="0" y="0"/>
                      <a:ext cx="5334000" cy="2074333"/>
                    </a:xfrm>
                    <a:prstGeom prst="rect">
                      <a:avLst/>
                    </a:prstGeom>
                    <a:noFill/>
                    <a:ln w="9525">
                      <a:noFill/>
                      <a:headEnd/>
                      <a:tailEnd/>
                    </a:ln>
                  </pic:spPr>
                </pic:pic>
              </a:graphicData>
            </a:graphic>
          </wp:inline>
        </w:drawing>
      </w:r>
    </w:p>
    <w:p>
      <w:pPr>
        <w:pStyle w:val="BodyText"/>
        <w:keepNext w:val="0"/>
        <w:widowControl/>
      </w:pPr>
      <w:r>
        <w:t xml:space="preserve">Figure 1. Left, relative modal gains for the grounded two-node example, below its local instability. Right, the difference between the centered free-energy curves of preparations A and B in Table 3. The dashed curve is the quadratic approximation</w:t>
      </w:r>
      <w:r>
        <w:t xml:space="preserve"> </w:t>
      </w:r>
      <m:oMath>
        <m:r>
          <m:rPr>
            <m:sty m:val="p"/>
          </m:rPr>
          <m:t>−</m:t>
        </m:r>
        <m:r>
          <m:t>Δ</m:t>
        </m:r>
        <m:r>
          <m:t>C</m:t>
        </m:r>
        <m:sSup>
          <m:e>
            <m:r>
              <m:t>x</m:t>
            </m:r>
          </m:e>
          <m:sup>
            <m:r>
              <m:t>2</m:t>
            </m:r>
          </m:sup>
        </m:sSup>
        <m:r>
          <m:rPr>
            <m:sty m:val="p"/>
          </m:rPr>
          <m:t>/</m:t>
        </m:r>
        <m:r>
          <m:t>2</m:t>
        </m:r>
      </m:oMath>
      <w:r>
        <w:t xml:space="preserve"> </w:t>
      </w:r>
      <w:r>
        <w:t xml:space="preserve">in the witness units. The curves are finite constructed-state calculations and are not astronomical data.</w:t>
      </w:r>
    </w:p>
    <w:p>
      <w:pPr>
        <w:pStyle w:val="BodyText"/>
        <w:widowControl/>
      </w:pPr>
      <w:r>
        <w:t xml:space="preserve">For the source-elimination check, use the symmetric stiffness with rows</w:t>
      </w:r>
      <w:r>
        <w:t xml:space="preserve"> </w:t>
      </w:r>
      <m:oMath>
        <m:d>
          <m:dPr>
            <m:begChr m:val="("/>
            <m:endChr m:val=")"/>
            <m:sepChr m:val=""/>
            <m:grow/>
          </m:dPr>
          <m:e>
            <m:r>
              <m:t>3</m:t>
            </m:r>
            <m:r>
              <m:rPr>
                <m:sty m:val="p"/>
              </m:rPr>
              <m:t>,</m:t>
            </m:r>
            <m:r>
              <m:rPr>
                <m:sty m:val="p"/>
              </m:rPr>
              <m:t>−</m:t>
            </m:r>
            <m:r>
              <m:t>1</m:t>
            </m:r>
            <m:r>
              <m:rPr>
                <m:sty m:val="p"/>
              </m:rPr>
              <m:t>,</m:t>
            </m:r>
            <m:r>
              <m:rPr>
                <m:sty m:val="p"/>
              </m:rPr>
              <m:t>−</m:t>
            </m:r>
            <m:r>
              <m:t>0.5</m:t>
            </m:r>
          </m:e>
        </m:d>
      </m:oMath>
      <w:r>
        <w:t xml:space="preserve">,</w:t>
      </w:r>
      <w:r>
        <w:t xml:space="preserve"> </w:t>
      </w:r>
      <m:oMath>
        <m:d>
          <m:dPr>
            <m:begChr m:val="("/>
            <m:endChr m:val=")"/>
            <m:sepChr m:val=""/>
            <m:grow/>
          </m:dPr>
          <m:e>
            <m:r>
              <m:rPr>
                <m:sty m:val="p"/>
              </m:rPr>
              <m:t>−</m:t>
            </m:r>
            <m:r>
              <m:t>1</m:t>
            </m:r>
            <m:r>
              <m:rPr>
                <m:sty m:val="p"/>
              </m:rPr>
              <m:t>,</m:t>
            </m:r>
            <m:r>
              <m:t>3</m:t>
            </m:r>
            <m:r>
              <m:rPr>
                <m:sty m:val="p"/>
              </m:rPr>
              <m:t>,</m:t>
            </m:r>
            <m:r>
              <m:rPr>
                <m:sty m:val="p"/>
              </m:rPr>
              <m:t>−</m:t>
            </m:r>
            <m:r>
              <m:t>1</m:t>
            </m:r>
          </m:e>
        </m:d>
      </m:oMath>
      <w:r>
        <w:t xml:space="preserve">,</w:t>
      </w:r>
      <w:r>
        <w:t xml:space="preserve"> </w:t>
      </w:r>
      <m:oMath>
        <m:d>
          <m:dPr>
            <m:begChr m:val="("/>
            <m:endChr m:val=")"/>
            <m:sepChr m:val=""/>
            <m:grow/>
          </m:dPr>
          <m:e>
            <m:r>
              <m:rPr>
                <m:sty m:val="p"/>
              </m:rPr>
              <m:t>−</m:t>
            </m:r>
            <m:r>
              <m:t>0.5</m:t>
            </m:r>
            <m:r>
              <m:rPr>
                <m:sty m:val="p"/>
              </m:rPr>
              <m:t>,</m:t>
            </m:r>
            <m:r>
              <m:rPr>
                <m:sty m:val="p"/>
              </m:rPr>
              <m:t>−</m:t>
            </m:r>
            <m:r>
              <m:t>1</m:t>
            </m:r>
            <m:r>
              <m:rPr>
                <m:sty m:val="p"/>
              </m:rPr>
              <m:t>,</m:t>
            </m:r>
            <m:r>
              <m:t>2.5</m:t>
            </m:r>
          </m:e>
        </m:d>
      </m:oMath>
      <w:r>
        <w:t xml:space="preserve"> </w:t>
      </w:r>
      <w:r>
        <w:t xml:space="preserve">and source</w:t>
      </w:r>
      <w:r>
        <w:t xml:space="preserve"> </w:t>
      </w:r>
      <m:oMath>
        <m:d>
          <m:dPr>
            <m:begChr m:val="("/>
            <m:endChr m:val=")"/>
            <m:sepChr m:val=""/>
            <m:grow/>
          </m:dPr>
          <m:e>
            <m:r>
              <m:t>0.3</m:t>
            </m:r>
            <m:r>
              <m:rPr>
                <m:sty m:val="p"/>
              </m:rPr>
              <m:t>,</m:t>
            </m:r>
            <m:r>
              <m:rPr>
                <m:sty m:val="p"/>
              </m:rPr>
              <m:t>−</m:t>
            </m:r>
            <m:r>
              <m:t>0.2</m:t>
            </m:r>
            <m:r>
              <m:rPr>
                <m:sty m:val="p"/>
              </m:rPr>
              <m:t>,</m:t>
            </m:r>
            <m:r>
              <m:t>0.7</m:t>
            </m:r>
          </m:e>
        </m:d>
      </m:oMath>
      <w:r>
        <w:t xml:space="preserve">. Eliminating the third coordinate with Eq. (15) reproduces the first two full-solution coordinates</w:t>
      </w:r>
      <w:r>
        <w:t xml:space="preserve"> </w:t>
      </w:r>
      <m:oMath>
        <m:d>
          <m:dPr>
            <m:begChr m:val="("/>
            <m:endChr m:val=")"/>
            <m:sepChr m:val=""/>
            <m:grow/>
          </m:dPr>
          <m:e>
            <m:r>
              <m:rPr>
                <m:sty m:val="p"/>
              </m:rPr>
              <m:t>−</m:t>
            </m:r>
            <m:r>
              <m:t>0.203278688525</m:t>
            </m:r>
            <m:r>
              <m:rPr>
                <m:sty m:val="p"/>
              </m:rPr>
              <m:t>,</m:t>
            </m:r>
            <m:r>
              <m:rPr>
                <m:sty m:val="p"/>
              </m:rPr>
              <m:t>−</m:t>
            </m:r>
            <m:r>
              <m:t>0.124590163934</m:t>
            </m:r>
          </m:e>
        </m:d>
      </m:oMath>
      <w:r>
        <w:t xml:space="preserve"> </w:t>
      </w:r>
      <w:r>
        <w:t xml:space="preserve">and the minimized energy. If the source correction is omitted, the result becomes</w:t>
      </w:r>
      <w:r>
        <w:t xml:space="preserve"> </w:t>
      </w:r>
      <m:oMath>
        <m:d>
          <m:dPr>
            <m:begChr m:val="("/>
            <m:endChr m:val=")"/>
            <m:sepChr m:val=""/>
            <m:grow/>
          </m:dPr>
          <m:e>
            <m:r>
              <m:rPr>
                <m:sty m:val="p"/>
              </m:rPr>
              <m:t>−</m:t>
            </m:r>
            <m:r>
              <m:t>0.088524590164</m:t>
            </m:r>
            <m:r>
              <m:rPr>
                <m:sty m:val="p"/>
              </m:rPr>
              <m:t>,</m:t>
            </m:r>
            <m:r>
              <m:t>0.036065573770</m:t>
            </m:r>
          </m:e>
        </m:d>
      </m:oMath>
      <w:r>
        <w:t xml:space="preserve">, including a wrong sign in the second coordinate. This negative control shows why stiffness matching alone is incomplete.</w:t>
      </w:r>
    </w:p>
    <w:p>
      <w:pPr>
        <w:pStyle w:val="BodyText"/>
        <w:widowControl/>
      </w:pPr>
      <w:r>
        <w:t xml:space="preserve">The suite records 31 named residual checks, including central differences of both the joint and clamped analytic Hessians with step</w:t>
      </w:r>
      <w:r>
        <w:t xml:space="preserve"> </w:t>
      </w:r>
      <m:oMath>
        <m:sSup>
          <m:e>
            <m:r>
              <m:t>10</m:t>
            </m:r>
          </m:e>
          <m:sup>
            <m:r>
              <m:rPr>
                <m:sty m:val="p"/>
              </m:rPr>
              <m:t>−</m:t>
            </m:r>
            <m:r>
              <m:t>5</m:t>
            </m:r>
          </m:sup>
        </m:sSup>
      </m:oMath>
      <w:r>
        <w:t xml:space="preserve">, exact load-class aggregation at nine finite fields, the same-global-distribution clamped counterexample, the Schur response and energy, and the pressure derivative. Algebraic residual tolerances are</w:t>
      </w:r>
      <w:r>
        <w:t xml:space="preserve"> </w:t>
      </w:r>
      <m:oMath>
        <m:sSup>
          <m:e>
            <m:r>
              <m:t>10</m:t>
            </m:r>
          </m:e>
          <m:sup>
            <m:r>
              <m:rPr>
                <m:sty m:val="p"/>
              </m:rPr>
              <m:t>−</m:t>
            </m:r>
            <m:r>
              <m:t>10</m:t>
            </m:r>
          </m:sup>
        </m:sSup>
      </m:oMath>
      <w:r>
        <w:t xml:space="preserve">; finite-difference tolerances are</w:t>
      </w:r>
      <w:r>
        <w:t xml:space="preserve"> </w:t>
      </w:r>
      <m:oMath>
        <m:sSup>
          <m:e>
            <m:r>
              <m:t>10</m:t>
            </m:r>
          </m:e>
          <m:sup>
            <m:r>
              <m:rPr>
                <m:sty m:val="p"/>
              </m:rPr>
              <m:t>−</m:t>
            </m:r>
            <m:r>
              <m:t>8</m:t>
            </m:r>
          </m:sup>
        </m:sSup>
      </m:oMath>
      <w:r>
        <w:t xml:space="preserve"> </w:t>
      </w:r>
      <w:r>
        <w:t xml:space="preserve">for the Hessians and</w:t>
      </w:r>
      <w:r>
        <w:t xml:space="preserve"> </w:t>
      </w:r>
      <m:oMath>
        <m:sSup>
          <m:e>
            <m:r>
              <m:t>10</m:t>
            </m:r>
          </m:e>
          <m:sup>
            <m:r>
              <m:rPr>
                <m:sty m:val="p"/>
              </m:rPr>
              <m:t>−</m:t>
            </m:r>
            <m:r>
              <m:t>9</m:t>
            </m:r>
          </m:sup>
        </m:sSup>
      </m:oMath>
      <w:r>
        <w:t xml:space="preserve"> </w:t>
      </w:r>
      <w:r>
        <w:t xml:space="preserve">for pressure. Conditional positivity and normalization, positive reference stiffness and a negative mode beyond the critical feedback are explicitly tested. Counts describe internal implementation checks, not independent experiments. The publication-style AI review is also distinct from external journal peer review.</w:t>
      </w:r>
    </w:p>
    <w:bookmarkEnd w:id="32"/>
    <w:bookmarkStart w:id="33" w:name="assessment-and-conclusion"/>
    <w:p>
      <w:pPr>
        <w:pStyle w:val="Heading1"/>
        <w:widowControl/>
      </w:pPr>
      <w:r>
        <w:t xml:space="preserve">10 Assessment and conclusion</w:t>
      </w:r>
    </w:p>
    <w:p>
      <w:pPr>
        <w:pStyle w:val="FirstParagraph"/>
        <w:widowControl/>
      </w:pPr>
      <w:r>
        <w:t xml:space="preserve">Verified inputs comprise the inherited even-composite response and address exponent, normalized finite preparations, a declared load alphabet, equilibrium rule, baseline stiffness and dimensional anchors. The WRRA transformation maps retained address–carrier probabilities to a load-dependent partition function and then to the Hessian of the same field potential. Its outputs are an explicit snapshot-preserving susceptibility counterexample, a stable inverse response with generally mode-dependent enhancement, and exact reductions for their stated query families.</w:t>
      </w:r>
    </w:p>
    <w:p>
      <w:pPr>
        <w:pStyle w:val="BodyText"/>
        <w:widowControl/>
      </w:pPr>
      <w:r>
        <w:t xml:space="preserve">The mathematical construction fails if preserved operators disagree, if the covariance identity or Schur source account fails, or if a claimed stable response is used beyond the positive-Hessian domain. A physical realization faces separate tests: the preparation and equilibration constraint, load-to-energy coupling, spatial map and dimensional scales must be fixed before comparing measured perturbation responses. Our finite calculations do not supply those observations. A discrepancy under that fixed protocol would reject the proposed realization; refitting a new coupling for each output would change the tested model.</w:t>
      </w:r>
    </w:p>
    <w:p>
      <w:pPr>
        <w:pStyle w:val="BodyText"/>
        <w:widowControl/>
      </w:pPr>
      <w:r>
        <w:t xml:space="preserve">The result advances the information-weight question by identifying a concrete missing ingredient. The same inherited snapshot can correspond to different weak-field susceptibilities. Retaining global load fluctuations repairs the joint local response, while clamped response additionally requires conditional mean information. Retaining the distinct global load-class masses repairs the full joint partition family but can still fail for clamped response. A universal scalar gravitational renormalization is possible only under the proportionality condition of Proposition 4. Thus information has no unique gravitational weight independent of its physical coupling and preparation, while a specified finite model yields an explicit and testable response. Absolute Newtonian normalization, universal coupling of all energy, relativistic field dynamics, quantum noncommutativity, spacetime topology and the observed vacuum-energy scale remain outside this construction.</w:t>
      </w:r>
    </w:p>
    <w:p>
      <w:pPr>
        <w:pStyle w:val="BodyText"/>
        <w:widowControl/>
      </w:pPr>
      <w:r>
        <w:t xml:space="preserve">A concrete next application is a single particle on a small finite lattice with internal states. The joint labels</w:t>
      </w:r>
      <w:r>
        <w:t xml:space="preserve"> </w:t>
      </w:r>
      <m:oMath>
        <m:d>
          <m:dPr>
            <m:begChr m:val="("/>
            <m:endChr m:val=")"/>
            <m:sepChr m:val=""/>
            <m:grow/>
          </m:dPr>
          <m:e>
            <m:r>
              <m:t>n</m:t>
            </m:r>
            <m:r>
              <m:rPr>
                <m:sty m:val="p"/>
              </m:rPr>
              <m:t>,</m:t>
            </m:r>
            <m:r>
              <m:t>k</m:t>
            </m:r>
          </m:e>
        </m:d>
      </m:oMath>
      <w:r>
        <w:t xml:space="preserve"> </w:t>
      </w:r>
      <w:r>
        <w:t xml:space="preserve">can denote its site and internal mode, and a controlled field can shift the assigned mode energies through the fixed load</w:t>
      </w:r>
      <w:r>
        <w:t xml:space="preserve"> </w:t>
      </w:r>
      <m:oMath>
        <m:sSub>
          <m:e>
            <m:r>
              <m:t>b</m:t>
            </m:r>
          </m:e>
          <m:sub>
            <m:r>
              <m:t>n</m:t>
            </m:r>
            <m:r>
              <m:t>k</m:t>
            </m:r>
          </m:sub>
        </m:sSub>
      </m:oMath>
      <w:r>
        <w:t xml:space="preserve">. If hopping and internal transitions equilibrate, Eq. (2) is the relevant preparation contract; if hopping is suppressed while internal transitions relax within each prepared site subensemble, Eq. (3) describes the fixed site weights. This gives an operational comparison of mobile and clamped preparations using the same finite alphabet. It is a proposed realization, not an experimental result or a completed many-particle lattice-gas calculation. Interactions between several particles would require a new configuration-state energy and the appropriate occupancy constraints.</w:t>
      </w:r>
    </w:p>
    <w:p>
      <w:pPr>
        <w:pStyle w:val="BodyText"/>
        <w:widowControl/>
      </w:pPr>
      <w:r>
        <w:t xml:space="preserve">For such a realization, independently characterized baseline stiffness, temperature and energy shifts could be fixed as inputs. The WRRA address-to-carrier load map would then generate the covariance correction and modal response, to be compared with perturbation measurements under each declared constraint. Failure of the covariance response after fixing those inputs, or an observed instability inconsistent with the predicted positive-Hessian boundary, would reject that realization within its stated equilibrium and small-perturbation regime. Matching known response values would be a valid calibration or reproduction result; subsequent unmeasured responses computed with the fixed map would be model predictions. No such laboratory comparison is claimed here. This application separates the already calculated finite response mechanism from the additional physical work needed to realize and test it.</w:t>
      </w:r>
    </w:p>
    <w:bookmarkEnd w:id="33"/>
    <w:bookmarkStart w:id="34" w:name="statements-and-declarations"/>
    <w:p>
      <w:pPr>
        <w:pStyle w:val="Heading1"/>
        <w:widowControl/>
      </w:pPr>
      <w:r>
        <w:t xml:space="preserve">Statements and Declarations</w:t>
      </w:r>
    </w:p>
    <w:p>
      <w:pPr>
        <w:pStyle w:val="FirstParagraph"/>
        <w:widowControl/>
      </w:pPr>
      <w:r>
        <w:t xml:space="preserve">Data and code availability. All newly generated numerical data, the offline reproduction script and editable manuscript source accompany this paper as Online Resource 1. The parent v1.8 construction is archived at https://doi.org/10.5281/zenodo.23233991. No new experimental dataset is reported.</w:t>
      </w:r>
    </w:p>
    <w:p>
      <w:pPr>
        <w:pStyle w:val="BodyText"/>
        <w:widowControl/>
      </w:pPr>
      <w:r>
        <w:t xml:space="preserve">Funding. No funding was received for this study.</w:t>
      </w:r>
    </w:p>
    <w:p>
      <w:pPr>
        <w:pStyle w:val="BodyText"/>
        <w:widowControl/>
      </w:pPr>
      <w:r>
        <w:t xml:space="preserve">Competing interests. The authors declare no competing financial or non-financial interests relevant to this work.</w:t>
      </w:r>
    </w:p>
    <w:p>
      <w:pPr>
        <w:pStyle w:val="BodyText"/>
        <w:widowControl/>
      </w:pPr>
      <w:r>
        <w:t xml:space="preserve">AI assistance. ChatGPT assisted with mathematical development, code, numerical checks, English drafting and document preparation. An independently invoked Astra model at medium reasoning effort reviews the preparation package; its actual reports and revision responses are retained separately. AI review is not external journal peer review. Human authors are responsible for evaluating the work and approving its submission.</w:t>
      </w:r>
    </w:p>
    <w:p>
      <w:pPr>
        <w:pStyle w:val="BodyText"/>
        <w:widowControl/>
      </w:pPr>
      <w:r>
        <w:t xml:space="preserve">Author contributions. Wonsik Choi directed the research question and development of the WRRA framework and preparation of the manuscript with the AI assistance disclosed above. The proposed contribution of Jeongin Choi is discussion of the research ideas and manuscript review. Contributions and approval for this new manuscript are to be finalized by the authors before submission.</w:t>
      </w:r>
    </w:p>
    <w:p>
      <w:pPr>
        <w:pStyle w:val="BodyText"/>
        <w:widowControl/>
      </w:pPr>
      <w:r>
        <w:t xml:space="preserve">Ethics. This theoretical and computational study involves no human participants or animals.</w:t>
      </w:r>
    </w:p>
    <w:bookmarkEnd w:id="34"/>
    <w:bookmarkStart w:id="35" w:name="references"/>
    <w:p>
      <w:pPr>
        <w:pStyle w:val="Heading1"/>
        <w:widowControl/>
      </w:pPr>
      <w:r>
        <w:t xml:space="preserve">References</w:t>
      </w:r>
    </w:p>
    <w:p>
      <w:pPr>
        <w:pStyle w:val="FirstParagraph"/>
        <w:widowControl/>
      </w:pPr>
      <w:r>
        <w:t xml:space="preserve">[1] Choi, W., Choi, J. Developing a finite WRRA toy model to explore quantum gravity vacuum energy and dark sector connections. Version 1.8, preprint (2026). https://doi.org/10.5281/zenodo.23233991</w:t>
      </w:r>
    </w:p>
    <w:p>
      <w:pPr>
        <w:pStyle w:val="BodyText"/>
        <w:widowControl/>
      </w:pPr>
      <w:r>
        <w:t xml:space="preserve">[2] Choi, W., Choi, J. From Number Structure to Particle Selection: A Possible Readout and Its Energy–Pressure Constraints in a Finite WRRA Toy Model. Version 0.2-r1, preprint (2026). https://doi.org/10.5281/zenodo.23253033</w:t>
      </w:r>
    </w:p>
    <w:p>
      <w:pPr>
        <w:pStyle w:val="BodyText"/>
        <w:widowControl/>
      </w:pPr>
      <w:r>
        <w:t xml:space="preserve">[3] Choi, W., Choi, J. Dynamic Decays and Nonequilibrium State Transitions in a Finite WRRA Model. Version 0.2, preprint (2026). https://doi.org/10.5281/zenodo.23246308</w:t>
      </w:r>
    </w:p>
    <w:p>
      <w:pPr>
        <w:pStyle w:val="BodyText"/>
        <w:widowControl/>
      </w:pPr>
      <w:r>
        <w:t xml:space="preserve">[4] Choi, W., Choi, J. Effective Carrier Routing, Control Work, and Stress in a Finite WRRA Model. Version 0.2, preprint (2026). https://doi.org/10.5281/zenodo.23250062</w:t>
      </w:r>
    </w:p>
    <w:p>
      <w:pPr>
        <w:pStyle w:val="BodyText"/>
        <w:widowControl/>
      </w:pPr>
      <w:r>
        <w:t xml:space="preserve">[5] Choi, W., Choi, J. Energy and Pressure Compatibility in Finite WRRA Models: Cold Allocations and Compensating Sectors. Version 0.2, preprint (9 October 2026). Companion manuscript</w:t>
      </w:r>
      <w:r>
        <w:t xml:space="preserve"> </w:t>
      </w:r>
      <w:r>
        <w:rPr>
          <w:rStyle w:val="VerbatimChar"/>
        </w:rPr>
        <w:t xml:space="preserve">WRRA_Energy_Pressure_v0_2_EN.pdf</w:t>
      </w:r>
      <w:r>
        <w:t xml:space="preserve">; research repository: https://github.com/Wonsik-Choi-janefather/wrra-m-0.1</w:t>
      </w:r>
    </w:p>
    <w:p>
      <w:pPr>
        <w:pStyle w:val="BodyText"/>
        <w:widowControl/>
      </w:pPr>
      <w:r>
        <w:t xml:space="preserve">[6] Wainwright, M. J., Jordan, M. I. Graphical Models, Exponential Families, and Variational Inference. Foundations and Trends in Machine Learning 1, 1–305 (2008). https://doi.org/10.1561/2200000001</w:t>
      </w:r>
    </w:p>
    <w:p>
      <w:pPr>
        <w:pStyle w:val="BodyText"/>
        <w:widowControl/>
      </w:pPr>
      <w:r>
        <w:t xml:space="preserve">[7] Dörfler, F., Bullo, F. Kron Reduction of Graphs With Applications to Electrical Networks. IEEE Transactions on Circuits and Systems I 60, 150–163 (2013). https://doi.org/10.1109/TCSI.2012.2215780</w:t>
      </w:r>
    </w:p>
    <w:p>
      <w:pPr>
        <w:pStyle w:val="BodyText"/>
        <w:widowControl/>
      </w:pPr>
      <w:r>
        <w:t xml:space="preserve">[8] Jacobson, T. Thermodynamics of Spacetime: The Einstein Equation of State. Physical Review Letters 75, 1260–1263 (1995). https://doi.org/10.1103/PhysRevLett.75.1260</w:t>
      </w:r>
    </w:p>
    <w:p>
      <w:pPr>
        <w:pStyle w:val="BodyText"/>
        <w:widowControl/>
      </w:pPr>
      <w:r>
        <w:t xml:space="preserve">[9] Jacobson, T. Entanglement Equilibrium and the Einstein Equation. Physical Review Letters 116, 201101 (2016). https://doi.org/10.1103/PhysRevLett.116.201101</w:t>
      </w:r>
    </w:p>
    <w:bookmarkEnd w:id="35"/>
    <w:sectPr>
      <w:footerReference w:type="default" r:id="rId9"/>
      <w:pgSz w:w="12240" w:h="15840"/>
      <w:pgMar w:top="1080" w:bottom="1080"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Cambria" w:hAnsi="Cambria"/>
      <w:sz w:val="22"/>
    </w:rPr>
  </w:style>
  <w:style w:styleId="BodyText" w:type="paragraph">
    <w:name w:val="Body Text"/>
    <w:basedOn w:val="Normal"/>
    <w:link w:val="BodyTextChar"/>
    <w:pPr>
      <w:spacing w:after="120" w:before="180" w:line="259" w:lineRule="auto"/>
    </w:pPr>
    <w:qFormat/>
    <w:rPr>
      <w:rFonts w:ascii="Cambria" w:hAnsi="Cambria"/>
      <w:sz w:val="22"/>
    </w:rPr>
  </w:style>
  <w:style w:customStyle="1" w:styleId="FirstParagraph" w:type="paragraph">
    <w:name w:val="First Paragraph"/>
    <w:basedOn w:val="BodyText"/>
    <w:next w:val="BodyText"/>
    <w:qFormat/>
    <w:pPr>
      <w:spacing w:after="120" w:line="259" w:lineRule="auto"/>
    </w:pPr>
    <w:rPr>
      <w:rFonts w:ascii="Cambria" w:hAnsi="Cambria"/>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mbria" w:hAnsi="Cambria"/>
      <w:b/>
      <w:bCs/>
      <w:color w:val="000000"/>
      <w:sz w:val="38"/>
      <w:szCs w:val="36"/>
    </w:rPr>
  </w:style>
  <w:style w:styleId="Subtitle" w:type="paragraph">
    <w:name w:val="Subtitle"/>
    <w:basedOn w:val="Title"/>
    <w:next w:val="BodyText"/>
    <w:qFormat/>
    <w:pPr>
      <w:keepNext/>
      <w:keepLines/>
      <w:spacing w:after="240" w:before="240"/>
      <w:jc w:val="center"/>
    </w:pPr>
    <w:rPr>
      <w:rFonts w:ascii="Cambria" w:hAnsi="Cambria"/>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mbria" w:hAnsi="Cambria"/>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mbria" w:hAnsi="Cambria"/>
      <w:b/>
      <w:bCs/>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mbria" w:hAnsi="Cambria"/>
      <w:b/>
      <w:bCs/>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Weight and Effective Gravitational Coupling in a Finite WRRA Model</dc:title>
  <dc:creator>Wonsik Choi; Jeongin Choi</dc:creator>
  <cp:keywords/>
  <dcterms:created xsi:type="dcterms:W3CDTF">2026-10-09T13:12:33Z</dcterms:created>
  <dcterms:modified xsi:type="dcterms:W3CDTF">2026-10-09T13:12:33Z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0.3 · 9 October 2026</vt:lpwstr>
  </property>
  <property fmtid="{D5CDD505-2E9C-101B-9397-08002B2CF9AE}" pid="3" name="subtitle">
    <vt:lpwstr>Response sufficiency and stability under finite address restrictions</vt:lpwstr>
  </property>
</Properties>
</file>