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left"/>
      </w:pPr>
      <w:r>
        <w:rPr>
          <w:color w:val="000000"/>
        </w:rPr>
        <w:t xml:space="preserve">WRRA</w:t>
      </w:r>
      <w:r>
        <w:rPr>
          <w:color w:val="000000"/>
        </w:rPr>
        <w:t xml:space="preserve"> </w:t>
      </w:r>
      <w:r>
        <w:rPr>
          <w:color w:val="000000"/>
        </w:rPr>
        <w:t xml:space="preserve">네</w:t>
      </w:r>
      <w:r>
        <w:rPr>
          <w:color w:val="000000"/>
        </w:rPr>
        <w:t xml:space="preserve"> </w:t>
      </w:r>
      <w:r>
        <w:rPr>
          <w:color w:val="000000"/>
        </w:rPr>
        <w:t xml:space="preserve">번째</w:t>
      </w:r>
      <w:r>
        <w:rPr>
          <w:color w:val="000000"/>
        </w:rPr>
        <w:t xml:space="preserve"> </w:t>
      </w:r>
      <w:r>
        <w:rPr>
          <w:color w:val="000000"/>
        </w:rPr>
        <w:t xml:space="preserve">논문</w:t>
      </w:r>
      <w:r>
        <w:rPr>
          <w:color w:val="000000"/>
        </w:rPr>
        <w:t xml:space="preserve"> </w:t>
      </w:r>
      <w:r>
        <w:rPr>
          <w:color w:val="000000"/>
        </w:rPr>
        <w:t xml:space="preserve">해설과</w:t>
      </w:r>
      <w:r>
        <w:rPr>
          <w:color w:val="000000"/>
        </w:rPr>
        <w:t xml:space="preserve"> </w:t>
      </w:r>
      <w:r>
        <w:rPr>
          <w:color w:val="000000"/>
        </w:rPr>
        <w:t xml:space="preserve">투고</w:t>
      </w:r>
      <w:r>
        <w:rPr>
          <w:color w:val="000000"/>
        </w:rPr>
        <w:t xml:space="preserve"> </w:t>
      </w:r>
      <w:r>
        <w:rPr>
          <w:color w:val="000000"/>
        </w:rPr>
        <w:t xml:space="preserve">판단</w:t>
      </w:r>
    </w:p>
    <w:p>
      <w:pPr>
        <w:pStyle w:val="Author"/>
      </w:pPr>
      <w:r>
        <w:rPr>
          <w:color w:val="000000"/>
        </w:rPr>
        <w:t xml:space="preserve">Wonsik</w:t>
      </w:r>
      <w:r>
        <w:rPr>
          <w:color w:val="000000"/>
        </w:rPr>
        <w:t xml:space="preserve"> </w:t>
      </w:r>
      <w:r>
        <w:rPr>
          <w:color w:val="000000"/>
        </w:rPr>
        <w:t xml:space="preserve">Choi</w:t>
      </w:r>
      <w:r>
        <w:rPr>
          <w:color w:val="000000"/>
        </w:rPr>
        <w:t xml:space="preserve"> </w:t>
      </w:r>
      <w:r>
        <w:rPr>
          <w:color w:val="000000"/>
        </w:rPr>
        <w:t xml:space="preserve">·</w:t>
      </w:r>
      <w:r>
        <w:rPr>
          <w:color w:val="000000"/>
        </w:rPr>
        <w:t xml:space="preserve"> </w:t>
      </w:r>
      <w:r>
        <w:rPr>
          <w:color w:val="000000"/>
        </w:rPr>
        <w:t xml:space="preserve">Jeongin</w:t>
      </w:r>
      <w:r>
        <w:rPr>
          <w:color w:val="000000"/>
        </w:rPr>
        <w:t xml:space="preserve"> </w:t>
      </w:r>
      <w:r>
        <w:rPr>
          <w:color w:val="000000"/>
        </w:rPr>
        <w:t xml:space="preserve">Choi</w:t>
      </w:r>
    </w:p>
    <w:p>
      <w:pPr>
        <w:pStyle w:val="Date"/>
      </w:pPr>
      <w:r>
        <w:rPr>
          <w:color w:val="000000"/>
        </w:rPr>
        <w:t xml:space="preserve">v0.2</w:t>
      </w:r>
      <w:r>
        <w:rPr>
          <w:color w:val="000000"/>
        </w:rPr>
        <w:t xml:space="preserve"> </w:t>
      </w:r>
      <w:r>
        <w:rPr>
          <w:color w:val="000000"/>
        </w:rPr>
        <w:t xml:space="preserve">·</w:t>
      </w:r>
      <w:r>
        <w:rPr>
          <w:color w:val="000000"/>
        </w:rPr>
        <w:t xml:space="preserve"> </w:t>
      </w:r>
      <w:r>
        <w:rPr>
          <w:color w:val="000000"/>
        </w:rPr>
        <w:t xml:space="preserve">2026년</w:t>
      </w:r>
      <w:r>
        <w:rPr>
          <w:color w:val="000000"/>
        </w:rPr>
        <w:t xml:space="preserve"> </w:t>
      </w:r>
      <w:r>
        <w:rPr>
          <w:color w:val="000000"/>
        </w:rPr>
        <w:t xml:space="preserve">10월</w:t>
      </w:r>
      <w:r>
        <w:rPr>
          <w:color w:val="000000"/>
        </w:rPr>
        <w:t xml:space="preserve"> </w:t>
      </w:r>
      <w:r>
        <w:rPr>
          <w:color w:val="000000"/>
        </w:rPr>
        <w:t xml:space="preserve">9일</w:t>
      </w:r>
      <w:r>
        <w:rPr>
          <w:color w:val="000000"/>
        </w:rPr>
        <w:t xml:space="preserve"> </w:t>
      </w:r>
      <w:r>
        <w:rPr>
          <w:color w:val="000000"/>
        </w:rPr>
        <w:t xml:space="preserve">편집</w:t>
      </w:r>
      <w:r>
        <w:rPr>
          <w:color w:val="000000"/>
        </w:rPr>
        <w:t xml:space="preserve"> </w:t>
      </w:r>
      <w:r>
        <w:rPr>
          <w:color w:val="000000"/>
        </w:rPr>
        <w:t xml:space="preserve">보완</w:t>
      </w:r>
    </w:p>
    <w:bookmarkStart w:id="20" w:name="이번-논문의-질문"/>
    <w:p>
      <w:pPr>
        <w:pStyle w:val="Heading1"/>
      </w:pPr>
      <w:r>
        <w:rPr>
          <w:color w:val="000000"/>
        </w:rPr>
        <w:t xml:space="preserve">이번 논문의 질문</w:t>
      </w:r>
    </w:p>
    <w:p>
      <w:pPr>
        <w:pStyle w:val="FirstParagraph"/>
      </w:pPr>
      <w:r>
        <w:rPr>
          <w:bCs/>
          <w:b/>
          <w:color w:val="000000"/>
        </w:rPr>
        <w:t xml:space="preserve">주소가 입자를 고르는 확률을 정해 놓는 데서 한 걸음 더 나아가, 그 확률을 하나의 공통 상호작용으로 구현하면 어떤 에너지·압력 조건이 생기는가?</w:t>
      </w:r>
    </w:p>
    <w:p>
      <w:pPr>
        <w:pStyle w:val="BodyText"/>
      </w:pPr>
      <w:r>
        <w:rPr>
          <w:color w:val="000000"/>
        </w:rPr>
        <w:t xml:space="preserve">영문 제목은</w:t>
      </w:r>
      <w:r>
        <w:rPr>
          <w:color w:val="000000"/>
        </w:rPr>
        <w:t xml:space="preserve"> </w:t>
      </w:r>
      <w:r>
        <w:rPr>
          <w:iCs/>
          <w:i/>
          <w:color w:val="000000"/>
        </w:rPr>
        <w:t xml:space="preserve">Effective Carrier Routing, Control Work, and Stress in a Finite WRRA Model</w:t>
      </w:r>
      <w:r>
        <w:rPr>
          <w:color w:val="000000"/>
        </w:rPr>
        <w:t xml:space="preserve">이다. 두 번째 후보였던 ’미시적 캐리어 결합과 유효 상호작용 연산자’를 실제 계산 가능한 범위로 구체화했다. 자연계의 렙톤 생성 법칙을 새로 도출했다는 뜻이 아니라, 유한 레지스터와 캐리어를 가진 명시적 유효 해밀토니안을 만들고 그 적용 조건을 분석한 연구다.</w:t>
      </w:r>
    </w:p>
    <w:p>
      <w:pPr>
        <w:pStyle w:val="BodyText"/>
      </w:pPr>
      <w:r>
        <w:rPr>
          <w:color w:val="000000"/>
        </w:rPr>
        <w:t xml:space="preserve">세 번째로 완성한 동역학적 붕괴 논문 v0.2를 포함해, 앞선 세 논문의 연결을 실제 코드로 유지했다. 앞선 연구는 할당을 정하고 준비된 입자 집단의 이후 변화를 계산했다. 이번 연구는 그 집단을 만드는 준비 연산과 제어 일을 계산 대상으로 삼는다. 산술 준비·공통 결합·에너지의 부피 의존성·붕괴 출력을 하나의 실행 경로로 연결하고, 확률의 일치만으로는 알 수 없는 일–응력 조건을 도출한다는 점이 별도 논문으로 제시하는 근거다.</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6576"/>
      </w:tblGrid>
      <w:tr>
        <w:trPr>
          <w:tblHeader w:val="true"/>
          <w:tblHeader/>
          <w:cantSplit/>
        </w:trPr>
        <w:tc>
          <w:tcPr>
            <w:tcW w:type="dxa" w:w="2948"/>
            <w:vAlign w:val="center"/>
            <w:tcMar>
              <w:top w:w="75" w:type="dxa"/>
              <w:bottom w:w="75" w:type="dxa"/>
              <w:left w:w="90" w:type="dxa"/>
              <w:right w:w="90" w:type="dxa"/>
            </w:tcMar>
            <w:shd w:fill="E9EDF1"/>
          </w:tcPr>
          <w:p>
            <w:pPr>
              <w:pStyle w:val="Compact"/>
              <w:keepNext/>
              <w:spacing w:after="0" w:line="252" w:lineRule="auto"/>
              <w:jc w:val="left"/>
            </w:pPr>
            <w:r>
              <w:rPr>
                <w:rFonts w:ascii="Noto Sans CJK KR" w:hAnsi="Noto Sans CJK KR"/>
                <w:b/>
                <w:sz w:val="19"/>
              </w:rPr>
              <w:t xml:space="preserve">선행 연구</w:t>
            </w:r>
          </w:p>
        </w:tc>
        <w:tc>
          <w:tcPr>
            <w:tcW w:type="dxa" w:w="6576"/>
            <w:vAlign w:val="center"/>
            <w:tcMar>
              <w:top w:w="75" w:type="dxa"/>
              <w:bottom w:w="75" w:type="dxa"/>
              <w:left w:w="90" w:type="dxa"/>
              <w:right w:w="90" w:type="dxa"/>
            </w:tcMar>
            <w:shd w:fill="E9EDF1"/>
          </w:tcPr>
          <w:p>
            <w:pPr>
              <w:pStyle w:val="Compact"/>
              <w:keepNext/>
              <w:spacing w:after="0" w:line="252" w:lineRule="auto"/>
              <w:jc w:val="center"/>
            </w:pPr>
            <w:r>
              <w:rPr>
                <w:rFonts w:ascii="Noto Sans CJK KR" w:hAnsi="Noto Sans CJK KR"/>
                <w:b/>
                <w:sz w:val="19"/>
              </w:rPr>
              <w:t xml:space="preserve">이번 논문에서 이어받은 것</w:t>
            </w:r>
          </w:p>
        </w:tc>
      </w:tr>
      <w:tr>
        <w:trPr>
          <w:cantSplit/>
        </w:trPr>
        <w:tc>
          <w:tcPr>
            <w:tcW w:type="dxa" w:w="2948"/>
            <w:vAlign w:val="center"/>
            <w:tcMar>
              <w:top w:w="75" w:type="dxa"/>
              <w:bottom w:w="75" w:type="dxa"/>
              <w:left w:w="90" w:type="dxa"/>
              <w:right w:w="90" w:type="dxa"/>
            </w:tcMar>
          </w:tcPr>
          <w:p>
            <w:pPr>
              <w:pStyle w:val="Compact"/>
              <w:keepNext/>
              <w:spacing w:after="0" w:line="252" w:lineRule="auto"/>
              <w:jc w:val="left"/>
            </w:pPr>
            <w:r>
              <w:rPr>
                <w:rFonts w:ascii="Noto Sans CJK KR" w:hAnsi="Noto Sans CJK KR"/>
                <w:b w:val="0"/>
                <w:sz w:val="19"/>
              </w:rPr>
              <w:t xml:space="preserve">r11 두 단계 필터</w:t>
            </w:r>
          </w:p>
        </w:tc>
        <w:tc>
          <w:tcPr>
            <w:tcW w:type="dxa" w:w="6576"/>
            <w:vAlign w:val="center"/>
            <w:tcMar>
              <w:top w:w="75" w:type="dxa"/>
              <w:bottom w:w="75" w:type="dxa"/>
              <w:left w:w="90" w:type="dxa"/>
              <w:right w:w="90" w:type="dxa"/>
            </w:tcMar>
          </w:tcPr>
          <w:p>
            <w:pPr>
              <w:pStyle w:val="Compact"/>
              <w:keepNext/>
              <w:spacing w:after="0" w:line="252" w:lineRule="auto"/>
              <w:jc w:val="center"/>
            </w:pPr>
            <w:r>
              <w:rPr>
                <w:rFonts w:ascii="Noto Sans CJK KR" w:hAnsi="Noto Sans CJK KR"/>
                <w:b w:val="0"/>
                <w:sz w:val="19"/>
              </w:rPr>
              <w:t xml:space="preserve">N=10⁶, 고정 문턱값과 주파수 등 보정 입력, 주소 분포</w:t>
            </w:r>
          </w:p>
        </w:tc>
      </w:tr>
      <w:tr>
        <w:trPr>
          <w:cantSplit/>
        </w:trPr>
        <w:tc>
          <w:tcPr>
            <w:tcW w:type="dxa" w:w="2948"/>
            <w:vAlign w:val="center"/>
            <w:tcMar>
              <w:top w:w="75" w:type="dxa"/>
              <w:bottom w:w="75" w:type="dxa"/>
              <w:left w:w="90" w:type="dxa"/>
              <w:right w:w="90" w:type="dxa"/>
            </w:tcMar>
          </w:tcPr>
          <w:p>
            <w:pPr>
              <w:pStyle w:val="Compact"/>
              <w:keepNext/>
              <w:spacing w:after="0" w:line="252" w:lineRule="auto"/>
              <w:jc w:val="left"/>
            </w:pPr>
            <w:r>
              <w:rPr>
                <w:rFonts w:ascii="Noto Sans CJK KR" w:hAnsi="Noto Sans CJK KR"/>
                <w:b w:val="0"/>
                <w:sz w:val="19"/>
              </w:rPr>
              <w:t xml:space="preserve">입자 선택 v0.2</w:t>
            </w:r>
          </w:p>
        </w:tc>
        <w:tc>
          <w:tcPr>
            <w:tcW w:type="dxa" w:w="6576"/>
            <w:vAlign w:val="center"/>
            <w:tcMar>
              <w:top w:w="75" w:type="dxa"/>
              <w:bottom w:w="75" w:type="dxa"/>
              <w:left w:w="90" w:type="dxa"/>
              <w:right w:w="90" w:type="dxa"/>
            </w:tcMar>
          </w:tcPr>
          <w:p>
            <w:pPr>
              <w:pStyle w:val="Compact"/>
              <w:keepNext/>
              <w:spacing w:after="0" w:line="252" w:lineRule="auto"/>
              <w:jc w:val="center"/>
            </w:pPr>
            <w:r>
              <w:rPr>
                <w:rFonts w:ascii="Noto Sans CJK KR" w:hAnsi="Noto Sans CJK KR"/>
                <w:b w:val="0"/>
                <w:sz w:val="19"/>
              </w:rPr>
              <w:t xml:space="preserve">소인수 통계 χ, 전자·뮤온 쌍 할당, 기준 에너지와 압력 장애물</w:t>
            </w:r>
          </w:p>
        </w:tc>
      </w:tr>
      <w:tr>
        <w:trPr>
          <w:cantSplit/>
        </w:trPr>
        <w:tc>
          <w:tcPr>
            <w:tcW w:type="dxa" w:w="2948"/>
            <w:vAlign w:val="center"/>
            <w:tcMar>
              <w:top w:w="75" w:type="dxa"/>
              <w:bottom w:w="75" w:type="dxa"/>
              <w:left w:w="90" w:type="dxa"/>
              <w:right w:w="90" w:type="dxa"/>
            </w:tcMar>
          </w:tcPr>
          <w:p>
            <w:pPr>
              <w:pStyle w:val="Compact"/>
              <w:keepNext w:val="0"/>
              <w:spacing w:after="0" w:line="252" w:lineRule="auto"/>
              <w:jc w:val="left"/>
            </w:pPr>
            <w:r>
              <w:rPr>
                <w:rFonts w:ascii="Noto Sans CJK KR" w:hAnsi="Noto Sans CJK KR"/>
                <w:b w:val="0"/>
                <w:sz w:val="19"/>
              </w:rPr>
              <w:t xml:space="preserve">동역학적 붕괴 v0.2</w:t>
            </w:r>
          </w:p>
        </w:tc>
        <w:tc>
          <w:tcPr>
            <w:tcW w:type="dxa" w:w="6576"/>
            <w:vAlign w:val="center"/>
            <w:tcMar>
              <w:top w:w="75" w:type="dxa"/>
              <w:bottom w:w="75" w:type="dxa"/>
              <w:left w:w="90" w:type="dxa"/>
              <w:right w:w="90" w:type="dxa"/>
            </w:tcMar>
          </w:tcPr>
          <w:p>
            <w:pPr>
              <w:pStyle w:val="Compact"/>
              <w:keepNext w:val="0"/>
              <w:spacing w:after="0" w:line="252" w:lineRule="auto"/>
              <w:jc w:val="center"/>
            </w:pPr>
            <w:r>
              <w:rPr>
                <w:rFonts w:ascii="Noto Sans CJK KR" w:hAnsi="Noto Sans CJK KR"/>
                <w:b w:val="0"/>
                <w:sz w:val="19"/>
              </w:rPr>
              <w:t xml:space="preserve">뮤온 수명, 딸입자 운동학, 64×64 구적 커널, 팽창 중 출생 코호트 계산</w:t>
            </w:r>
          </w:p>
        </w:tc>
      </w:tr>
    </w:tbl>
    <w:bookmarkEnd w:id="20"/>
    <w:bookmarkStart w:id="21" w:name="검증된-입력"/>
    <w:p>
      <w:pPr>
        <w:pStyle w:val="Heading1"/>
      </w:pPr>
      <w:r>
        <w:rPr>
          <w:color w:val="000000"/>
        </w:rPr>
        <w:t xml:space="preserve">1. 검증된 입력</w:t>
      </w:r>
    </w:p>
    <w:p>
      <w:pPr>
        <w:pStyle w:val="FirstParagraph"/>
      </w:pPr>
      <w:r>
        <w:rPr>
          <w:color w:val="000000"/>
        </w:rPr>
        <w:t xml:space="preserve">주소 n의 소인수 발생 비율을 rₚ=νₚ/Ω로 쓴다. 앞선 입자 선택 확률은 χ(n)=Σₚrₚ²였다. 이를 구현하기 위해 같은 주소에서</w:t>
      </w:r>
      <w:r>
        <w:rPr>
          <w:color w:val="000000"/>
        </w:rPr>
        <w:t xml:space="preserve"> </w:t>
      </w:r>
      <w:r>
        <w:rPr>
          <w:bCs/>
          <w:b/>
          <w:color w:val="000000"/>
        </w:rPr>
        <w:t xml:space="preserve">조건부로 독립인 두 번의 표본</w:t>
      </w:r>
      <w:r>
        <w:rPr>
          <w:color w:val="000000"/>
        </w:rPr>
        <w:t xml:space="preserve">을 준비한다. 두 레지스터의 주변분포가 같다는 것만으로는 충분하지 않다. 독립성 자체가 공개된 모형 가정이다.</w:t>
      </w:r>
    </w:p>
    <w:p>
      <w:pPr>
        <w:pStyle w:val="BodyText"/>
      </w:pPr>
      <w:r>
        <w:rPr>
          <w:color w:val="000000"/>
        </w:rPr>
        <w:t xml:space="preserve">전자·뮤온의 알려진 질량과 뮤온 수명은 그대로 입력한다. 이전에 맞춘 필터 문턱값도 다시 맞추지 않는다. 이 연구는 알려진 값을 재현하는 일을 정당한 일관성 검증으로 사용한다. 새 기여는 그 입력을 연결하는 연산자와 에너지·일·압력 관계에 있다.</w:t>
      </w:r>
    </w:p>
    <w:bookmarkEnd w:id="21"/>
    <w:bookmarkStart w:id="22" w:name="wrra-변환"/>
    <w:p>
      <w:pPr>
        <w:pStyle w:val="Heading1"/>
      </w:pPr>
      <w:r>
        <w:rPr>
          <w:color w:val="000000"/>
        </w:rPr>
        <w:t xml:space="preserve">2. WRRA 변환</w:t>
      </w:r>
    </w:p>
    <w:p>
      <w:pPr>
        <w:pStyle w:val="FirstParagraph"/>
      </w:pPr>
      <w:r>
        <w:rPr>
          <w:color w:val="000000"/>
        </w:rPr>
        <w:t xml:space="preserve">두 소인수 라벨이 같으면 전자 쌍 채널, 다르면 뮤온 쌍 채널로 소스를 결합한다. 같음 판정 연산자를 Q, 소스와 각 채널 사이의 결합을 Xₑ와 Xμ라 하면 다음과 같다.</w:t>
      </w:r>
    </w:p>
    <w:p>
      <w:pPr>
        <w:pStyle w:val="BodyText"/>
      </w:pPr>
      <m:oMathPara>
        <m:oMathParaPr>
          <m:jc m:val="center"/>
        </m:oMathParaPr>
        <m:oMath>
          <m:sSub>
            <m:e>
              <m:r>
                <w:rPr>
                  <w:sz w:val="21"/>
                </w:rPr>
                <m:t>H</m:t>
              </m:r>
            </m:e>
            <m:sub>
              <m:r>
                <w:rPr>
                  <w:sz w:val="21"/>
                </w:rPr>
                <m:t>I</m:t>
              </m:r>
            </m:sub>
          </m:sSub>
          <m:r>
            <w:rPr>
              <w:sz w:val="21"/>
            </w:rPr>
            <m:rPr>
              <m:sty m:val="p"/>
            </m:rPr>
            <m:t>=</m:t>
          </m:r>
          <m:r>
            <w:rPr>
              <w:sz w:val="21"/>
            </w:rPr>
            <m:t>g</m:t>
          </m:r>
          <m:r>
            <w:rPr>
              <w:sz w:val="21"/>
            </w:rPr>
            <m:rPr>
              <m:sty m:val="p"/>
            </m:rPr>
            <m:t>{</m:t>
          </m:r>
          <m:r>
            <w:rPr>
              <w:sz w:val="21"/>
            </w:rPr>
            <m:t>Q</m:t>
          </m:r>
          <m:r>
            <w:rPr>
              <w:sz w:val="21"/>
            </w:rPr>
            <m:rPr>
              <m:sty m:val="p"/>
            </m:rPr>
            <m:t>⊗</m:t>
          </m:r>
          <m:sSub>
            <m:e>
              <m:r>
                <w:rPr>
                  <w:sz w:val="21"/>
                </w:rPr>
                <m:t>X</m:t>
              </m:r>
            </m:e>
            <m:sub>
              <m:r>
                <w:rPr>
                  <w:sz w:val="21"/>
                </w:rPr>
                <m:t>e</m:t>
              </m:r>
            </m:sub>
          </m:sSub>
          <m:r>
            <w:rPr>
              <w:sz w:val="21"/>
            </w:rPr>
            <m:rPr>
              <m:sty m:val="p"/>
            </m:rPr>
            <m:t>+</m:t>
          </m:r>
          <m:r>
            <m:t>(</m:t>
          </m:r>
          <m:r>
            <w:rPr>
              <w:sz w:val="21"/>
            </w:rPr>
            <m:t>I</m:t>
          </m:r>
          <m:r>
            <w:rPr>
              <w:sz w:val="21"/>
            </w:rPr>
            <m:rPr>
              <m:sty m:val="p"/>
            </m:rPr>
            <m:t>−</m:t>
          </m:r>
          <m:r>
            <w:rPr>
              <w:sz w:val="21"/>
            </w:rPr>
            <m:t>Q</m:t>
          </m:r>
          <m:r>
            <m:t>)</m:t>
          </m:r>
          <m:r>
            <w:rPr>
              <w:sz w:val="21"/>
            </w:rPr>
            <m:rPr>
              <m:sty m:val="p"/>
            </m:rPr>
            <m:t>⊗</m:t>
          </m:r>
          <m:sSub>
            <m:e>
              <m:r>
                <w:rPr>
                  <w:sz w:val="21"/>
                </w:rPr>
                <m:t>X</m:t>
              </m:r>
            </m:e>
            <m:sub>
              <m:r>
                <w:rPr>
                  <w:sz w:val="21"/>
                </w:rPr>
                <m:t>μ</m:t>
              </m:r>
            </m:sub>
          </m:sSub>
          <m:r>
            <w:rPr>
              <w:sz w:val="21"/>
            </w:rPr>
            <m:rPr>
              <m:sty m:val="p"/>
            </m:rPr>
            <m:t>}</m:t>
          </m:r>
          <m:r>
            <w:rPr>
              <w:sz w:val="21"/>
            </w:rPr>
            <m:rPr>
              <m:sty m:val="p"/>
            </m:rPr>
            <m:t>.</m:t>
          </m:r>
        </m:oMath>
      </m:oMathPara>
    </w:p>
    <w:p>
      <w:pPr>
        <w:pStyle w:val="FirstParagraph"/>
      </w:pPr>
      <w:r>
        <w:rPr>
          <w:color w:val="000000"/>
        </w:rPr>
        <w:t xml:space="preserve">여기서 g는 모든 주소에 공통이다. 주소마다 별도의 결합각을 맞추지 않는다. 주소별 차이는 준비된 소인수 분포에만 들어간다. θ=gtₚ/ℏ인 펄스 뒤의 확률은 다음과 같다.</w:t>
      </w:r>
    </w:p>
    <w:p>
      <w:pPr>
        <w:pStyle w:val="BodyText"/>
      </w:pPr>
      <m:oMathPara>
        <m:oMathParaPr>
          <m:jc m:val="center"/>
        </m:oMathParaPr>
        <m:oMath>
          <m:sSub>
            <m:e>
              <m:r>
                <w:rPr>
                  <w:sz w:val="21"/>
                </w:rPr>
                <m:t>P</m:t>
              </m:r>
            </m:e>
            <m:sub>
              <m:r>
                <w:rPr>
                  <w:sz w:val="21"/>
                </w:rPr>
                <m:t>s</m:t>
              </m:r>
            </m:sub>
          </m:sSub>
          <m:r>
            <w:rPr>
              <w:sz w:val="21"/>
            </w:rPr>
            <m:rPr>
              <m:sty m:val="p"/>
            </m:rPr>
            <m:t>=</m:t>
          </m:r>
          <m:sSup>
            <m:e>
              <m:r>
                <w:rPr>
                  <w:sz w:val="21"/>
                </w:rPr>
                <m:rPr>
                  <m:sty m:val="p"/>
                </m:rPr>
                <m:t>cos</m:t>
              </m:r>
            </m:e>
            <m:sup>
              <m:r>
                <w:rPr>
                  <w:sz w:val="21"/>
                </w:rPr>
                <m:t>2</m:t>
              </m:r>
            </m:sup>
          </m:sSup>
          <m:r>
            <w:rPr>
              <w:sz w:val="21"/>
            </w:rPr>
            <m:t>θ</m:t>
          </m:r>
          <m:r>
            <w:rPr>
              <w:sz w:val="21"/>
            </w:rPr>
            <m:rPr>
              <m:sty m:val="p"/>
            </m:rPr>
            <m:t>,</m:t>
          </m:r>
          <m:r>
            <w:rPr>
              <w:sz w:val="21"/>
            </w:rPr>
            <m:t>  </m:t>
          </m:r>
          <m:sSub>
            <m:e>
              <m:r>
                <w:rPr>
                  <w:sz w:val="21"/>
                </w:rPr>
                <m:t>P</m:t>
              </m:r>
            </m:e>
            <m:sub>
              <m:r>
                <w:rPr>
                  <w:sz w:val="21"/>
                </w:rPr>
                <m:t>e</m:t>
              </m:r>
            </m:sub>
          </m:sSub>
          <m:r>
            <w:rPr>
              <w:sz w:val="21"/>
            </w:rPr>
            <m:rPr>
              <m:sty m:val="p"/>
            </m:rPr>
            <m:t>=</m:t>
          </m:r>
          <m:r>
            <w:rPr>
              <w:sz w:val="21"/>
            </w:rPr>
            <m:t>χ</m:t>
          </m:r>
          <m:sSup>
            <m:e>
              <m:r>
                <w:rPr>
                  <w:sz w:val="21"/>
                </w:rPr>
                <m:rPr>
                  <m:sty m:val="p"/>
                </m:rPr>
                <m:t>sin</m:t>
              </m:r>
            </m:e>
            <m:sup>
              <m:r>
                <w:rPr>
                  <w:sz w:val="21"/>
                </w:rPr>
                <m:t>2</m:t>
              </m:r>
            </m:sup>
          </m:sSup>
          <m:r>
            <w:rPr>
              <w:sz w:val="21"/>
            </w:rPr>
            <m:t>θ</m:t>
          </m:r>
          <m:r>
            <w:rPr>
              <w:sz w:val="21"/>
            </w:rPr>
            <m:rPr>
              <m:sty m:val="p"/>
            </m:rPr>
            <m:t>,</m:t>
          </m:r>
          <m:r>
            <w:rPr>
              <w:sz w:val="21"/>
            </w:rPr>
            <m:t>  </m:t>
          </m:r>
          <m:sSub>
            <m:e>
              <m:r>
                <w:rPr>
                  <w:sz w:val="21"/>
                </w:rPr>
                <m:t>P</m:t>
              </m:r>
            </m:e>
            <m:sub>
              <m:r>
                <w:rPr>
                  <w:sz w:val="21"/>
                </w:rPr>
                <m:t>μ</m:t>
              </m:r>
            </m:sub>
          </m:sSub>
          <m:r>
            <w:rPr>
              <w:sz w:val="21"/>
            </w:rPr>
            <m:rPr>
              <m:sty m:val="p"/>
            </m:rPr>
            <m:t>=</m:t>
          </m:r>
          <m:r>
            <m:t>(</m:t>
          </m:r>
          <m:r>
            <w:rPr>
              <w:sz w:val="21"/>
            </w:rPr>
            <m:t>1</m:t>
          </m:r>
          <m:r>
            <w:rPr>
              <w:sz w:val="21"/>
            </w:rPr>
            <m:rPr>
              <m:sty m:val="p"/>
            </m:rPr>
            <m:t>−</m:t>
          </m:r>
          <m:r>
            <w:rPr>
              <w:sz w:val="21"/>
            </w:rPr>
            <m:t>χ</m:t>
          </m:r>
          <m:r>
            <m:t>)</m:t>
          </m:r>
          <m:sSup>
            <m:e>
              <m:r>
                <w:rPr>
                  <w:sz w:val="21"/>
                </w:rPr>
                <m:rPr>
                  <m:sty m:val="p"/>
                </m:rPr>
                <m:t>sin</m:t>
              </m:r>
            </m:e>
            <m:sup>
              <m:r>
                <w:rPr>
                  <w:sz w:val="21"/>
                </w:rPr>
                <m:t>2</m:t>
              </m:r>
            </m:sup>
          </m:sSup>
          <m:r>
            <w:rPr>
              <w:sz w:val="21"/>
            </w:rPr>
            <m:t>θ</m:t>
          </m:r>
          <m:r>
            <w:rPr>
              <w:sz w:val="21"/>
            </w:rPr>
            <m:rPr>
              <m:sty m:val="p"/>
            </m:rPr>
            <m:t>.</m:t>
          </m:r>
        </m:oMath>
      </m:oMathPara>
    </w:p>
    <w:p>
      <w:pPr>
        <w:pStyle w:val="FirstParagraph"/>
      </w:pPr>
      <w:r>
        <w:rPr>
          <w:color w:val="000000"/>
        </w:rPr>
        <w:t xml:space="preserve">θ=π/2에서 소스가 모두 전환되어 기존 확률을 얻는다. θ=π/4이면 절반만 전환된다. 남은 소스는 에너지 장부에 남아 있으며 버리지 않는다. 생성된 입자 집단을 세 번째 논문의 붕괴 계산으로 전달한다.</w:t>
      </w:r>
    </w:p>
    <w:bookmarkEnd w:id="22"/>
    <w:bookmarkStart w:id="26" w:name="새로-얻은-출력"/>
    <w:p>
      <w:pPr>
        <w:pStyle w:val="Heading1"/>
      </w:pPr>
      <w:r>
        <w:rPr>
          <w:color w:val="000000"/>
        </w:rPr>
        <w:t xml:space="preserve">3. 새로 얻은 출력</w:t>
      </w:r>
    </w:p>
    <w:bookmarkStart w:id="23" w:name="공통-결합과-그-제한"/>
    <w:p>
      <w:pPr>
        <w:pStyle w:val="Heading2"/>
      </w:pPr>
      <w:r>
        <w:rPr>
          <w:color w:val="000000"/>
        </w:rPr>
        <w:t xml:space="preserve">공통 결합과 그 제한</w:t>
      </w:r>
    </w:p>
    <w:p>
      <w:pPr>
        <w:pStyle w:val="FirstParagraph"/>
      </w:pPr>
      <w:r>
        <w:rPr>
          <w:color w:val="000000"/>
        </w:rPr>
        <w:t xml:space="preserve">하나의 대각 레지스터만 읽는 고정 장치는 모든 주소의 χ를 만들 수 없다. 9와 25에서는 각각 확률 1을 요구하지만, 그 혼합인 15에서는 목표가 1/2이 되기 때문이다. 두 표본이면 가능하다. 이 명제는 주소를 별도 입력으로 알고 있는 모든 장치에 대한 불가능성 정리가 아니다.</w:t>
      </w:r>
    </w:p>
    <w:p>
      <w:pPr>
        <w:pStyle w:val="BodyText"/>
      </w:pPr>
      <w:r>
        <w:rPr>
          <w:color w:val="000000"/>
        </w:rPr>
        <w:t xml:space="preserve">대각 효과가 소수 이름의 모든 순열에 대해 불변이면,</w:t>
      </w:r>
      <w:r>
        <w:rPr>
          <w:color w:val="000000"/>
        </w:rPr>
        <w:t xml:space="preserve"> </w:t>
      </w:r>
      <w:r>
        <w:rPr>
          <w:color w:val="000000"/>
        </w:rPr>
        <w:t xml:space="preserve">‘</w:t>
      </w:r>
      <w:r>
        <w:rPr>
          <w:color w:val="000000"/>
        </w:rPr>
        <w:t xml:space="preserve">같음’과 ‘다름</w:t>
      </w:r>
      <w:r>
        <w:rPr>
          <w:color w:val="000000"/>
        </w:rPr>
        <w:t xml:space="preserve">’</w:t>
      </w:r>
      <w:r>
        <w:rPr>
          <w:color w:val="000000"/>
        </w:rPr>
        <w:t xml:space="preserve"> </w:t>
      </w:r>
      <w:r>
        <w:rPr>
          <w:color w:val="000000"/>
        </w:rPr>
        <w:t xml:space="preserve">두 부류의 계수만 남는다는 분류도 증명했다. 그러나 같음을 전자라고 부르는 선택, 독립 준비와 소스 에너지는 여전히 입력이다.</w:t>
      </w:r>
    </w:p>
    <w:p>
      <w:pPr>
        <w:pStyle w:val="BodyText"/>
      </w:pPr>
      <w:r>
        <w:rPr>
          <w:color w:val="000000"/>
        </w:rPr>
        <w:t xml:space="preserve">완전 전환 뒤 레지스터 기록을 지우고 캐리어만 보면</w:t>
      </w:r>
      <w:r>
        <w:rPr>
          <w:color w:val="000000"/>
        </w:rPr>
        <w:t xml:space="preserve"> </w:t>
      </w:r>
      <w:r>
        <w:rPr>
          <w:bCs/>
          <w:b/>
          <w:color w:val="000000"/>
        </w:rPr>
        <w:t xml:space="preserve">혼합상태</w:t>
      </w:r>
      <w:r>
        <w:rPr>
          <w:color w:val="000000"/>
        </w:rPr>
        <w:t xml:space="preserve">가 나온다. 기존 논문의 순수상태와 종별 확률은 같아도 양자 채널 전체는 같지 않다. 예를 들어 주소 105에서 두 상태의 trace distance는 √2/3이다. 이번의 입자 수와 운동학적 압력 계산은 대각 확률만 필요하므로 이 차이를 밝힌 채 연결할 수 있다.</w:t>
      </w:r>
    </w:p>
    <w:bookmarkEnd w:id="23"/>
    <w:bookmarkStart w:id="24" w:name="핵심-결과-확률-변화가-없어도-일압력-응답은-남는다"/>
    <w:p>
      <w:pPr>
        <w:pStyle w:val="Heading2"/>
      </w:pPr>
      <w:r>
        <w:rPr>
          <w:color w:val="000000"/>
        </w:rPr>
        <w:t xml:space="preserve">핵심 결과: 확률 변화가 없어도 일·압력 응답은 남는다</w:t>
      </w:r>
    </w:p>
    <w:p>
      <w:pPr>
        <w:pStyle w:val="FirstParagraph"/>
      </w:pPr>
      <w:r>
        <w:rPr>
          <w:color w:val="000000"/>
        </w:rPr>
        <w:t xml:space="preserve">기준 부피에서는 소스, 전자 쌍, 정지 뮤온 쌍의 에너지가 모두 E*=2mμ이다. 따라서 주어진 맨 에너지 연산자가 상호작용과 교환한다. 부피가 달라지면 뜨거운 전자 쌍의 에너지가 변하여 공명에서 벗어난다. 이때 전이율도 바뀌며, 펄스를 끄는 장치와 주고받은 평균 일을 기록해야 한다.</w:t>
      </w:r>
    </w:p>
    <w:p>
      <w:pPr>
        <w:pStyle w:val="BodyText"/>
      </w:pPr>
      <w:r>
        <w:rPr>
          <w:color w:val="000000"/>
        </w:rPr>
        <w:t xml:space="preserve">고정된 결합과 펄스 길이로 각각 준비한 상태를 비교하면 기준점에서 다음 관계가 성립한다.</w:t>
      </w:r>
    </w:p>
    <w:p>
      <w:pPr>
        <w:pStyle w:val="BodyText"/>
      </w:pPr>
      <m:oMathPara>
        <m:oMathParaPr>
          <m:jc m:val="center"/>
        </m:oMathParaPr>
        <m:oMath>
          <m:sSub>
            <m:e>
              <m:f>
                <m:fPr>
                  <m:type m:val="bar"/>
                </m:fPr>
                <m:num>
                  <m:r>
                    <w:rPr>
                      <w:sz w:val="21"/>
                    </w:rPr>
                    <m:t>d</m:t>
                  </m:r>
                  <m:sSub>
                    <m:e>
                      <m:r>
                        <w:rPr>
                          <w:sz w:val="21"/>
                        </w:rPr>
                        <m:t>P</m:t>
                      </m:r>
                    </m:e>
                    <m:sub>
                      <m:r>
                        <w:rPr>
                          <w:sz w:val="21"/>
                        </w:rPr>
                        <m:t>e</m:t>
                      </m:r>
                    </m:sub>
                  </m:sSub>
                </m:num>
                <m:den>
                  <m:r>
                    <w:rPr>
                      <w:sz w:val="21"/>
                    </w:rPr>
                    <m:t>d</m:t>
                  </m:r>
                  <m:r>
                    <w:rPr>
                      <w:sz w:val="21"/>
                    </w:rPr>
                    <m:rPr>
                      <m:sty m:val="p"/>
                    </m:rPr>
                    <m:t>log</m:t>
                  </m:r>
                  <m:r>
                    <w:rPr>
                      <w:sz w:val="21"/>
                    </w:rPr>
                    <m:t>v</m:t>
                  </m:r>
                </m:den>
              </m:f>
              <m:r>
                <m:t>|</m:t>
              </m:r>
            </m:e>
            <m:sub>
              <m:r>
                <w:rPr>
                  <w:sz w:val="21"/>
                </w:rPr>
                <m:t>v</m:t>
              </m:r>
              <m:r>
                <w:rPr>
                  <w:sz w:val="21"/>
                </w:rPr>
                <m:rPr>
                  <m:sty m:val="p"/>
                </m:rPr>
                <m:t>=</m:t>
              </m:r>
              <m:r>
                <w:rPr>
                  <w:sz w:val="21"/>
                </w:rPr>
                <m:t>1</m:t>
              </m:r>
            </m:sub>
          </m:sSub>
          <m:r>
            <w:rPr>
              <w:sz w:val="21"/>
            </w:rPr>
            <m:rPr>
              <m:sty m:val="p"/>
            </m:rPr>
            <m:t>=</m:t>
          </m:r>
          <m:r>
            <w:rPr>
              <w:sz w:val="21"/>
            </w:rPr>
            <m:t>0</m:t>
          </m:r>
          <m:r>
            <w:rPr>
              <w:sz w:val="21"/>
            </w:rPr>
            <m:rPr>
              <m:sty m:val="p"/>
            </m:rPr>
            <m:t>,</m:t>
          </m:r>
          <m:r>
            <w:rPr>
              <w:sz w:val="21"/>
            </w:rPr>
            <m:t>  </m:t>
          </m:r>
          <m:r>
            <w:rPr>
              <w:sz w:val="21"/>
            </w:rPr>
            <m:rPr>
              <m:sty m:val="p"/>
            </m:rPr>
            <m:t>−</m:t>
          </m:r>
          <m:sSub>
            <m:e>
              <m:f>
                <m:fPr>
                  <m:type m:val="bar"/>
                </m:fPr>
                <m:num>
                  <m:r>
                    <w:rPr>
                      <w:sz w:val="21"/>
                    </w:rPr>
                    <m:t>d</m:t>
                  </m:r>
                  <m:sSub>
                    <m:e>
                      <m:r>
                        <w:rPr>
                          <w:sz w:val="21"/>
                        </w:rPr>
                        <m:t>W</m:t>
                      </m:r>
                    </m:e>
                    <m:sub>
                      <m:r>
                        <w:rPr>
                          <w:sz w:val="21"/>
                        </w:rPr>
                        <m:rPr>
                          <m:sty m:val="p"/>
                        </m:rPr>
                        <m:t>o</m:t>
                      </m:r>
                      <m:r>
                        <w:rPr>
                          <w:sz w:val="21"/>
                        </w:rPr>
                        <m:rPr>
                          <m:sty m:val="p"/>
                        </m:rPr>
                        <m:t>f</m:t>
                      </m:r>
                      <m:r>
                        <w:rPr>
                          <w:sz w:val="21"/>
                        </w:rPr>
                        <m:rPr>
                          <m:sty m:val="p"/>
                        </m:rPr>
                        <m:t>f</m:t>
                      </m:r>
                    </m:sub>
                  </m:sSub>
                </m:num>
                <m:den>
                  <m:r>
                    <w:rPr>
                      <w:sz w:val="21"/>
                    </w:rPr>
                    <m:t>d</m:t>
                  </m:r>
                  <m:r>
                    <w:rPr>
                      <w:sz w:val="21"/>
                    </w:rPr>
                    <m:rPr>
                      <m:sty m:val="p"/>
                    </m:rPr>
                    <m:t>log</m:t>
                  </m:r>
                  <m:r>
                    <w:rPr>
                      <w:sz w:val="21"/>
                    </w:rPr>
                    <m:t>v</m:t>
                  </m:r>
                </m:den>
              </m:f>
              <m:r>
                <m:t>|</m:t>
              </m:r>
            </m:e>
            <m:sub>
              <m:r>
                <w:rPr>
                  <w:sz w:val="21"/>
                </w:rPr>
                <m:t>v</m:t>
              </m:r>
              <m:r>
                <w:rPr>
                  <w:sz w:val="21"/>
                </w:rPr>
                <m:rPr>
                  <m:sty m:val="p"/>
                </m:rPr>
                <m:t>=</m:t>
              </m:r>
              <m:r>
                <w:rPr>
                  <w:sz w:val="21"/>
                </w:rPr>
                <m:t>1</m:t>
              </m:r>
            </m:sub>
          </m:sSub>
          <m:r>
            <w:rPr>
              <w:sz w:val="21"/>
            </w:rPr>
            <m:rPr>
              <m:sty m:val="p"/>
            </m:rPr>
            <m:t>=</m:t>
          </m:r>
          <m:r>
            <w:rPr>
              <w:sz w:val="21"/>
            </w:rPr>
            <m:rPr>
              <m:sty m:val="p"/>
            </m:rPr>
            <m:t>⟨</m:t>
          </m:r>
          <m:r>
            <w:rPr>
              <w:sz w:val="21"/>
            </w:rPr>
            <m:t>P</m:t>
          </m:r>
          <m:r>
            <w:rPr>
              <w:sz w:val="21"/>
            </w:rPr>
            <m:t>V</m:t>
          </m:r>
          <m:sSub>
            <m:e>
              <m:r>
                <w:rPr>
                  <w:sz w:val="21"/>
                </w:rPr>
                <m:rPr>
                  <m:sty m:val="p"/>
                </m:rPr>
                <m:t>⟩</m:t>
              </m:r>
            </m:e>
            <m:sub>
              <m:r>
                <w:rPr>
                  <w:sz w:val="21"/>
                </w:rPr>
                <m:rPr>
                  <m:sty m:val="p"/>
                </m:rPr>
                <m:t>p</m:t>
              </m:r>
              <m:r>
                <w:rPr>
                  <w:sz w:val="21"/>
                </w:rPr>
                <m:rPr>
                  <m:sty m:val="p"/>
                </m:rPr>
                <m:t>o</m:t>
              </m:r>
              <m:r>
                <w:rPr>
                  <w:sz w:val="21"/>
                </w:rPr>
                <m:rPr>
                  <m:sty m:val="p"/>
                </m:rPr>
                <m:t>s</m:t>
              </m:r>
              <m:r>
                <w:rPr>
                  <w:sz w:val="21"/>
                </w:rPr>
                <m:rPr>
                  <m:sty m:val="p"/>
                </m:rPr>
                <m:t>t</m:t>
              </m:r>
            </m:sub>
          </m:sSub>
          <m:r>
            <w:rPr>
              <w:sz w:val="21"/>
            </w:rPr>
            <m:rPr>
              <m:sty m:val="p"/>
            </m:rPr>
            <m:t>.</m:t>
          </m:r>
        </m:oMath>
      </m:oMathPara>
    </w:p>
    <w:p>
      <w:pPr>
        <w:pStyle w:val="FirstParagraph"/>
      </w:pPr>
      <w:r>
        <w:rPr>
          <w:color w:val="000000"/>
        </w:rPr>
        <w:t xml:space="preserve">작은 부피 변화에 대해 입자 선택 확률은 2차로 달라지지만, 제어 장치가 주고받는 평균 일은 이미 1차로 달라진다. 그 계수는 기존 입자 상태의 압력과 부피의 곱 PV이다. 따라서</w:t>
      </w:r>
      <w:r>
        <w:rPr>
          <w:color w:val="000000"/>
        </w:rPr>
        <w:t xml:space="preserve"> </w:t>
      </w:r>
      <w:r>
        <w:rPr>
          <w:bCs/>
          <w:b/>
          <w:color w:val="000000"/>
        </w:rPr>
        <w:t xml:space="preserve">입자 선택 확률의 일치만으로 에너지·응력 호환성을 판단할 수 없다.</w:t>
      </w:r>
      <w:r>
        <w:rPr>
          <w:color w:val="000000"/>
        </w:rPr>
        <w:t xml:space="preserve"> </w:t>
      </w:r>
      <w:r>
        <w:rPr>
          <w:color w:val="000000"/>
        </w:rPr>
        <w:t xml:space="preserve">이 따름정리가 이번 원고의 중심 연결이다.</w:t>
      </w:r>
    </w:p>
    <w:p>
      <w:pPr>
        <w:pStyle w:val="BodyText"/>
      </w:pPr>
      <w:r>
        <w:rPr>
          <w:color w:val="000000"/>
        </w:rPr>
        <w:t xml:space="preserve">순간 압력 계산은</w:t>
      </w:r>
      <w:r>
        <w:rPr>
          <w:color w:val="000000"/>
        </w:rPr>
        <w:t xml:space="preserve"> </w:t>
      </w:r>
      <w:r>
        <w:rPr>
          <w:bCs/>
          <w:b/>
          <w:color w:val="000000"/>
        </w:rPr>
        <w:t xml:space="preserve">지금의 상태를 고정한 채 부피만 가상으로 조금 바꾸면 에너지가 어떻게 달라지는가</w:t>
      </w:r>
      <w:r>
        <w:rPr>
          <w:color w:val="000000"/>
        </w:rPr>
        <w:t xml:space="preserve">를 묻는다. 준비 실험의 비교는</w:t>
      </w:r>
      <w:r>
        <w:rPr>
          <w:color w:val="000000"/>
        </w:rPr>
        <w:t xml:space="preserve"> </w:t>
      </w:r>
      <w:r>
        <w:rPr>
          <w:bCs/>
          <w:b/>
          <w:color w:val="000000"/>
        </w:rPr>
        <w:t xml:space="preserve">부피마다 소스를 다시 준비하고 같은 펄스를 실행하면 최종 에너지가 어떻게 달라지는가</w:t>
      </w:r>
      <w:r>
        <w:rPr>
          <w:color w:val="000000"/>
        </w:rPr>
        <w:t xml:space="preserve">를 묻는다. 후자에는 상태 자체가 달라지는 효과도 들어간다. 영문 본문 §6.1의 식 (11a)는 이 추가 항을 분리한다. 기준 공명점에서는 모든 캐리어 상태의 에너지가 같아 정규화 조건으로 추가 항이 0이 되므로, 해당 지점에서 위 관계가 성립한다. 이 조건을 벗어난 모든 부피에서 두 미분이 같다고 주장하지 않는다.</w:t>
      </w:r>
    </w:p>
    <w:bookmarkEnd w:id="24"/>
    <w:bookmarkStart w:id="25" w:name="세-번째-논문과의-수치-연결"/>
    <w:p>
      <w:pPr>
        <w:pStyle w:val="Heading2"/>
      </w:pPr>
      <w:r>
        <w:rPr>
          <w:color w:val="000000"/>
        </w:rPr>
        <w:t xml:space="preserve">세 번째 논문과의 수치 연결</w:t>
      </w:r>
    </w:p>
    <w:p>
      <w:pPr>
        <w:pStyle w:val="FirstParagraph"/>
      </w:pPr>
      <w:r>
        <w:rPr>
          <w:color w:val="000000"/>
        </w:rPr>
        <w:t xml:space="preserve">기준 주소 분포는 X=0.739066404이다. 완전 공명 전환 뒤 PV/E*는 처음 0.246350, 뮤온 수명 다섯 배가 지난 뒤 0.332735가 된다. 이는 세 번째 논문의 결과와 일치한다. 반만 전환하면 두 압력이 절반이 되며, 나머지 에너지는 소스에 남는다.</w:t>
      </w:r>
    </w:p>
    <w:p>
      <w:pPr>
        <w:pStyle w:val="BodyText"/>
      </w:pPr>
      <w:r>
        <w:rPr>
          <w:color w:val="000000"/>
        </w:rPr>
        <w:t xml:space="preserve">세 번째 논문의 코드는 바꾸지 않고 포함했다. 그 안에서 앞선 인터페이스 코드도 다시 실행한다. 전체 대형 레지스터 행렬을 억지로 만드는 대신, 증명한 블록 법칙으로 백만 주소를 계산하고 대표 주소 여덟 개에서는 실제 행렬 지수를 비교했다.</w:t>
      </w:r>
    </w:p>
    <w:bookmarkEnd w:id="25"/>
    <w:bookmarkEnd w:id="26"/>
    <w:bookmarkStart w:id="27" w:name="실패-조건과-남은-한계"/>
    <w:p>
      <w:pPr>
        <w:pStyle w:val="Heading1"/>
      </w:pPr>
      <w:r>
        <w:rPr>
          <w:color w:val="000000"/>
        </w:rPr>
        <w:t xml:space="preserve">4. 실패 조건과 남은 한계</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6576"/>
      </w:tblGrid>
      <w:tr>
        <w:trPr>
          <w:tblHeader w:val="true"/>
          <w:tblHeader/>
          <w:cantSplit/>
        </w:trPr>
        <w:tc>
          <w:tcPr>
            <w:tcW w:type="dxa" w:w="2948"/>
            <w:vAlign w:val="center"/>
            <w:tcMar>
              <w:top w:w="75" w:type="dxa"/>
              <w:bottom w:w="75" w:type="dxa"/>
              <w:left w:w="90" w:type="dxa"/>
              <w:right w:w="90" w:type="dxa"/>
            </w:tcMar>
            <w:shd w:fill="E9EDF1"/>
          </w:tcPr>
          <w:p>
            <w:pPr>
              <w:pStyle w:val="Compact"/>
              <w:keepNext/>
              <w:spacing w:after="0" w:line="252" w:lineRule="auto"/>
              <w:jc w:val="left"/>
            </w:pPr>
            <w:r>
              <w:rPr>
                <w:rFonts w:ascii="Noto Sans CJK KR" w:hAnsi="Noto Sans CJK KR"/>
                <w:b/>
                <w:sz w:val="19"/>
              </w:rPr>
              <w:t xml:space="preserve">조건을 바꿀 때</w:t>
            </w:r>
          </w:p>
        </w:tc>
        <w:tc>
          <w:tcPr>
            <w:tcW w:type="dxa" w:w="6576"/>
            <w:vAlign w:val="center"/>
            <w:tcMar>
              <w:top w:w="75" w:type="dxa"/>
              <w:bottom w:w="75" w:type="dxa"/>
              <w:left w:w="90" w:type="dxa"/>
              <w:right w:w="90" w:type="dxa"/>
            </w:tcMar>
            <w:shd w:fill="E9EDF1"/>
          </w:tcPr>
          <w:p>
            <w:pPr>
              <w:pStyle w:val="Compact"/>
              <w:keepNext/>
              <w:spacing w:after="0" w:line="252" w:lineRule="auto"/>
              <w:jc w:val="center"/>
            </w:pPr>
            <w:r>
              <w:rPr>
                <w:rFonts w:ascii="Noto Sans CJK KR" w:hAnsi="Noto Sans CJK KR"/>
                <w:b/>
                <w:sz w:val="19"/>
              </w:rPr>
              <w:t xml:space="preserve">확인된 결과</w:t>
            </w:r>
          </w:p>
        </w:tc>
      </w:tr>
      <w:tr>
        <w:trPr>
          <w:cantSplit/>
        </w:trPr>
        <w:tc>
          <w:tcPr>
            <w:tcW w:type="dxa" w:w="2948"/>
            <w:vAlign w:val="center"/>
            <w:tcMar>
              <w:top w:w="75" w:type="dxa"/>
              <w:bottom w:w="75" w:type="dxa"/>
              <w:left w:w="90" w:type="dxa"/>
              <w:right w:w="90" w:type="dxa"/>
            </w:tcMar>
          </w:tcPr>
          <w:p>
            <w:pPr>
              <w:pStyle w:val="Compact"/>
              <w:keepNext/>
              <w:spacing w:after="0" w:line="252" w:lineRule="auto"/>
              <w:jc w:val="left"/>
            </w:pPr>
            <w:r>
              <w:rPr>
                <w:rFonts w:ascii="Noto Sans CJK KR" w:hAnsi="Noto Sans CJK KR"/>
                <w:b w:val="0"/>
                <w:sz w:val="19"/>
              </w:rPr>
              <w:t xml:space="preserve">독립 준비를 상관된 준비로 바꿈</w:t>
            </w:r>
          </w:p>
        </w:tc>
        <w:tc>
          <w:tcPr>
            <w:tcW w:type="dxa" w:w="6576"/>
            <w:vAlign w:val="center"/>
            <w:tcMar>
              <w:top w:w="75" w:type="dxa"/>
              <w:bottom w:w="75" w:type="dxa"/>
              <w:left w:w="90" w:type="dxa"/>
              <w:right w:w="90" w:type="dxa"/>
            </w:tcMar>
          </w:tcPr>
          <w:p>
            <w:pPr>
              <w:pStyle w:val="Compact"/>
              <w:keepNext/>
              <w:spacing w:after="0" w:line="252" w:lineRule="auto"/>
              <w:jc w:val="center"/>
            </w:pPr>
            <w:r>
              <w:rPr>
                <w:rFonts w:ascii="Noto Sans CJK KR" w:hAnsi="Noto Sans CJK KR"/>
                <w:b w:val="0"/>
                <w:sz w:val="19"/>
              </w:rPr>
              <w:t xml:space="preserve">같은 주변분포여도 종 선택 확률이 달라짐</w:t>
            </w:r>
          </w:p>
        </w:tc>
      </w:tr>
      <w:tr>
        <w:trPr>
          <w:cantSplit/>
        </w:trPr>
        <w:tc>
          <w:tcPr>
            <w:tcW w:type="dxa" w:w="2948"/>
            <w:vAlign w:val="center"/>
            <w:tcMar>
              <w:top w:w="75" w:type="dxa"/>
              <w:bottom w:w="75" w:type="dxa"/>
              <w:left w:w="90" w:type="dxa"/>
              <w:right w:w="90" w:type="dxa"/>
            </w:tcMar>
          </w:tcPr>
          <w:p>
            <w:pPr>
              <w:pStyle w:val="Compact"/>
              <w:keepNext/>
              <w:spacing w:after="0" w:line="252" w:lineRule="auto"/>
              <w:jc w:val="left"/>
            </w:pPr>
            <w:r>
              <w:rPr>
                <w:rFonts w:ascii="Noto Sans CJK KR" w:hAnsi="Noto Sans CJK KR"/>
                <w:b w:val="0"/>
                <w:sz w:val="19"/>
              </w:rPr>
              <w:t xml:space="preserve">순수 출력과 혼합 출력을 동일시함</w:t>
            </w:r>
          </w:p>
        </w:tc>
        <w:tc>
          <w:tcPr>
            <w:tcW w:type="dxa" w:w="6576"/>
            <w:vAlign w:val="center"/>
            <w:tcMar>
              <w:top w:w="75" w:type="dxa"/>
              <w:bottom w:w="75" w:type="dxa"/>
              <w:left w:w="90" w:type="dxa"/>
              <w:right w:w="90" w:type="dxa"/>
            </w:tcMar>
          </w:tcPr>
          <w:p>
            <w:pPr>
              <w:pStyle w:val="Compact"/>
              <w:keepNext/>
              <w:spacing w:after="0" w:line="252" w:lineRule="auto"/>
              <w:jc w:val="center"/>
            </w:pPr>
            <w:r>
              <w:rPr>
                <w:rFonts w:ascii="Noto Sans CJK KR" w:hAnsi="Noto Sans CJK KR"/>
                <w:b w:val="0"/>
                <w:sz w:val="19"/>
              </w:rPr>
              <w:t xml:space="preserve">종 확률은 같아도 trace distance가 0이 아님</w:t>
            </w:r>
          </w:p>
        </w:tc>
      </w:tr>
      <w:tr>
        <w:trPr>
          <w:cantSplit/>
        </w:trPr>
        <w:tc>
          <w:tcPr>
            <w:tcW w:type="dxa" w:w="2948"/>
            <w:vAlign w:val="center"/>
            <w:tcMar>
              <w:top w:w="75" w:type="dxa"/>
              <w:bottom w:w="75" w:type="dxa"/>
              <w:left w:w="90" w:type="dxa"/>
              <w:right w:w="90" w:type="dxa"/>
            </w:tcMar>
          </w:tcPr>
          <w:p>
            <w:pPr>
              <w:pStyle w:val="Compact"/>
              <w:keepNext/>
              <w:spacing w:after="0" w:line="252" w:lineRule="auto"/>
              <w:jc w:val="left"/>
            </w:pPr>
            <w:r>
              <w:rPr>
                <w:rFonts w:ascii="Noto Sans CJK KR" w:hAnsi="Noto Sans CJK KR"/>
                <w:b w:val="0"/>
                <w:sz w:val="19"/>
              </w:rPr>
              <w:t xml:space="preserve">비공명 펄스에서 스위칭 일을 생략함</w:t>
            </w:r>
          </w:p>
        </w:tc>
        <w:tc>
          <w:tcPr>
            <w:tcW w:type="dxa" w:w="6576"/>
            <w:vAlign w:val="center"/>
            <w:tcMar>
              <w:top w:w="75" w:type="dxa"/>
              <w:bottom w:w="75" w:type="dxa"/>
              <w:left w:w="90" w:type="dxa"/>
              <w:right w:w="90" w:type="dxa"/>
            </w:tcMar>
          </w:tcPr>
          <w:p>
            <w:pPr>
              <w:pStyle w:val="Compact"/>
              <w:keepNext/>
              <w:spacing w:after="0" w:line="252" w:lineRule="auto"/>
              <w:jc w:val="center"/>
            </w:pPr>
            <w:r>
              <w:rPr>
                <w:rFonts w:ascii="Noto Sans CJK KR" w:hAnsi="Noto Sans CJK KR"/>
                <w:b w:val="0"/>
                <w:sz w:val="19"/>
              </w:rPr>
              <w:t xml:space="preserve">맨 에너지 변화의 장부가 닫히지 않음</w:t>
            </w:r>
          </w:p>
        </w:tc>
      </w:tr>
      <w:tr>
        <w:trPr>
          <w:cantSplit/>
        </w:trPr>
        <w:tc>
          <w:tcPr>
            <w:tcW w:type="dxa" w:w="2948"/>
            <w:vAlign w:val="center"/>
            <w:tcMar>
              <w:top w:w="75" w:type="dxa"/>
              <w:bottom w:w="75" w:type="dxa"/>
              <w:left w:w="90" w:type="dxa"/>
              <w:right w:w="90" w:type="dxa"/>
            </w:tcMar>
          </w:tcPr>
          <w:p>
            <w:pPr>
              <w:pStyle w:val="Compact"/>
              <w:keepNext/>
              <w:spacing w:after="0" w:line="252" w:lineRule="auto"/>
              <w:jc w:val="left"/>
            </w:pPr>
            <w:r>
              <w:rPr>
                <w:rFonts w:ascii="Noto Sans CJK KR" w:hAnsi="Noto Sans CJK KR"/>
                <w:b w:val="0"/>
                <w:sz w:val="19"/>
              </w:rPr>
              <w:t xml:space="preserve">출력에 먼지 압력을 강제함</w:t>
            </w:r>
          </w:p>
        </w:tc>
        <w:tc>
          <w:tcPr>
            <w:tcW w:type="dxa" w:w="6576"/>
            <w:vAlign w:val="center"/>
            <w:tcMar>
              <w:top w:w="75" w:type="dxa"/>
              <w:bottom w:w="75" w:type="dxa"/>
              <w:left w:w="90" w:type="dxa"/>
              <w:right w:w="90" w:type="dxa"/>
            </w:tcMar>
          </w:tcPr>
          <w:p>
            <w:pPr>
              <w:pStyle w:val="Compact"/>
              <w:keepNext/>
              <w:spacing w:after="0" w:line="252" w:lineRule="auto"/>
              <w:jc w:val="center"/>
            </w:pPr>
            <w:r>
              <w:rPr>
                <w:rFonts w:ascii="Noto Sans CJK KR" w:hAnsi="Noto Sans CJK KR"/>
                <w:b w:val="0"/>
                <w:sz w:val="19"/>
              </w:rPr>
              <w:t xml:space="preserve">뜨거운 전자 채널의 양의 압력과 충돌함</w:t>
            </w:r>
          </w:p>
        </w:tc>
      </w:tr>
      <w:tr>
        <w:trPr>
          <w:cantSplit/>
        </w:trPr>
        <w:tc>
          <w:tcPr>
            <w:tcW w:type="dxa" w:w="2948"/>
            <w:vAlign w:val="center"/>
            <w:tcMar>
              <w:top w:w="75" w:type="dxa"/>
              <w:bottom w:w="75" w:type="dxa"/>
              <w:left w:w="90" w:type="dxa"/>
              <w:right w:w="90" w:type="dxa"/>
            </w:tcMar>
          </w:tcPr>
          <w:p>
            <w:pPr>
              <w:pStyle w:val="Compact"/>
              <w:keepNext w:val="0"/>
              <w:spacing w:after="0" w:line="252" w:lineRule="auto"/>
              <w:jc w:val="left"/>
            </w:pPr>
            <w:r>
              <w:rPr>
                <w:rFonts w:ascii="Noto Sans CJK KR" w:hAnsi="Noto Sans CJK KR"/>
                <w:b w:val="0"/>
                <w:sz w:val="19"/>
              </w:rPr>
              <w:t xml:space="preserve">팽창 중 딸입자의 출생 기록을 버림</w:t>
            </w:r>
          </w:p>
        </w:tc>
        <w:tc>
          <w:tcPr>
            <w:tcW w:type="dxa" w:w="6576"/>
            <w:vAlign w:val="center"/>
            <w:tcMar>
              <w:top w:w="75" w:type="dxa"/>
              <w:bottom w:w="75" w:type="dxa"/>
              <w:left w:w="90" w:type="dxa"/>
              <w:right w:w="90" w:type="dxa"/>
            </w:tcMar>
          </w:tcPr>
          <w:p>
            <w:pPr>
              <w:pStyle w:val="Compact"/>
              <w:keepNext w:val="0"/>
              <w:spacing w:after="0" w:line="252" w:lineRule="auto"/>
              <w:jc w:val="center"/>
            </w:pPr>
            <w:r>
              <w:rPr>
                <w:rFonts w:ascii="Noto Sans CJK KR" w:hAnsi="Noto Sans CJK KR"/>
                <w:b w:val="0"/>
                <w:sz w:val="19"/>
              </w:rPr>
              <w:t xml:space="preserve">세 번째 논문의 코호트 조건을 더는 보장하지 못함</w:t>
            </w:r>
          </w:p>
        </w:tc>
      </w:tr>
    </w:tbl>
    <w:p>
      <w:pPr>
        <w:pStyle w:val="BodyText"/>
      </w:pPr>
      <w:r>
        <w:rPr>
          <w:color w:val="000000"/>
        </w:rPr>
        <w:t xml:space="preserve">이것들은 먼저</w:t>
      </w:r>
      <w:r>
        <w:rPr>
          <w:color w:val="000000"/>
        </w:rPr>
        <w:t xml:space="preserve"> </w:t>
      </w:r>
      <w:r>
        <w:rPr>
          <w:bCs/>
          <w:b/>
          <w:color w:val="000000"/>
        </w:rPr>
        <w:t xml:space="preserve">수학적·구현상의 실패 조건</w:t>
      </w:r>
      <w:r>
        <w:rPr>
          <w:color w:val="000000"/>
        </w:rPr>
        <w:t xml:space="preserve">이다. 경험적 물리 검증을 하려면 실제 준비를 레지스터에 어떻게 대응시키는지, 독립성 오차와 결합·펄스 불확도가 얼마인지 먼저 정해야 한다. 그 준비 아래 측정한 종 비율과 평균 일이 계산과 어긋나면 해당 물리 구현을 기각할 수 있다. 이번 원고는 그 실험이 수행되었다고 주장하지 않는다.</w:t>
      </w:r>
    </w:p>
    <w:p>
      <w:pPr>
        <w:pStyle w:val="BodyText"/>
      </w:pPr>
      <w:r>
        <w:rPr>
          <w:color w:val="000000"/>
        </w:rPr>
        <w:t xml:space="preserve">15채널 캐리어 전체, 국소 상대론적 렙톤 생성 꼭짓점, 약상호작용의 유도, 실제 제어 장치의 비용은 이번 계산에 포함되지 않았다. 원고는 이를 명시한다. 따라서 이번의 성취는 선언된 유효 연산자 공백을 메운 것이며, 모든 미시적 물리 기원을 완성한 것은 아니다.</w:t>
      </w:r>
    </w:p>
    <w:bookmarkEnd w:id="27"/>
    <w:bookmarkStart w:id="28" w:name="계산-검사와-내부-심사"/>
    <w:p>
      <w:pPr>
        <w:pStyle w:val="Heading1"/>
      </w:pPr>
      <w:r>
        <w:rPr>
          <w:color w:val="000000"/>
        </w:rPr>
        <w:t xml:space="preserve">5. 계산 검사와 내부 심사</w:t>
      </w:r>
    </w:p>
    <w:p>
      <w:pPr>
        <w:pStyle w:val="FirstParagraph"/>
      </w:pPr>
      <w:r>
        <w:rPr>
          <w:color w:val="000000"/>
        </w:rPr>
        <w:t xml:space="preserve">새 캐리어 계산은 123개 검사를 통과했다. 그중 두 개는 상속된 검사들의 성공을 확인하며, 상속 인터페이스에는 47개, 동역학적 붕괴에는 56개 검사가 있다. 서로 독립인 실험 226개가 있다는 뜻은 아니다. 같은 팽창 함수를 같은 초기값으로 재호출하는 검사는 전달 회귀검사이고, 수송 정확성은 상속된 별도 적분·시간 간격 수렴 검사가 맡는다.</w:t>
      </w:r>
    </w:p>
    <w:p>
      <w:pPr>
        <w:pStyle w:val="BodyText"/>
      </w:pPr>
      <w:r>
        <w:rPr>
          <w:color w:val="000000"/>
        </w:rPr>
        <w:t xml:space="preserve">요청한 Astra medium으로 별도 내부 검토를 수행했다. 1차 평가는 핵심 증명과 계산을 지지하면서, FoP 독창성 근거를 강화하도록 주요 수정을 요구했다. 이에 제목을 실제 유효모형 수준으로 바꾸고, 일–압력 응답을 중심 결과로 올렸으며, 제거한 자유도와 남은 가정을 정리하고, 유니터리 검사의 범위와 반증 조건의 구분을 수정했다.</w:t>
      </w:r>
    </w:p>
    <w:p>
      <w:pPr>
        <w:pStyle w:val="BodyText"/>
      </w:pPr>
      <w:r>
        <w:rPr>
          <w:color w:val="000000"/>
        </w:rPr>
        <w:t xml:space="preserve">최종 내부 재검토의 판정은 함께 제공하는 심사 문서에 기록한다. 10월 9일 보완은 기여 설명·가정 구분·미분의 해석·검증 표현에 관한 편집 수정이다. 기존 코드와 123개 검사 결과는 그대로이며, 이를 새 계산 실행이나 세 번째 Astra 심사로 세지 않는다. 수학적 타당성과 저널의 독창성 판단은 별개다. 표준 비교기와 두 상태 전이를 결합한 연구이므로, FoP 편집자가 독립 논문으로 충분한 기여라고 볼지는 여전히 중요한 위험이다. AI 내부 심사를 실제 저널 심사나 게재 승인으로 표현하지 않는다.</w:t>
      </w:r>
    </w:p>
    <w:bookmarkEnd w:id="28"/>
    <w:bookmarkStart w:id="29" w:name="제출-준비-상태"/>
    <w:p>
      <w:pPr>
        <w:pStyle w:val="Heading1"/>
      </w:pPr>
      <w:r>
        <w:rPr>
          <w:color w:val="000000"/>
        </w:rPr>
        <w:t xml:space="preserve">6. 제출 준비 상태</w:t>
      </w:r>
    </w:p>
    <w:p>
      <w:pPr>
        <w:pStyle w:val="FirstParagraph"/>
      </w:pPr>
      <w:r>
        <w:rPr>
          <w:color w:val="000000"/>
        </w:rPr>
        <w:t xml:space="preserve">영문 원고, 편집 가능한 Word, 읽기용 PDF, 재현 코드·그림·결과, 커버레터 초안과 심사·수정 기록을 제공한다. 실제 제출 전에 저자가 새로운 원고의 최종 내용과 저자 기여·연구비·이해충돌 선언을 확인해야 한다. 앞선 논문 승인으로 이번 원고 승인까지 자동으로 간주하지 않았다. 이번 작업에서 저널 제출이나 새 Zenodo 등록은 하지 않는다.</w:t>
      </w:r>
    </w:p>
    <w:bookmarkEnd w:id="29"/>
    <w:sectPr>
      <w:footerReference w:type="default" r:id="rId9"/>
      <w:pgSz w:w="11906" w:h="16838"/>
      <w:pgMar w:left="1191" w:right="1191"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69" w:lineRule="auto" w:after="120"/>
      <w:ind w:firstLine="0"/>
    </w:pPr>
    <w:rPr>
      <w:rFonts w:ascii="Noto Sans CJK KR" w:hAnsi="Noto Sans CJK KR" w:eastAsia="Noto Sans CJK KR"/>
      <w:color w:val="000000"/>
      <w:sz w:val="21"/>
    </w:rPr>
  </w:style>
  <w:style w:styleId="BodyText" w:type="paragraph">
    <w:name w:val="Body Text"/>
    <w:basedOn w:val="Normal"/>
    <w:link w:val="BodyTextChar"/>
    <w:pPr>
      <w:widowControl/>
      <w:spacing w:after="120" w:before="180" w:line="269" w:lineRule="auto"/>
      <w:ind w:firstLine="0"/>
    </w:pPr>
    <w:qFormat/>
    <w:rPr>
      <w:rFonts w:ascii="Noto Sans CJK KR" w:hAnsi="Noto Sans CJK KR" w:eastAsia="Noto Sans CJK KR"/>
      <w:color w:val="000000"/>
      <w:sz w:val="21"/>
    </w:rPr>
  </w:style>
  <w:style w:customStyle="1" w:styleId="FirstParagraph" w:type="paragraph">
    <w:name w:val="First Paragraph"/>
    <w:basedOn w:val="BodyText"/>
    <w:next w:val="BodyText"/>
    <w:qFormat/>
    <w:pPr>
      <w:widowControl/>
      <w:spacing w:line="269" w:lineRule="auto" w:after="120"/>
      <w:ind w:firstLine="0"/>
    </w:pPr>
    <w:rPr>
      <w:rFonts w:ascii="Noto Sans CJK KR" w:hAnsi="Noto Sans CJK KR" w:eastAsia="Noto Sans CJK KR"/>
      <w:color w:val="000000"/>
      <w:sz w:val="21"/>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20" w:before="0"/>
      <w:jc w:val="center"/>
    </w:pPr>
    <w:rPr>
      <w:rFonts w:asciiTheme="majorHAnsi" w:cstheme="majorBidi" w:eastAsiaTheme="majorEastAsia" w:hAnsiTheme="majorHAnsi" w:ascii="Noto Sans CJK KR" w:hAnsi="Noto Sans CJK KR"/>
      <w:b/>
      <w:bCs/>
      <w:color w:val="000000"/>
      <w:sz w:val="36"/>
      <w:szCs w:val="36"/>
    </w:rPr>
  </w:style>
  <w:style w:styleId="Subtitle" w:type="paragraph">
    <w:name w:val="Subtitle"/>
    <w:basedOn w:val="Title"/>
    <w:next w:val="BodyText"/>
    <w:qFormat/>
    <w:pPr>
      <w:keepNext/>
      <w:keepLines/>
      <w:spacing w:after="120" w:before="0"/>
      <w:jc w:val="center"/>
    </w:pPr>
    <w:rPr>
      <w:rFonts w:ascii="Noto Sans CJK KR" w:hAnsi="Noto Sans CJK KR"/>
      <w:color w:val="000000"/>
      <w:sz w:val="24"/>
      <w:szCs w:val="30"/>
    </w:rPr>
  </w:style>
  <w:style w:customStyle="1" w:styleId="Author" w:type="paragraph">
    <w:name w:val="Author"/>
    <w:next w:val="BodyText"/>
    <w:qFormat/>
    <w:pPr>
      <w:keepNext/>
      <w:keepLines/>
      <w:jc w:val="center"/>
    </w:pPr>
    <w:rPr>
      <w:rFonts w:ascii="Noto Sans CJK KR" w:hAnsi="Noto Sans CJK KR"/>
      <w:color w:val="000000"/>
      <w:sz w:val="22"/>
    </w:rPr>
  </w:style>
  <w:style w:styleId="Date" w:type="paragraph">
    <w:name w:val="Date"/>
    <w:next w:val="BodyText"/>
    <w:qFormat/>
    <w:pPr>
      <w:keepNext/>
      <w:keepLines/>
      <w:jc w:val="center"/>
    </w:pPr>
    <w:rPr>
      <w:rFonts w:ascii="Noto Sans CJK KR" w:hAnsi="Noto Sans CJK KR"/>
      <w:color w:val="000000"/>
      <w:sz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widowControl/>
      <w:spacing w:after="120" w:before="100" w:line="269" w:lineRule="auto"/>
      <w:ind w:firstLine="0"/>
    </w:pPr>
    <w:rPr>
      <w:rFonts w:ascii="Noto Sans CJK KR" w:hAnsi="Noto Sans CJK KR" w:eastAsia="Noto Sans CJK KR"/>
      <w:color w:val="000000"/>
      <w:sz w:val="21"/>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outlineLvl w:val="0"/>
    </w:pPr>
    <w:rPr>
      <w:rFonts w:asciiTheme="majorHAnsi" w:cstheme="majorBidi" w:eastAsiaTheme="majorEastAsia" w:hAnsiTheme="majorHAnsi" w:ascii="Noto Sans CJK KR" w:hAnsi="Noto Sans CJK KR"/>
      <w:b/>
      <w:bCs/>
      <w:color w:val="000000"/>
      <w:sz w:val="26"/>
      <w:szCs w:val="32"/>
    </w:rPr>
  </w:style>
  <w:style w:styleId="Heading2" w:type="paragraph">
    <w:name w:val="Heading 2"/>
    <w:basedOn w:val="Normal"/>
    <w:next w:val="BodyText"/>
    <w:uiPriority w:val="9"/>
    <w:unhideWhenUsed/>
    <w:qFormat/>
    <w:pPr>
      <w:keepNext/>
      <w:keepLines/>
      <w:spacing w:after="120" w:before="240"/>
      <w:outlineLvl w:val="1"/>
    </w:pPr>
    <w:rPr>
      <w:rFonts w:asciiTheme="majorHAnsi" w:cstheme="majorBidi" w:eastAsiaTheme="majorEastAsia" w:hAnsiTheme="majorHAnsi" w:ascii="Noto Sans CJK KR" w:hAnsi="Noto Sans CJK KR"/>
      <w:b/>
      <w:bCs/>
      <w:color w:val="000000"/>
      <w:sz w:val="23"/>
      <w:szCs w:val="28"/>
    </w:rPr>
  </w:style>
  <w:style w:styleId="Heading3" w:type="paragraph">
    <w:name w:val="Heading 3"/>
    <w:basedOn w:val="Normal"/>
    <w:next w:val="BodyText"/>
    <w:uiPriority w:val="9"/>
    <w:unhideWhenUsed/>
    <w:qFormat/>
    <w:pPr>
      <w:keepNext/>
      <w:keepLines/>
      <w:spacing w:after="120" w:before="240"/>
      <w:outlineLvl w:val="2"/>
    </w:pPr>
    <w:rPr>
      <w:rFonts w:asciiTheme="majorHAnsi" w:cstheme="majorBidi" w:eastAsiaTheme="majorEastAsia" w:hAnsiTheme="majorHAnsi" w:ascii="Noto Sans CJK KR" w:hAnsi="Noto Sans CJK KR"/>
      <w:b/>
      <w:bCs/>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widowControl/>
      <w:spacing w:after="120" w:before="0" w:line="269" w:lineRule="auto"/>
      <w:ind w:firstLine="0"/>
    </w:pPr>
    <w:rPr>
      <w:rFonts w:ascii="Noto Sans CJK KR" w:hAnsi="Noto Sans CJK KR" w:eastAsia="Noto Sans CJK KR"/>
      <w:i/>
      <w:color w:val="000000"/>
      <w:sz w:val="21"/>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 네 번째 논문 해설과 투고 판단</dc:title>
  <dc:creator>Wonsik Choi and Jeongin Choi</dc:creator>
  <cp:keywords/>
  <dcterms:created xsi:type="dcterms:W3CDTF">2026-10-08T22:48:30Z</dcterms:created>
  <dcterms:modified xsi:type="dcterms:W3CDTF">2026-10-08T22:48:30Z</dcterms:modified>
  <dc:subject>Finite WRRA carrier coupling for Foundations of Physics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v0.2 · 2026년 10월 9일 편집 보완</vt:lpwstr>
  </property>
</Properties>
</file>