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spacing w:before="1440"/>
      </w:pPr>
      <w:r>
        <w:rPr>
          <w:rFonts w:ascii="Aptos Display" w:hAnsi="Aptos Display" w:eastAsia="Aptos Display"/>
          <w:b/>
          <w:sz w:val="50"/>
        </w:rPr>
        <w:t>WRRA-M 0.3 Source Law Filter Selection</w:t>
      </w:r>
    </w:p>
    <w:p>
      <w:pPr>
        <w:spacing w:after="520"/>
      </w:pPr>
      <w:r>
        <w:rPr>
          <w:rFonts w:ascii="Aptos Display" w:hAnsi="Aptos Display" w:eastAsia="Aptos Display"/>
          <w:color w:val="66717C"/>
          <w:sz w:val="29"/>
        </w:rPr>
        <w:t>Existence Uniqueness Convergence and Stability in the Four Filter Sector</w:t>
      </w:r>
    </w:p>
    <w:tbl>
      <w:tblPr>
        <w:tblW w:type="auto" w:w="0"/>
        <w:jc w:val="left"/>
        <w:tblLayout w:type="fixed"/>
        <w:tblLook w:firstColumn="1" w:firstRow="1" w:lastColumn="0" w:lastRow="0" w:noHBand="0" w:noVBand="1" w:val="04A0"/>
        <w:tblBorders>
          <w:top w:val="single" w:sz="0" w:space="0" w:color="FFFFFF"/>
          <w:left w:val="single" w:sz="0" w:space="0" w:color="FFFFFF"/>
          <w:bottom w:val="single" w:sz="0" w:space="0" w:color="FFFFFF"/>
          <w:right w:val="single" w:sz="0" w:space="0" w:color="FFFFFF"/>
          <w:insideH w:val="single" w:sz="0" w:space="0" w:color="FFFFFF"/>
          <w:insideV w:val="single" w:sz="0" w:space="0" w:color="FFFFFF"/>
        </w:tblBorders>
      </w:tblPr>
      <w:tblGrid>
        <w:gridCol w:w="4939"/>
        <w:gridCol w:w="4939"/>
      </w:tblGrid>
      <w:tr>
        <w:tc>
          <w:tcPr>
            <w:tcW w:type="dxa" w:w="1728"/>
            <w:tcMar>
              <w:top w:w="70" w:type="dxa"/>
              <w:start w:w="0" w:type="dxa"/>
              <w:bottom w:w="70" w:type="dxa"/>
              <w:end w:w="80" w:type="dxa"/>
            </w:tcMar>
          </w:tcPr>
          <w:p>
            <w:r>
              <w:rPr>
                <w:rFonts w:ascii="Aptos" w:hAnsi="Aptos" w:eastAsia="Aptos"/>
                <w:b/>
                <w:color w:val="66717C"/>
                <w:sz w:val="20"/>
              </w:rPr>
              <w:t>Author</w:t>
            </w:r>
          </w:p>
        </w:tc>
        <w:tc>
          <w:tcPr>
            <w:tcW w:type="dxa" w:w="7776"/>
            <w:tcMar>
              <w:top w:w="70" w:type="dxa"/>
              <w:start w:w="0" w:type="dxa"/>
              <w:bottom w:w="70" w:type="dxa"/>
              <w:end w:w="80" w:type="dxa"/>
            </w:tcMar>
          </w:tcPr>
          <w:p>
            <w:r>
              <w:rPr>
                <w:rFonts w:ascii="Aptos" w:hAnsi="Aptos" w:eastAsia="Aptos"/>
                <w:sz w:val="20"/>
              </w:rPr>
              <w:t>Wonsik Choi</w:t>
            </w:r>
          </w:p>
        </w:tc>
      </w:tr>
      <w:tr>
        <w:tc>
          <w:tcPr>
            <w:tcW w:type="dxa" w:w="1728"/>
            <w:tcMar>
              <w:top w:w="70" w:type="dxa"/>
              <w:start w:w="0" w:type="dxa"/>
              <w:bottom w:w="70" w:type="dxa"/>
              <w:end w:w="80" w:type="dxa"/>
            </w:tcMar>
          </w:tcPr>
          <w:p>
            <w:r>
              <w:rPr>
                <w:rFonts w:ascii="Aptos" w:hAnsi="Aptos" w:eastAsia="Aptos"/>
                <w:b/>
                <w:color w:val="66717C"/>
                <w:sz w:val="20"/>
              </w:rPr>
              <w:t>ORCID</w:t>
            </w:r>
          </w:p>
        </w:tc>
        <w:tc>
          <w:tcPr>
            <w:tcW w:type="dxa" w:w="7776"/>
            <w:tcMar>
              <w:top w:w="70" w:type="dxa"/>
              <w:start w:w="0" w:type="dxa"/>
              <w:bottom w:w="70" w:type="dxa"/>
              <w:end w:w="80" w:type="dxa"/>
            </w:tcMar>
          </w:tcPr>
          <w:p>
            <w:r>
              <w:rPr>
                <w:rFonts w:ascii="Aptos" w:hAnsi="Aptos" w:eastAsia="Aptos"/>
                <w:sz w:val="20"/>
              </w:rPr>
              <w:t>0009-0001-4263-9772</w:t>
            </w:r>
          </w:p>
        </w:tc>
      </w:tr>
      <w:tr>
        <w:tc>
          <w:tcPr>
            <w:tcW w:type="dxa" w:w="1728"/>
            <w:tcMar>
              <w:top w:w="70" w:type="dxa"/>
              <w:start w:w="0" w:type="dxa"/>
              <w:bottom w:w="70" w:type="dxa"/>
              <w:end w:w="80" w:type="dxa"/>
            </w:tcMar>
          </w:tcPr>
          <w:p>
            <w:r>
              <w:rPr>
                <w:rFonts w:ascii="Aptos" w:hAnsi="Aptos" w:eastAsia="Aptos"/>
                <w:b/>
                <w:color w:val="66717C"/>
                <w:sz w:val="20"/>
              </w:rPr>
              <w:t>Email</w:t>
            </w:r>
          </w:p>
        </w:tc>
        <w:tc>
          <w:tcPr>
            <w:tcW w:type="dxa" w:w="7776"/>
            <w:tcMar>
              <w:top w:w="70" w:type="dxa"/>
              <w:start w:w="0" w:type="dxa"/>
              <w:bottom w:w="70" w:type="dxa"/>
              <w:end w:w="80" w:type="dxa"/>
            </w:tcMar>
          </w:tcPr>
          <w:p>
            <w:r>
              <w:rPr>
                <w:rFonts w:ascii="Aptos" w:hAnsi="Aptos" w:eastAsia="Aptos"/>
                <w:sz w:val="20"/>
              </w:rPr>
              <w:t>janefather@gmail.com</w:t>
            </w:r>
          </w:p>
        </w:tc>
      </w:tr>
      <w:tr>
        <w:tc>
          <w:tcPr>
            <w:tcW w:type="dxa" w:w="1728"/>
            <w:tcMar>
              <w:top w:w="70" w:type="dxa"/>
              <w:start w:w="0" w:type="dxa"/>
              <w:bottom w:w="70" w:type="dxa"/>
              <w:end w:w="80" w:type="dxa"/>
            </w:tcMar>
          </w:tcPr>
          <w:p>
            <w:r>
              <w:rPr>
                <w:rFonts w:ascii="Aptos" w:hAnsi="Aptos" w:eastAsia="Aptos"/>
                <w:b/>
                <w:color w:val="66717C"/>
                <w:sz w:val="20"/>
              </w:rPr>
              <w:t>Version</w:t>
            </w:r>
          </w:p>
        </w:tc>
        <w:tc>
          <w:tcPr>
            <w:tcW w:type="dxa" w:w="7776"/>
            <w:tcMar>
              <w:top w:w="70" w:type="dxa"/>
              <w:start w:w="0" w:type="dxa"/>
              <w:bottom w:w="70" w:type="dxa"/>
              <w:end w:w="80" w:type="dxa"/>
            </w:tcMar>
          </w:tcPr>
          <w:p>
            <w:r>
              <w:rPr>
                <w:rFonts w:ascii="Aptos" w:hAnsi="Aptos" w:eastAsia="Aptos"/>
                <w:sz w:val="20"/>
              </w:rPr>
              <w:t>WRRA-M 0.3-r1</w:t>
            </w:r>
          </w:p>
        </w:tc>
      </w:tr>
      <w:tr>
        <w:tc>
          <w:tcPr>
            <w:tcW w:type="dxa" w:w="1728"/>
            <w:tcMar>
              <w:top w:w="70" w:type="dxa"/>
              <w:start w:w="0" w:type="dxa"/>
              <w:bottom w:w="70" w:type="dxa"/>
              <w:end w:w="80" w:type="dxa"/>
            </w:tcMar>
          </w:tcPr>
          <w:p>
            <w:r>
              <w:rPr>
                <w:rFonts w:ascii="Aptos" w:hAnsi="Aptos" w:eastAsia="Aptos"/>
                <w:b/>
                <w:color w:val="66717C"/>
                <w:sz w:val="20"/>
              </w:rPr>
              <w:t>Date</w:t>
            </w:r>
          </w:p>
        </w:tc>
        <w:tc>
          <w:tcPr>
            <w:tcW w:type="dxa" w:w="7776"/>
            <w:tcMar>
              <w:top w:w="70" w:type="dxa"/>
              <w:start w:w="0" w:type="dxa"/>
              <w:bottom w:w="70" w:type="dxa"/>
              <w:end w:w="80" w:type="dxa"/>
            </w:tcMar>
          </w:tcPr>
          <w:p>
            <w:r>
              <w:rPr>
                <w:rFonts w:ascii="Aptos" w:hAnsi="Aptos" w:eastAsia="Aptos"/>
                <w:sz w:val="20"/>
              </w:rPr>
              <w:t>1 October 2026</w:t>
            </w:r>
          </w:p>
        </w:tc>
      </w:tr>
      <w:tr>
        <w:tc>
          <w:tcPr>
            <w:tcW w:type="dxa" w:w="1728"/>
            <w:tcMar>
              <w:top w:w="70" w:type="dxa"/>
              <w:start w:w="0" w:type="dxa"/>
              <w:bottom w:w="70" w:type="dxa"/>
              <w:end w:w="80" w:type="dxa"/>
            </w:tcMar>
          </w:tcPr>
          <w:p>
            <w:r>
              <w:rPr>
                <w:rFonts w:ascii="Aptos" w:hAnsi="Aptos" w:eastAsia="Aptos"/>
                <w:b/>
                <w:color w:val="66717C"/>
                <w:sz w:val="20"/>
              </w:rPr>
              <w:t>Status</w:t>
            </w:r>
          </w:p>
        </w:tc>
        <w:tc>
          <w:tcPr>
            <w:tcW w:type="dxa" w:w="7776"/>
            <w:tcMar>
              <w:top w:w="70" w:type="dxa"/>
              <w:start w:w="0" w:type="dxa"/>
              <w:bottom w:w="70" w:type="dxa"/>
              <w:end w:w="80" w:type="dxa"/>
            </w:tcMar>
          </w:tcPr>
          <w:p>
            <w:r>
              <w:rPr>
                <w:rFonts w:ascii="Aptos" w:hAnsi="Aptos" w:eastAsia="Aptos"/>
                <w:sz w:val="20"/>
              </w:rPr>
              <w:t>Conditional selection theorem</w:t>
            </w:r>
          </w:p>
        </w:tc>
      </w:tr>
    </w:tbl>
    <w:p>
      <w:pPr>
        <w:spacing w:before="840"/>
      </w:pPr>
      <w:r>
        <w:rPr>
          <w:rFonts w:ascii="Aptos" w:hAnsi="Aptos" w:eastAsia="Aptos"/>
          <w:b/>
          <w:sz w:val="22"/>
        </w:rPr>
        <w:t>Research decision</w:t>
      </w:r>
    </w:p>
    <w:p>
      <w:pPr>
        <w:keepLines w:val="0"/>
      </w:pPr>
      <w:r>
        <w:rPr>
          <w:rFonts w:ascii="Aptos" w:hAnsi="Aptos" w:eastAsia="Aptos"/>
          <w:i w:val="0"/>
        </w:rPr>
        <w:t>This note takes the single open assumption left by WRRA-M 0.2 and turns it into a finite selection problem. The cross-dimensional filter is not added as independent machinery. It is defined as the stable winner of a Source-supplied compatibility table under a fixed Law. The result is exact within a four-filter admissible class and remains conditional on the physical origin of the compatibility values.</w:t>
      </w:r>
    </w:p>
    <w:p>
      <w:r>
        <w:br w:type="page"/>
      </w:r>
    </w:p>
    <w:p>
      <w:pPr>
        <w:pStyle w:val="Heading1"/>
      </w:pPr>
      <w:r>
        <w:t>Abstract</w:t>
      </w:r>
    </w:p>
    <w:p>
      <w:pPr>
        <w:keepLines w:val="0"/>
      </w:pPr>
      <w:r>
        <w:rPr>
          <w:rFonts w:ascii="Aptos" w:hAnsi="Aptos" w:eastAsia="Aptos"/>
          <w:i w:val="0"/>
        </w:rPr>
        <w:t>WRRA-M 0.3 defines the minimal admissible sector of four one-to-one channel pairings that preserve the sixteen channels and the common color action inherited from version 0.2. Source supplies two scalar compatibility matrices, one for the left block and one for the right block. Law assigns each filter the sum of its selected compatibilities and evolves positive filter weights by a constant-score replicator flow. Two selection gaps completely decide the outcome. The 0.2 cross-dimensional filter is the unique maximizer exactly when both gaps are positive. With positive selection rate eta &gt; 0, the flow converges to it from every interior initial condition, with an explicit exponential bound. The same filter survives entrywise score perturbations of size rho whenever the smaller gap exceeds four rho. This establishes existence, conditional uniqueness, convergence, and perturbation stability inside the stated four-filter sector. It does not derive the compatibility matrices from fundamental physics or show that nature gives the required positive gaps.</w:t>
      </w:r>
    </w:p>
    <w:p>
      <w:pPr>
        <w:pStyle w:val="Heading1"/>
      </w:pPr>
      <w:r>
        <w:t>Result in one sentence</w:t>
      </w:r>
    </w:p>
    <w:p>
      <w:pPr>
        <w:keepLines/>
      </w:pPr>
      <w:r>
        <w:rPr>
          <w:rFonts w:ascii="Aptos" w:hAnsi="Aptos" w:eastAsia="Aptos"/>
          <w:i w:val="0"/>
        </w:rPr>
        <w:t>Within the four-filter sector, Source and Law select the WRRA-M 0.2 cross filter uniquely and stably if and only if both independently fixed selection gaps are positive. Dynamical convergence additionally requires eta &gt; 0 and nonzero initial target support.</w:t>
      </w:r>
    </w:p>
    <w:p>
      <w:pPr>
        <w:pStyle w:val="Heading1"/>
      </w:pPr>
      <w:r>
        <w:t>Scope and stopping line</w:t>
      </w:r>
    </w:p>
    <w:p>
      <w:pPr>
        <w:keepLines w:val="0"/>
      </w:pPr>
      <w:r>
        <w:rPr>
          <w:rFonts w:ascii="Aptos" w:hAnsi="Aptos" w:eastAsia="Aptos"/>
          <w:i w:val="0"/>
        </w:rPr>
        <w:t>Version 0.3 addresses filter selection only and preserves the sixteen-channel algebra of 0.2. Fixed compatibility tables are the score inputs. Known particle assignments may calibrate those tables under the WRRA evaluation rule, provided their provenance is recorded and calibrated selection is distinguished from a calculation using carrier responses fixed before evaluation.</w:t>
      </w:r>
    </w:p>
    <w:p>
      <w:pPr>
        <w:pStyle w:val="Heading2"/>
      </w:pPr>
      <w:r>
        <w:t>Included in 0.3</w:t>
      </w:r>
    </w:p>
    <w:p>
      <w:pPr>
        <w:pStyle w:val="ListBullet"/>
        <w:spacing w:after="60"/>
      </w:pPr>
      <w:r>
        <w:rPr>
          <w:rFonts w:ascii="Aptos" w:hAnsi="Aptos" w:eastAsia="Aptos"/>
        </w:rPr>
        <w:t>A complete four-filter admissible class for the two binary pairing decisions</w:t>
      </w:r>
    </w:p>
    <w:p>
      <w:pPr>
        <w:pStyle w:val="ListBullet"/>
        <w:spacing w:after="60"/>
      </w:pPr>
      <w:r>
        <w:rPr>
          <w:rFonts w:ascii="Aptos" w:hAnsi="Aptos" w:eastAsia="Aptos"/>
        </w:rPr>
        <w:t>Source compatibility matrices and a fixed scalar score</w:t>
      </w:r>
    </w:p>
    <w:p>
      <w:pPr>
        <w:pStyle w:val="ListBullet"/>
        <w:spacing w:after="60"/>
      </w:pPr>
      <w:r>
        <w:rPr>
          <w:rFonts w:ascii="Aptos" w:hAnsi="Aptos" w:eastAsia="Aptos"/>
        </w:rPr>
        <w:t>A necessary and sufficient two-gap selection criterion</w:t>
      </w:r>
    </w:p>
    <w:p>
      <w:pPr>
        <w:pStyle w:val="ListBullet"/>
        <w:spacing w:after="60"/>
      </w:pPr>
      <w:r>
        <w:rPr>
          <w:rFonts w:ascii="Aptos" w:hAnsi="Aptos" w:eastAsia="Aptos"/>
        </w:rPr>
        <w:t>A closed-form selection flow and convergence bound</w:t>
      </w:r>
    </w:p>
    <w:p>
      <w:pPr>
        <w:pStyle w:val="ListBullet"/>
        <w:spacing w:after="60"/>
      </w:pPr>
      <w:r>
        <w:rPr>
          <w:rFonts w:ascii="Aptos" w:hAnsi="Aptos" w:eastAsia="Aptos"/>
        </w:rPr>
        <w:t>A worst-case perturbation stability margin</w:t>
      </w:r>
    </w:p>
    <w:p>
      <w:pPr>
        <w:pStyle w:val="ListBullet"/>
        <w:spacing w:after="60"/>
      </w:pPr>
      <w:r>
        <w:rPr>
          <w:rFonts w:ascii="Aptos" w:hAnsi="Aptos" w:eastAsia="Aptos"/>
        </w:rPr>
        <w:t>A non-circular evaluation protocol and explicit falsifiers</w:t>
      </w:r>
    </w:p>
    <w:p>
      <w:pPr>
        <w:pStyle w:val="Heading2"/>
      </w:pPr>
      <w:r>
        <w:t>Reserved for 0.4 or later</w:t>
      </w:r>
    </w:p>
    <w:p>
      <w:pPr>
        <w:pStyle w:val="ListBullet"/>
        <w:spacing w:after="60"/>
      </w:pPr>
      <w:r>
        <w:rPr>
          <w:rFonts w:ascii="Aptos" w:hAnsi="Aptos" w:eastAsia="Aptos"/>
        </w:rPr>
        <w:t>A first-principles calculation of the compatibility matrices</w:t>
      </w:r>
    </w:p>
    <w:p>
      <w:pPr>
        <w:pStyle w:val="ListBullet"/>
        <w:spacing w:after="60"/>
      </w:pPr>
      <w:r>
        <w:rPr>
          <w:rFonts w:ascii="Aptos" w:hAnsi="Aptos" w:eastAsia="Aptos"/>
        </w:rPr>
        <w:t>Proof that the four-filter class is complete in a deeper theory</w:t>
      </w:r>
    </w:p>
    <w:p>
      <w:pPr>
        <w:pStyle w:val="ListBullet"/>
        <w:spacing w:after="60"/>
      </w:pPr>
      <w:r>
        <w:rPr>
          <w:rFonts w:ascii="Aptos" w:hAnsi="Aptos" w:eastAsia="Aptos"/>
        </w:rPr>
        <w:t>Time-dependent scores, stochastic Source noise, or quantum amplitudes</w:t>
      </w:r>
    </w:p>
    <w:p>
      <w:pPr>
        <w:pStyle w:val="ListBullet"/>
        <w:spacing w:after="60"/>
      </w:pPr>
      <w:r>
        <w:rPr>
          <w:rFonts w:ascii="Aptos" w:hAnsi="Aptos" w:eastAsia="Aptos"/>
        </w:rPr>
        <w:t>Three generations, masses, symmetry breaking, gravity, dark matter, cosmology, or consciousness</w:t>
      </w:r>
    </w:p>
    <w:p>
      <w:pPr>
        <w:pStyle w:val="Heading1"/>
        <w:pageBreakBefore/>
      </w:pPr>
      <w:r>
        <w:t>Continuity from version 0.2</w:t>
      </w:r>
    </w:p>
    <w:p>
      <w:pPr>
        <w:keepLines w:val="0"/>
      </w:pPr>
      <w:r>
        <w:rPr>
          <w:rFonts w:ascii="Aptos" w:hAnsi="Aptos" w:eastAsia="Aptos"/>
          <w:i w:val="0"/>
        </w:rPr>
        <w:t>Version 0.2 fixed the input space and proved the consequences of one target pairing. It left the pairing itself unselected. Version 0.3 keeps that input and target unchanged, then compares it with every alternative obtained by independently swapping the left and right singlet assignments.</w:t>
      </w:r>
    </w:p>
    <w:p>
      <w:pPr>
        <w:keepLines/>
        <w:spacing w:before="80" w:after="100"/>
        <w:jc w:val="center"/>
      </w:pPr>
      <w:r>
        <w:drawing>
          <wp:inline xmlns:a="http://schemas.openxmlformats.org/drawingml/2006/main" xmlns:pic="http://schemas.openxmlformats.org/drawingml/2006/picture">
            <wp:extent cx="4114800" cy="409268"/>
            <wp:docPr id="1" name="Picture 1" title="Equation 1" descr="Sixteen-channel input C16 equals one-zero plus seven-A plus seven-B plus one-N."/>
            <wp:cNvGraphicFramePr>
              <a:graphicFrameLocks noChangeAspect="1"/>
            </wp:cNvGraphicFramePr>
            <a:graphic>
              <a:graphicData uri="http://schemas.openxmlformats.org/drawingml/2006/picture">
                <pic:pic>
                  <pic:nvPicPr>
                    <pic:cNvPr id="0" name="eq01_input.png"/>
                    <pic:cNvPicPr/>
                  </pic:nvPicPr>
                  <pic:blipFill>
                    <a:blip r:embed="rId10"/>
                    <a:stretch>
                      <a:fillRect/>
                    </a:stretch>
                  </pic:blipFill>
                  <pic:spPr>
                    <a:xfrm>
                      <a:off x="0" y="0"/>
                      <a:ext cx="4114800" cy="409268"/>
                    </a:xfrm>
                    <a:prstGeom prst="rect"/>
                  </pic:spPr>
                </pic:pic>
              </a:graphicData>
            </a:graphic>
          </wp:inline>
        </w:drawing>
      </w:r>
    </w:p>
    <w:p>
      <w:pPr>
        <w:keepLines/>
        <w:spacing w:before="80" w:after="100"/>
        <w:jc w:val="center"/>
      </w:pPr>
      <w:r>
        <w:drawing>
          <wp:inline xmlns:a="http://schemas.openxmlformats.org/drawingml/2006/main" xmlns:pic="http://schemas.openxmlformats.org/drawingml/2006/picture">
            <wp:extent cx="5303520" cy="527501"/>
            <wp:docPr id="2" name="Picture 2" title="Equation 2" descr="Target cross filter maps C16 to the Pati-Salam left and right blocks."/>
            <wp:cNvGraphicFramePr>
              <a:graphicFrameLocks noChangeAspect="1"/>
            </wp:cNvGraphicFramePr>
            <a:graphic>
              <a:graphicData uri="http://schemas.openxmlformats.org/drawingml/2006/picture">
                <pic:pic>
                  <pic:nvPicPr>
                    <pic:cNvPr id="0" name="eq02_target.png"/>
                    <pic:cNvPicPr/>
                  </pic:nvPicPr>
                  <pic:blipFill>
                    <a:blip r:embed="rId11"/>
                    <a:stretch>
                      <a:fillRect/>
                    </a:stretch>
                  </pic:blipFill>
                  <pic:spPr>
                    <a:xfrm>
                      <a:off x="0" y="0"/>
                      <a:ext cx="5303520" cy="527501"/>
                    </a:xfrm>
                    <a:prstGeom prst="rect"/>
                  </pic:spPr>
                </pic:pic>
              </a:graphicData>
            </a:graphic>
          </wp:inline>
        </w:drawing>
      </w:r>
    </w:p>
    <w:p>
      <w:pPr>
        <w:keepLines w:val="0"/>
      </w:pPr>
      <w:r>
        <w:rPr>
          <w:rFonts w:ascii="Aptos" w:hAnsi="Aptos" w:eastAsia="Aptos"/>
          <w:i w:val="0"/>
        </w:rPr>
        <w:t>The first filter label records the left assignment and the second records the right assignment. D means the direct left assignment or direct right assignment defined below. X means its swap. The target filter is F-DX: direct on the left and crossed on the right.</w:t>
      </w:r>
    </w:p>
    <w:p>
      <w:pPr>
        <w:keepLines/>
        <w:spacing w:before="80" w:after="100"/>
        <w:jc w:val="center"/>
      </w:pPr>
      <w:r>
        <w:drawing>
          <wp:inline xmlns:a="http://schemas.openxmlformats.org/drawingml/2006/main" xmlns:pic="http://schemas.openxmlformats.org/drawingml/2006/picture">
            <wp:extent cx="3291840" cy="327414"/>
            <wp:docPr id="3" name="Picture 3" title="Equation 3" descr="The admissible class contains filters F-DX F-XX F-DD and F-XD."/>
            <wp:cNvGraphicFramePr>
              <a:graphicFrameLocks noChangeAspect="1"/>
            </wp:cNvGraphicFramePr>
            <a:graphic>
              <a:graphicData uri="http://schemas.openxmlformats.org/drawingml/2006/picture">
                <pic:pic>
                  <pic:nvPicPr>
                    <pic:cNvPr id="0" name="eq03_candidates.png"/>
                    <pic:cNvPicPr/>
                  </pic:nvPicPr>
                  <pic:blipFill>
                    <a:blip r:embed="rId12"/>
                    <a:stretch>
                      <a:fillRect/>
                    </a:stretch>
                  </pic:blipFill>
                  <pic:spPr>
                    <a:xfrm>
                      <a:off x="0" y="0"/>
                      <a:ext cx="3291840" cy="327414"/>
                    </a:xfrm>
                    <a:prstGeom prst="rect"/>
                  </pic:spPr>
                </pic:pic>
              </a:graphicData>
            </a:graphic>
          </wp:inline>
        </w:drawing>
      </w:r>
    </w:p>
    <w:p>
      <w:pPr>
        <w:pStyle w:val="Heading1"/>
      </w:pPr>
      <w:r>
        <w:t>Fixed WRRA evaluation rule</w:t>
      </w:r>
    </w:p>
    <w:tbl>
      <w:tblPr>
        <w:tblW w:type="auto" w:w="0"/>
        <w:jc w:val="center"/>
        <w:tblLayout w:type="fixed"/>
        <w:tblLook w:firstColumn="1" w:firstRow="1" w:lastColumn="0" w:lastRow="0" w:noHBand="0" w:noVBand="1" w:val="04A0"/>
        <w:tblBorders>
          <w:top w:val="single" w:sz="6" w:space="0" w:color="D9D9D9"/>
          <w:left w:val="single" w:sz="6" w:space="0" w:color="D9D9D9"/>
          <w:bottom w:val="single" w:sz="6" w:space="0" w:color="D9D9D9"/>
          <w:right w:val="single" w:sz="6" w:space="0" w:color="D9D9D9"/>
          <w:insideH w:val="single" w:sz="6" w:space="0" w:color="D9D9D9"/>
          <w:insideV w:val="single" w:sz="6" w:space="0" w:color="D9D9D9"/>
        </w:tblBorders>
      </w:tblPr>
      <w:tblGrid>
        <w:gridCol w:w="4939"/>
        <w:gridCol w:w="4939"/>
      </w:tblGrid>
      <w:tr>
        <w:trPr>
          <w:tblHeader w:val="true"/>
          <w:cantSplit/>
        </w:trPr>
        <w:tc>
          <w:tcPr>
            <w:tcW w:type="dxa" w:w="2520"/>
            <w:shd w:fill="18324A"/>
            <w:tcMar>
              <w:top w:w="80" w:type="dxa"/>
              <w:start w:w="130" w:type="dxa"/>
              <w:bottom w:w="80" w:type="dxa"/>
              <w:end w:w="130" w:type="dxa"/>
            </w:tcMar>
            <w:vAlign w:val="center"/>
          </w:tcPr>
          <w:p>
            <w:pPr>
              <w:spacing w:after="0"/>
              <w:jc w:val="center"/>
            </w:pPr>
            <w:r>
              <w:rPr>
                <w:rFonts w:ascii="Aptos" w:hAnsi="Aptos" w:eastAsia="Aptos"/>
                <w:b/>
                <w:color w:val="FFFFFF"/>
                <w:sz w:val="18"/>
              </w:rPr>
              <w:t>Stage</w:t>
            </w:r>
          </w:p>
        </w:tc>
        <w:tc>
          <w:tcPr>
            <w:tcW w:type="dxa" w:w="7056"/>
            <w:shd w:fill="18324A"/>
            <w:tcMar>
              <w:top w:w="80" w:type="dxa"/>
              <w:start w:w="130" w:type="dxa"/>
              <w:bottom w:w="80" w:type="dxa"/>
              <w:end w:w="130" w:type="dxa"/>
            </w:tcMar>
            <w:vAlign w:val="center"/>
          </w:tcPr>
          <w:p>
            <w:pPr>
              <w:spacing w:after="0"/>
              <w:jc w:val="center"/>
            </w:pPr>
            <w:r>
              <w:rPr>
                <w:rFonts w:ascii="Aptos" w:hAnsi="Aptos" w:eastAsia="Aptos"/>
                <w:b/>
                <w:color w:val="FFFFFF"/>
                <w:sz w:val="18"/>
              </w:rPr>
              <w:t>Question answered in this note</w:t>
            </w:r>
          </w:p>
        </w:tc>
      </w:tr>
      <w:tr>
        <w:trPr>
          <w:cantSplit/>
        </w:trPr>
        <w:tc>
          <w:tcPr>
            <w:tcW w:type="dxa" w:w="2520"/>
            <w:tcMar>
              <w:top w:w="80" w:type="dxa"/>
              <w:start w:w="130" w:type="dxa"/>
              <w:bottom w:w="80" w:type="dxa"/>
              <w:end w:w="130" w:type="dxa"/>
            </w:tcMar>
            <w:vAlign w:val="center"/>
          </w:tcPr>
          <w:p>
            <w:pPr>
              <w:spacing w:after="0"/>
              <w:jc w:val="left"/>
            </w:pPr>
            <w:r>
              <w:rPr>
                <w:rFonts w:ascii="Aptos" w:hAnsi="Aptos" w:eastAsia="Aptos"/>
                <w:sz w:val="18"/>
              </w:rPr>
              <w:t>Verification input</w:t>
            </w:r>
          </w:p>
        </w:tc>
        <w:tc>
          <w:tcPr>
            <w:tcW w:type="dxa" w:w="7056"/>
            <w:tcMar>
              <w:top w:w="80" w:type="dxa"/>
              <w:start w:w="130" w:type="dxa"/>
              <w:bottom w:w="80" w:type="dxa"/>
              <w:end w:w="130" w:type="dxa"/>
            </w:tcMar>
            <w:vAlign w:val="center"/>
          </w:tcPr>
          <w:p>
            <w:pPr>
              <w:spacing w:after="0"/>
              <w:jc w:val="left"/>
            </w:pPr>
            <w:r>
              <w:rPr>
                <w:rFonts w:ascii="Aptos" w:hAnsi="Aptos" w:eastAsia="Aptos"/>
                <w:sz w:val="18"/>
              </w:rPr>
              <w:t>Which 0.2 channels and which established finite-flow identities are held fixed</w:t>
            </w:r>
          </w:p>
        </w:tc>
      </w:tr>
      <w:tr>
        <w:trPr>
          <w:cantSplit/>
        </w:trPr>
        <w:tc>
          <w:tcPr>
            <w:tcW w:type="dxa" w:w="2520"/>
            <w:shd w:fill="EAF2F8"/>
            <w:tcMar>
              <w:top w:w="80" w:type="dxa"/>
              <w:start w:w="130" w:type="dxa"/>
              <w:bottom w:w="80" w:type="dxa"/>
              <w:end w:w="130" w:type="dxa"/>
            </w:tcMar>
            <w:vAlign w:val="center"/>
          </w:tcPr>
          <w:p>
            <w:pPr>
              <w:spacing w:after="0"/>
              <w:jc w:val="left"/>
            </w:pPr>
            <w:r>
              <w:rPr>
                <w:rFonts w:ascii="Aptos" w:hAnsi="Aptos" w:eastAsia="Aptos"/>
                <w:sz w:val="18"/>
              </w:rPr>
              <w:t>WRRA-specific transformation</w:t>
            </w:r>
          </w:p>
        </w:tc>
        <w:tc>
          <w:tcPr>
            <w:tcW w:type="dxa" w:w="7056"/>
            <w:shd w:fill="EAF2F8"/>
            <w:tcMar>
              <w:top w:w="80" w:type="dxa"/>
              <w:start w:w="130" w:type="dxa"/>
              <w:bottom w:w="80" w:type="dxa"/>
              <w:end w:w="130" w:type="dxa"/>
            </w:tcMar>
            <w:vAlign w:val="center"/>
          </w:tcPr>
          <w:p>
            <w:pPr>
              <w:spacing w:after="0"/>
              <w:jc w:val="left"/>
            </w:pPr>
            <w:r>
              <w:rPr>
                <w:rFonts w:ascii="Aptos" w:hAnsi="Aptos" w:eastAsia="Aptos"/>
                <w:sz w:val="18"/>
              </w:rPr>
              <w:t>How Source scores candidate pairings and how Law evolves their weights</w:t>
            </w:r>
          </w:p>
        </w:tc>
      </w:tr>
      <w:tr>
        <w:trPr>
          <w:cantSplit/>
        </w:trPr>
        <w:tc>
          <w:tcPr>
            <w:tcW w:type="dxa" w:w="2520"/>
            <w:tcMar>
              <w:top w:w="80" w:type="dxa"/>
              <w:start w:w="130" w:type="dxa"/>
              <w:bottom w:w="80" w:type="dxa"/>
              <w:end w:w="130" w:type="dxa"/>
            </w:tcMar>
            <w:vAlign w:val="center"/>
          </w:tcPr>
          <w:p>
            <w:pPr>
              <w:spacing w:after="0"/>
              <w:jc w:val="center"/>
            </w:pPr>
            <w:r>
              <w:rPr>
                <w:rFonts w:ascii="Aptos" w:hAnsi="Aptos" w:eastAsia="Aptos"/>
                <w:sz w:val="18"/>
              </w:rPr>
              <w:t>Output</w:t>
            </w:r>
          </w:p>
        </w:tc>
        <w:tc>
          <w:tcPr>
            <w:tcW w:type="dxa" w:w="7056"/>
            <w:tcMar>
              <w:top w:w="80" w:type="dxa"/>
              <w:start w:w="130" w:type="dxa"/>
              <w:bottom w:w="80" w:type="dxa"/>
              <w:end w:w="130" w:type="dxa"/>
            </w:tcMar>
            <w:vAlign w:val="center"/>
          </w:tcPr>
          <w:p>
            <w:pPr>
              <w:spacing w:after="0"/>
              <w:jc w:val="left"/>
            </w:pPr>
            <w:r>
              <w:rPr>
                <w:rFonts w:ascii="Aptos" w:hAnsi="Aptos" w:eastAsia="Aptos"/>
                <w:sz w:val="18"/>
              </w:rPr>
              <w:t>Which gap signs select the cross filter and how fast the weight converges</w:t>
            </w:r>
          </w:p>
        </w:tc>
      </w:tr>
      <w:tr>
        <w:trPr>
          <w:cantSplit/>
        </w:trPr>
        <w:tc>
          <w:tcPr>
            <w:tcW w:type="dxa" w:w="2520"/>
            <w:shd w:fill="EAF2F8"/>
            <w:tcMar>
              <w:top w:w="80" w:type="dxa"/>
              <w:start w:w="130" w:type="dxa"/>
              <w:bottom w:w="80" w:type="dxa"/>
              <w:end w:w="130" w:type="dxa"/>
            </w:tcMar>
            <w:vAlign w:val="center"/>
          </w:tcPr>
          <w:p>
            <w:pPr>
              <w:spacing w:after="0"/>
              <w:jc w:val="left"/>
            </w:pPr>
            <w:r>
              <w:rPr>
                <w:rFonts w:ascii="Aptos" w:hAnsi="Aptos" w:eastAsia="Aptos"/>
                <w:sz w:val="18"/>
              </w:rPr>
              <w:t>Falsification condition</w:t>
            </w:r>
          </w:p>
        </w:tc>
        <w:tc>
          <w:tcPr>
            <w:tcW w:type="dxa" w:w="7056"/>
            <w:shd w:fill="EAF2F8"/>
            <w:tcMar>
              <w:top w:w="80" w:type="dxa"/>
              <w:start w:w="130" w:type="dxa"/>
              <w:bottom w:w="80" w:type="dxa"/>
              <w:end w:w="130" w:type="dxa"/>
            </w:tcMar>
            <w:vAlign w:val="center"/>
          </w:tcPr>
          <w:p>
            <w:pPr>
              <w:spacing w:after="0"/>
              <w:jc w:val="left"/>
            </w:pPr>
            <w:r>
              <w:rPr>
                <w:rFonts w:ascii="Aptos" w:hAnsi="Aptos" w:eastAsia="Aptos"/>
                <w:sz w:val="18"/>
              </w:rPr>
              <w:t>Which independently fixed score or dynamical failure rejects the 0.3 selection claim</w:t>
            </w:r>
          </w:p>
        </w:tc>
      </w:tr>
    </w:tbl>
    <w:p>
      <w:pPr>
        <w:spacing w:after="20"/>
      </w:pPr>
    </w:p>
    <w:p>
      <w:pPr>
        <w:pStyle w:val="Heading1"/>
        <w:pageBreakBefore/>
      </w:pPr>
      <w:r>
        <w:t>The four admissible filters</w:t>
      </w:r>
    </w:p>
    <w:p>
      <w:pPr>
        <w:keepLines w:val="0"/>
      </w:pPr>
      <w:r>
        <w:rPr>
          <w:rFonts w:ascii="Aptos" w:hAnsi="Aptos" w:eastAsia="Aptos"/>
          <w:i w:val="0"/>
        </w:rPr>
        <w:t>The minimal candidate class changes only the two binary matchings that 0.2 needs. Every candidate is a channel-preserving bijection. No candidate mixes color components or changes the common SU(3) action. Once the labels A, B, N, and 0 are fixed, the four candidates are distinct.</w:t>
      </w:r>
    </w:p>
    <w:tbl>
      <w:tblPr>
        <w:tblW w:type="auto" w:w="0"/>
        <w:jc w:val="center"/>
        <w:tblLayout w:type="fixed"/>
        <w:tblLook w:firstColumn="1" w:firstRow="1" w:lastColumn="0" w:lastRow="0" w:noHBand="0" w:noVBand="1" w:val="04A0"/>
        <w:tblBorders>
          <w:top w:val="single" w:sz="6" w:space="0" w:color="D9D9D9"/>
          <w:left w:val="single" w:sz="6" w:space="0" w:color="D9D9D9"/>
          <w:bottom w:val="single" w:sz="6" w:space="0" w:color="D9D9D9"/>
          <w:right w:val="single" w:sz="6" w:space="0" w:color="D9D9D9"/>
          <w:insideH w:val="single" w:sz="6" w:space="0" w:color="D9D9D9"/>
          <w:insideV w:val="single" w:sz="6" w:space="0" w:color="D9D9D9"/>
        </w:tblBorders>
      </w:tblPr>
      <w:tblGrid>
        <w:gridCol w:w="2469"/>
        <w:gridCol w:w="2469"/>
        <w:gridCol w:w="2469"/>
        <w:gridCol w:w="2469"/>
      </w:tblGrid>
      <w:tr>
        <w:trPr>
          <w:tblHeader w:val="true"/>
          <w:cantSplit/>
        </w:trPr>
        <w:tc>
          <w:tcPr>
            <w:tcW w:type="dxa" w:w="1080"/>
            <w:shd w:fill="18324A"/>
            <w:tcMar>
              <w:top w:w="80" w:type="dxa"/>
              <w:start w:w="130" w:type="dxa"/>
              <w:bottom w:w="80" w:type="dxa"/>
              <w:end w:w="130" w:type="dxa"/>
            </w:tcMar>
            <w:vAlign w:val="center"/>
          </w:tcPr>
          <w:p>
            <w:pPr>
              <w:spacing w:after="0"/>
              <w:jc w:val="center"/>
            </w:pPr>
            <w:r>
              <w:rPr>
                <w:rFonts w:ascii="Aptos" w:hAnsi="Aptos" w:eastAsia="Aptos"/>
                <w:b/>
                <w:color w:val="FFFFFF"/>
                <w:sz w:val="16"/>
              </w:rPr>
              <w:t>Filter</w:t>
            </w:r>
          </w:p>
        </w:tc>
        <w:tc>
          <w:tcPr>
            <w:tcW w:type="dxa" w:w="3240"/>
            <w:shd w:fill="18324A"/>
            <w:tcMar>
              <w:top w:w="80" w:type="dxa"/>
              <w:start w:w="130" w:type="dxa"/>
              <w:bottom w:w="80" w:type="dxa"/>
              <w:end w:w="130" w:type="dxa"/>
            </w:tcMar>
            <w:vAlign w:val="center"/>
          </w:tcPr>
          <w:p>
            <w:pPr>
              <w:spacing w:after="0"/>
              <w:jc w:val="center"/>
            </w:pPr>
            <w:r>
              <w:rPr>
                <w:rFonts w:ascii="Aptos" w:hAnsi="Aptos" w:eastAsia="Aptos"/>
                <w:b/>
                <w:color w:val="FFFFFF"/>
                <w:sz w:val="16"/>
              </w:rPr>
              <w:t>Left assignment</w:t>
            </w:r>
          </w:p>
        </w:tc>
        <w:tc>
          <w:tcPr>
            <w:tcW w:type="dxa" w:w="3816"/>
            <w:shd w:fill="18324A"/>
            <w:tcMar>
              <w:top w:w="80" w:type="dxa"/>
              <w:start w:w="130" w:type="dxa"/>
              <w:bottom w:w="80" w:type="dxa"/>
              <w:end w:w="130" w:type="dxa"/>
            </w:tcMar>
            <w:vAlign w:val="center"/>
          </w:tcPr>
          <w:p>
            <w:pPr>
              <w:spacing w:after="0"/>
              <w:jc w:val="center"/>
            </w:pPr>
            <w:r>
              <w:rPr>
                <w:rFonts w:ascii="Aptos" w:hAnsi="Aptos" w:eastAsia="Aptos"/>
                <w:b/>
                <w:color w:val="FFFFFF"/>
                <w:sz w:val="16"/>
              </w:rPr>
              <w:t>Right assignment</w:t>
            </w:r>
          </w:p>
        </w:tc>
        <w:tc>
          <w:tcPr>
            <w:tcW w:type="dxa" w:w="1512"/>
            <w:shd w:fill="18324A"/>
            <w:tcMar>
              <w:top w:w="80" w:type="dxa"/>
              <w:start w:w="130" w:type="dxa"/>
              <w:bottom w:w="80" w:type="dxa"/>
              <w:end w:w="130" w:type="dxa"/>
            </w:tcMar>
            <w:vAlign w:val="center"/>
          </w:tcPr>
          <w:p>
            <w:pPr>
              <w:spacing w:after="0"/>
              <w:jc w:val="center"/>
            </w:pPr>
            <w:r>
              <w:rPr>
                <w:rFonts w:ascii="Aptos" w:hAnsi="Aptos" w:eastAsia="Aptos"/>
                <w:b/>
                <w:color w:val="FFFFFF"/>
                <w:sz w:val="16"/>
              </w:rPr>
              <w:t>Relation to 0.2</w:t>
            </w:r>
          </w:p>
        </w:tc>
      </w:tr>
      <w:tr>
        <w:trPr>
          <w:cantSplit/>
        </w:trPr>
        <w:tc>
          <w:tcPr>
            <w:tcW w:type="dxa" w:w="1080"/>
            <w:tcMar>
              <w:top w:w="80" w:type="dxa"/>
              <w:start w:w="130" w:type="dxa"/>
              <w:bottom w:w="80" w:type="dxa"/>
              <w:end w:w="130" w:type="dxa"/>
            </w:tcMar>
            <w:vAlign w:val="center"/>
          </w:tcPr>
          <w:p>
            <w:pPr>
              <w:spacing w:after="0"/>
              <w:jc w:val="center"/>
            </w:pPr>
            <w:r>
              <w:rPr>
                <w:rFonts w:ascii="Aptos" w:hAnsi="Aptos" w:eastAsia="Aptos"/>
                <w:sz w:val="16"/>
              </w:rPr>
              <w:t>F-DX</w:t>
            </w:r>
          </w:p>
        </w:tc>
        <w:tc>
          <w:tcPr>
            <w:tcW w:type="dxa" w:w="3240"/>
            <w:tcMar>
              <w:top w:w="80" w:type="dxa"/>
              <w:start w:w="130" w:type="dxa"/>
              <w:bottom w:w="80" w:type="dxa"/>
              <w:end w:w="130" w:type="dxa"/>
            </w:tcMar>
            <w:vAlign w:val="center"/>
          </w:tcPr>
          <w:p>
            <w:pPr>
              <w:spacing w:after="0"/>
              <w:jc w:val="left"/>
            </w:pPr>
            <w:r>
              <w:rPr>
                <w:rFonts w:ascii="Aptos" w:hAnsi="Aptos" w:eastAsia="Aptos"/>
                <w:sz w:val="16"/>
              </w:rPr>
              <w:t>3-A with 1-A and 3-B with 1-B</w:t>
            </w:r>
          </w:p>
        </w:tc>
        <w:tc>
          <w:tcPr>
            <w:tcW w:type="dxa" w:w="3816"/>
            <w:tcMar>
              <w:top w:w="80" w:type="dxa"/>
              <w:start w:w="130" w:type="dxa"/>
              <w:bottom w:w="80" w:type="dxa"/>
              <w:end w:w="130" w:type="dxa"/>
            </w:tcMar>
            <w:vAlign w:val="center"/>
          </w:tcPr>
          <w:p>
            <w:pPr>
              <w:spacing w:after="0"/>
              <w:jc w:val="left"/>
            </w:pPr>
            <w:r>
              <w:rPr>
                <w:rFonts w:ascii="Aptos" w:hAnsi="Aptos" w:eastAsia="Aptos"/>
                <w:sz w:val="16"/>
              </w:rPr>
              <w:t>anti-3-A with 1-N and anti-3-B with 1-0</w:t>
            </w:r>
          </w:p>
        </w:tc>
        <w:tc>
          <w:tcPr>
            <w:tcW w:type="dxa" w:w="1512"/>
            <w:tcMar>
              <w:top w:w="80" w:type="dxa"/>
              <w:start w:w="130" w:type="dxa"/>
              <w:bottom w:w="80" w:type="dxa"/>
              <w:end w:w="130" w:type="dxa"/>
            </w:tcMar>
            <w:vAlign w:val="center"/>
          </w:tcPr>
          <w:p>
            <w:pPr>
              <w:spacing w:after="0"/>
              <w:jc w:val="left"/>
            </w:pPr>
            <w:r>
              <w:rPr>
                <w:rFonts w:ascii="Aptos" w:hAnsi="Aptos" w:eastAsia="Aptos"/>
                <w:sz w:val="16"/>
              </w:rPr>
              <w:t>Target cross filter</w:t>
            </w:r>
          </w:p>
        </w:tc>
      </w:tr>
      <w:tr>
        <w:trPr>
          <w:cantSplit/>
        </w:trPr>
        <w:tc>
          <w:tcPr>
            <w:tcW w:type="dxa" w:w="1080"/>
            <w:shd w:fill="EAF2F8"/>
            <w:tcMar>
              <w:top w:w="80" w:type="dxa"/>
              <w:start w:w="130" w:type="dxa"/>
              <w:bottom w:w="80" w:type="dxa"/>
              <w:end w:w="130" w:type="dxa"/>
            </w:tcMar>
            <w:vAlign w:val="center"/>
          </w:tcPr>
          <w:p>
            <w:pPr>
              <w:spacing w:after="0"/>
              <w:jc w:val="center"/>
            </w:pPr>
            <w:r>
              <w:rPr>
                <w:rFonts w:ascii="Aptos" w:hAnsi="Aptos" w:eastAsia="Aptos"/>
                <w:sz w:val="16"/>
              </w:rPr>
              <w:t>F-XX</w:t>
            </w:r>
          </w:p>
        </w:tc>
        <w:tc>
          <w:tcPr>
            <w:tcW w:type="dxa" w:w="3240"/>
            <w:shd w:fill="EAF2F8"/>
            <w:tcMar>
              <w:top w:w="80" w:type="dxa"/>
              <w:start w:w="130" w:type="dxa"/>
              <w:bottom w:w="80" w:type="dxa"/>
              <w:end w:w="130" w:type="dxa"/>
            </w:tcMar>
            <w:vAlign w:val="center"/>
          </w:tcPr>
          <w:p>
            <w:pPr>
              <w:spacing w:after="0"/>
              <w:jc w:val="left"/>
            </w:pPr>
            <w:r>
              <w:rPr>
                <w:rFonts w:ascii="Aptos" w:hAnsi="Aptos" w:eastAsia="Aptos"/>
                <w:sz w:val="16"/>
              </w:rPr>
              <w:t>3-A with 1-B and 3-B with 1-A</w:t>
            </w:r>
          </w:p>
        </w:tc>
        <w:tc>
          <w:tcPr>
            <w:tcW w:type="dxa" w:w="3816"/>
            <w:shd w:fill="EAF2F8"/>
            <w:tcMar>
              <w:top w:w="80" w:type="dxa"/>
              <w:start w:w="130" w:type="dxa"/>
              <w:bottom w:w="80" w:type="dxa"/>
              <w:end w:w="130" w:type="dxa"/>
            </w:tcMar>
            <w:vAlign w:val="center"/>
          </w:tcPr>
          <w:p>
            <w:pPr>
              <w:spacing w:after="0"/>
              <w:jc w:val="left"/>
            </w:pPr>
            <w:r>
              <w:rPr>
                <w:rFonts w:ascii="Aptos" w:hAnsi="Aptos" w:eastAsia="Aptos"/>
                <w:sz w:val="16"/>
              </w:rPr>
              <w:t>anti-3-A with 1-N and anti-3-B with 1-0</w:t>
            </w:r>
          </w:p>
        </w:tc>
        <w:tc>
          <w:tcPr>
            <w:tcW w:type="dxa" w:w="1512"/>
            <w:shd w:fill="EAF2F8"/>
            <w:tcMar>
              <w:top w:w="80" w:type="dxa"/>
              <w:start w:w="130" w:type="dxa"/>
              <w:bottom w:w="80" w:type="dxa"/>
              <w:end w:w="130" w:type="dxa"/>
            </w:tcMar>
            <w:vAlign w:val="center"/>
          </w:tcPr>
          <w:p>
            <w:pPr>
              <w:spacing w:after="0"/>
              <w:jc w:val="center"/>
            </w:pPr>
            <w:r>
              <w:rPr>
                <w:rFonts w:ascii="Aptos" w:hAnsi="Aptos" w:eastAsia="Aptos"/>
                <w:sz w:val="16"/>
              </w:rPr>
              <w:t>Left swap</w:t>
            </w:r>
          </w:p>
        </w:tc>
      </w:tr>
      <w:tr>
        <w:trPr>
          <w:cantSplit/>
        </w:trPr>
        <w:tc>
          <w:tcPr>
            <w:tcW w:type="dxa" w:w="1080"/>
            <w:tcMar>
              <w:top w:w="80" w:type="dxa"/>
              <w:start w:w="130" w:type="dxa"/>
              <w:bottom w:w="80" w:type="dxa"/>
              <w:end w:w="130" w:type="dxa"/>
            </w:tcMar>
            <w:vAlign w:val="center"/>
          </w:tcPr>
          <w:p>
            <w:pPr>
              <w:spacing w:after="0"/>
              <w:jc w:val="center"/>
            </w:pPr>
            <w:r>
              <w:rPr>
                <w:rFonts w:ascii="Aptos" w:hAnsi="Aptos" w:eastAsia="Aptos"/>
                <w:sz w:val="16"/>
              </w:rPr>
              <w:t>F-DD</w:t>
            </w:r>
          </w:p>
        </w:tc>
        <w:tc>
          <w:tcPr>
            <w:tcW w:type="dxa" w:w="3240"/>
            <w:tcMar>
              <w:top w:w="80" w:type="dxa"/>
              <w:start w:w="130" w:type="dxa"/>
              <w:bottom w:w="80" w:type="dxa"/>
              <w:end w:w="130" w:type="dxa"/>
            </w:tcMar>
            <w:vAlign w:val="center"/>
          </w:tcPr>
          <w:p>
            <w:pPr>
              <w:spacing w:after="0"/>
              <w:jc w:val="left"/>
            </w:pPr>
            <w:r>
              <w:rPr>
                <w:rFonts w:ascii="Aptos" w:hAnsi="Aptos" w:eastAsia="Aptos"/>
                <w:sz w:val="16"/>
              </w:rPr>
              <w:t>3-A with 1-A and 3-B with 1-B</w:t>
            </w:r>
          </w:p>
        </w:tc>
        <w:tc>
          <w:tcPr>
            <w:tcW w:type="dxa" w:w="3816"/>
            <w:tcMar>
              <w:top w:w="80" w:type="dxa"/>
              <w:start w:w="130" w:type="dxa"/>
              <w:bottom w:w="80" w:type="dxa"/>
              <w:end w:w="130" w:type="dxa"/>
            </w:tcMar>
            <w:vAlign w:val="center"/>
          </w:tcPr>
          <w:p>
            <w:pPr>
              <w:spacing w:after="0"/>
              <w:jc w:val="left"/>
            </w:pPr>
            <w:r>
              <w:rPr>
                <w:rFonts w:ascii="Aptos" w:hAnsi="Aptos" w:eastAsia="Aptos"/>
                <w:sz w:val="16"/>
              </w:rPr>
              <w:t>anti-3-A with 1-0 and anti-3-B with 1-N</w:t>
            </w:r>
          </w:p>
        </w:tc>
        <w:tc>
          <w:tcPr>
            <w:tcW w:type="dxa" w:w="1512"/>
            <w:tcMar>
              <w:top w:w="80" w:type="dxa"/>
              <w:start w:w="130" w:type="dxa"/>
              <w:bottom w:w="80" w:type="dxa"/>
              <w:end w:w="130" w:type="dxa"/>
            </w:tcMar>
            <w:vAlign w:val="center"/>
          </w:tcPr>
          <w:p>
            <w:pPr>
              <w:spacing w:after="0"/>
              <w:jc w:val="center"/>
            </w:pPr>
            <w:r>
              <w:rPr>
                <w:rFonts w:ascii="Aptos" w:hAnsi="Aptos" w:eastAsia="Aptos"/>
                <w:sz w:val="16"/>
              </w:rPr>
              <w:t>Right swap</w:t>
            </w:r>
          </w:p>
        </w:tc>
      </w:tr>
      <w:tr>
        <w:trPr>
          <w:cantSplit/>
        </w:trPr>
        <w:tc>
          <w:tcPr>
            <w:tcW w:type="dxa" w:w="1080"/>
            <w:shd w:fill="EAF2F8"/>
            <w:tcMar>
              <w:top w:w="80" w:type="dxa"/>
              <w:start w:w="130" w:type="dxa"/>
              <w:bottom w:w="80" w:type="dxa"/>
              <w:end w:w="130" w:type="dxa"/>
            </w:tcMar>
            <w:vAlign w:val="center"/>
          </w:tcPr>
          <w:p>
            <w:pPr>
              <w:spacing w:after="0"/>
              <w:jc w:val="center"/>
            </w:pPr>
            <w:r>
              <w:rPr>
                <w:rFonts w:ascii="Aptos" w:hAnsi="Aptos" w:eastAsia="Aptos"/>
                <w:sz w:val="16"/>
              </w:rPr>
              <w:t>F-XD</w:t>
            </w:r>
          </w:p>
        </w:tc>
        <w:tc>
          <w:tcPr>
            <w:tcW w:type="dxa" w:w="3240"/>
            <w:shd w:fill="EAF2F8"/>
            <w:tcMar>
              <w:top w:w="80" w:type="dxa"/>
              <w:start w:w="130" w:type="dxa"/>
              <w:bottom w:w="80" w:type="dxa"/>
              <w:end w:w="130" w:type="dxa"/>
            </w:tcMar>
            <w:vAlign w:val="center"/>
          </w:tcPr>
          <w:p>
            <w:pPr>
              <w:spacing w:after="0"/>
              <w:jc w:val="left"/>
            </w:pPr>
            <w:r>
              <w:rPr>
                <w:rFonts w:ascii="Aptos" w:hAnsi="Aptos" w:eastAsia="Aptos"/>
                <w:sz w:val="16"/>
              </w:rPr>
              <w:t>3-A with 1-B and 3-B with 1-A</w:t>
            </w:r>
          </w:p>
        </w:tc>
        <w:tc>
          <w:tcPr>
            <w:tcW w:type="dxa" w:w="3816"/>
            <w:shd w:fill="EAF2F8"/>
            <w:tcMar>
              <w:top w:w="80" w:type="dxa"/>
              <w:start w:w="130" w:type="dxa"/>
              <w:bottom w:w="80" w:type="dxa"/>
              <w:end w:w="130" w:type="dxa"/>
            </w:tcMar>
            <w:vAlign w:val="center"/>
          </w:tcPr>
          <w:p>
            <w:pPr>
              <w:spacing w:after="0"/>
              <w:jc w:val="left"/>
            </w:pPr>
            <w:r>
              <w:rPr>
                <w:rFonts w:ascii="Aptos" w:hAnsi="Aptos" w:eastAsia="Aptos"/>
                <w:sz w:val="16"/>
              </w:rPr>
              <w:t>anti-3-A with 1-0 and anti-3-B with 1-N</w:t>
            </w:r>
          </w:p>
        </w:tc>
        <w:tc>
          <w:tcPr>
            <w:tcW w:type="dxa" w:w="1512"/>
            <w:shd w:fill="EAF2F8"/>
            <w:tcMar>
              <w:top w:w="80" w:type="dxa"/>
              <w:start w:w="130" w:type="dxa"/>
              <w:bottom w:w="80" w:type="dxa"/>
              <w:end w:w="130" w:type="dxa"/>
            </w:tcMar>
            <w:vAlign w:val="center"/>
          </w:tcPr>
          <w:p>
            <w:pPr>
              <w:spacing w:after="0"/>
              <w:jc w:val="center"/>
            </w:pPr>
            <w:r>
              <w:rPr>
                <w:rFonts w:ascii="Aptos" w:hAnsi="Aptos" w:eastAsia="Aptos"/>
                <w:sz w:val="16"/>
              </w:rPr>
              <w:t>Both swaps</w:t>
            </w:r>
          </w:p>
        </w:tc>
      </w:tr>
    </w:tbl>
    <w:p>
      <w:pPr>
        <w:spacing w:after="20"/>
      </w:pPr>
    </w:p>
    <w:p>
      <w:pPr>
        <w:pStyle w:val="Heading1"/>
      </w:pPr>
      <w:r>
        <w:t>Source compatibility values</w:t>
      </w:r>
    </w:p>
    <w:p>
      <w:pPr>
        <w:keepLines w:val="0"/>
      </w:pPr>
      <w:r>
        <w:rPr>
          <w:rFonts w:ascii="Aptos" w:hAnsi="Aptos" w:eastAsia="Aptos"/>
          <w:i w:val="0"/>
        </w:rPr>
        <w:t>Source supplies two real scalar tables. The left table compares each triplet origin with each internal singlet origin. The right table compares each antitriplet origin with the distinguished null and invariant singlets. These values are pairing compatibilities, not linear maps between inequivalent SU(3) representations. Their scalar form therefore does not mix or alter the color action.</w:t>
      </w:r>
    </w:p>
    <w:p>
      <w:pPr>
        <w:keepLines/>
        <w:spacing w:before="80" w:after="100"/>
        <w:jc w:val="center"/>
      </w:pPr>
      <w:r>
        <w:drawing>
          <wp:inline xmlns:a="http://schemas.openxmlformats.org/drawingml/2006/main" xmlns:pic="http://schemas.openxmlformats.org/drawingml/2006/picture">
            <wp:extent cx="4937760" cy="491121"/>
            <wp:docPr id="4" name="Picture 4" title="Equation 4" descr="Definitions of the left and right Source compatibility tables."/>
            <wp:cNvGraphicFramePr>
              <a:graphicFrameLocks noChangeAspect="1"/>
            </wp:cNvGraphicFramePr>
            <a:graphic>
              <a:graphicData uri="http://schemas.openxmlformats.org/drawingml/2006/picture">
                <pic:pic>
                  <pic:nvPicPr>
                    <pic:cNvPr id="0" name="eq04_scores.png"/>
                    <pic:cNvPicPr/>
                  </pic:nvPicPr>
                  <pic:blipFill>
                    <a:blip r:embed="rId13"/>
                    <a:stretch>
                      <a:fillRect/>
                    </a:stretch>
                  </pic:blipFill>
                  <pic:spPr>
                    <a:xfrm>
                      <a:off x="0" y="0"/>
                      <a:ext cx="4937760" cy="491121"/>
                    </a:xfrm>
                    <a:prstGeom prst="rect"/>
                  </pic:spPr>
                </pic:pic>
              </a:graphicData>
            </a:graphic>
          </wp:inline>
        </w:drawing>
      </w:r>
    </w:p>
    <w:p>
      <w:pPr>
        <w:keepLines w:val="0"/>
      </w:pPr>
      <w:r>
        <w:rPr>
          <w:rFonts w:ascii="Aptos" w:hAnsi="Aptos" w:eastAsia="Aptos"/>
          <w:i w:val="0"/>
        </w:rPr>
        <w:t>The values may later be computed from residue, transition cost, or another upstream invariant. Version 0.3 does not choose that construction. It requires the tables to be fixed before the target filter is evaluated.</w:t>
      </w:r>
    </w:p>
    <w:p>
      <w:pPr>
        <w:pStyle w:val="Heading1"/>
        <w:pageBreakBefore/>
      </w:pPr>
      <w:r>
        <w:t>Law and the filter score</w:t>
      </w:r>
    </w:p>
    <w:p>
      <w:pPr>
        <w:keepLines w:val="0"/>
      </w:pPr>
      <w:r>
        <w:rPr>
          <w:rFonts w:ascii="Aptos" w:hAnsi="Aptos" w:eastAsia="Aptos"/>
          <w:i w:val="0"/>
        </w:rPr>
        <w:t>Law gives each candidate the sum of the four compatibility entries selected by its two matchings. Additive constants common to every entry of one table do not affect the winner, and positive rescaling does not change a gap sign. The target score is shown below.</w:t>
      </w:r>
    </w:p>
    <w:p>
      <w:pPr>
        <w:keepLines/>
        <w:spacing w:before="80" w:after="100"/>
        <w:jc w:val="center"/>
      </w:pPr>
      <w:r>
        <w:drawing>
          <wp:inline xmlns:a="http://schemas.openxmlformats.org/drawingml/2006/main" xmlns:pic="http://schemas.openxmlformats.org/drawingml/2006/picture">
            <wp:extent cx="4206240" cy="418363"/>
            <wp:docPr id="5" name="Picture 5" title="Equation 5" descr="The target score is the sum l-AA plus l-BB plus r-AN plus r-B0."/>
            <wp:cNvGraphicFramePr>
              <a:graphicFrameLocks noChangeAspect="1"/>
            </wp:cNvGraphicFramePr>
            <a:graphic>
              <a:graphicData uri="http://schemas.openxmlformats.org/drawingml/2006/picture">
                <pic:pic>
                  <pic:nvPicPr>
                    <pic:cNvPr id="0" name="eq05_target_score.png"/>
                    <pic:cNvPicPr/>
                  </pic:nvPicPr>
                  <pic:blipFill>
                    <a:blip r:embed="rId14"/>
                    <a:stretch>
                      <a:fillRect/>
                    </a:stretch>
                  </pic:blipFill>
                  <pic:spPr>
                    <a:xfrm>
                      <a:off x="0" y="0"/>
                      <a:ext cx="4206240" cy="418363"/>
                    </a:xfrm>
                    <a:prstGeom prst="rect"/>
                  </pic:spPr>
                </pic:pic>
              </a:graphicData>
            </a:graphic>
          </wp:inline>
        </w:drawing>
      </w:r>
    </w:p>
    <w:tbl>
      <w:tblPr>
        <w:tblW w:type="auto" w:w="0"/>
        <w:jc w:val="center"/>
        <w:tblLayout w:type="fixed"/>
        <w:tblLook w:firstColumn="1" w:firstRow="1" w:lastColumn="0" w:lastRow="0" w:noHBand="0" w:noVBand="1" w:val="04A0"/>
        <w:tblBorders>
          <w:top w:val="single" w:sz="6" w:space="0" w:color="D9D9D9"/>
          <w:left w:val="single" w:sz="6" w:space="0" w:color="D9D9D9"/>
          <w:bottom w:val="single" w:sz="6" w:space="0" w:color="D9D9D9"/>
          <w:right w:val="single" w:sz="6" w:space="0" w:color="D9D9D9"/>
          <w:insideH w:val="single" w:sz="6" w:space="0" w:color="D9D9D9"/>
          <w:insideV w:val="single" w:sz="6" w:space="0" w:color="D9D9D9"/>
        </w:tblBorders>
      </w:tblPr>
      <w:tblGrid>
        <w:gridCol w:w="4939"/>
        <w:gridCol w:w="4939"/>
      </w:tblGrid>
      <w:tr>
        <w:trPr>
          <w:tblHeader w:val="true"/>
          <w:cantSplit/>
        </w:trPr>
        <w:tc>
          <w:tcPr>
            <w:tcW w:type="dxa" w:w="1584"/>
            <w:shd w:fill="18324A"/>
            <w:tcMar>
              <w:top w:w="80" w:type="dxa"/>
              <w:start w:w="130" w:type="dxa"/>
              <w:bottom w:w="80" w:type="dxa"/>
              <w:end w:w="130" w:type="dxa"/>
            </w:tcMar>
            <w:vAlign w:val="center"/>
          </w:tcPr>
          <w:p>
            <w:pPr>
              <w:spacing w:after="0"/>
              <w:jc w:val="center"/>
            </w:pPr>
            <w:r>
              <w:rPr>
                <w:rFonts w:ascii="Aptos" w:hAnsi="Aptos" w:eastAsia="Aptos"/>
                <w:b/>
                <w:color w:val="FFFFFF"/>
                <w:sz w:val="18"/>
              </w:rPr>
              <w:t>Filter</w:t>
            </w:r>
          </w:p>
        </w:tc>
        <w:tc>
          <w:tcPr>
            <w:tcW w:type="dxa" w:w="7992"/>
            <w:shd w:fill="18324A"/>
            <w:tcMar>
              <w:top w:w="80" w:type="dxa"/>
              <w:start w:w="130" w:type="dxa"/>
              <w:bottom w:w="80" w:type="dxa"/>
              <w:end w:w="130" w:type="dxa"/>
            </w:tcMar>
            <w:vAlign w:val="center"/>
          </w:tcPr>
          <w:p>
            <w:pPr>
              <w:spacing w:after="0"/>
              <w:jc w:val="center"/>
            </w:pPr>
            <w:r>
              <w:rPr>
                <w:rFonts w:ascii="Aptos" w:hAnsi="Aptos" w:eastAsia="Aptos"/>
                <w:b/>
                <w:color w:val="FFFFFF"/>
                <w:sz w:val="18"/>
              </w:rPr>
              <w:t>Total score</w:t>
            </w:r>
          </w:p>
        </w:tc>
      </w:tr>
      <w:tr>
        <w:trPr>
          <w:cantSplit/>
        </w:trPr>
        <w:tc>
          <w:tcPr>
            <w:tcW w:type="dxa" w:w="1584"/>
            <w:tcMar>
              <w:top w:w="80" w:type="dxa"/>
              <w:start w:w="130" w:type="dxa"/>
              <w:bottom w:w="80" w:type="dxa"/>
              <w:end w:w="130" w:type="dxa"/>
            </w:tcMar>
            <w:vAlign w:val="center"/>
          </w:tcPr>
          <w:p>
            <w:pPr>
              <w:spacing w:after="0"/>
              <w:jc w:val="center"/>
            </w:pPr>
            <w:r>
              <w:rPr>
                <w:rFonts w:ascii="Aptos" w:hAnsi="Aptos" w:eastAsia="Aptos"/>
                <w:sz w:val="18"/>
              </w:rPr>
              <w:t>F-DX</w:t>
            </w:r>
          </w:p>
        </w:tc>
        <w:tc>
          <w:tcPr>
            <w:tcW w:type="dxa" w:w="7992"/>
            <w:tcMar>
              <w:top w:w="80" w:type="dxa"/>
              <w:start w:w="130" w:type="dxa"/>
              <w:bottom w:w="80" w:type="dxa"/>
              <w:end w:w="130" w:type="dxa"/>
            </w:tcMar>
            <w:vAlign w:val="center"/>
          </w:tcPr>
          <w:p>
            <w:pPr>
              <w:spacing w:after="0"/>
              <w:jc w:val="left"/>
            </w:pPr>
            <w:r>
              <w:rPr>
                <w:rFonts w:ascii="Aptos" w:hAnsi="Aptos" w:eastAsia="Aptos"/>
                <w:sz w:val="18"/>
              </w:rPr>
              <w:t>l-AA + l-BB + r-AN + r-B0</w:t>
            </w:r>
          </w:p>
        </w:tc>
      </w:tr>
      <w:tr>
        <w:trPr>
          <w:cantSplit/>
        </w:trPr>
        <w:tc>
          <w:tcPr>
            <w:tcW w:type="dxa" w:w="1584"/>
            <w:shd w:fill="EAF2F8"/>
            <w:tcMar>
              <w:top w:w="80" w:type="dxa"/>
              <w:start w:w="130" w:type="dxa"/>
              <w:bottom w:w="80" w:type="dxa"/>
              <w:end w:w="130" w:type="dxa"/>
            </w:tcMar>
            <w:vAlign w:val="center"/>
          </w:tcPr>
          <w:p>
            <w:pPr>
              <w:spacing w:after="0"/>
              <w:jc w:val="center"/>
            </w:pPr>
            <w:r>
              <w:rPr>
                <w:rFonts w:ascii="Aptos" w:hAnsi="Aptos" w:eastAsia="Aptos"/>
                <w:sz w:val="18"/>
              </w:rPr>
              <w:t>F-XX</w:t>
            </w:r>
          </w:p>
        </w:tc>
        <w:tc>
          <w:tcPr>
            <w:tcW w:type="dxa" w:w="7992"/>
            <w:shd w:fill="EAF2F8"/>
            <w:tcMar>
              <w:top w:w="80" w:type="dxa"/>
              <w:start w:w="130" w:type="dxa"/>
              <w:bottom w:w="80" w:type="dxa"/>
              <w:end w:w="130" w:type="dxa"/>
            </w:tcMar>
            <w:vAlign w:val="center"/>
          </w:tcPr>
          <w:p>
            <w:pPr>
              <w:spacing w:after="0"/>
              <w:jc w:val="left"/>
            </w:pPr>
            <w:r>
              <w:rPr>
                <w:rFonts w:ascii="Aptos" w:hAnsi="Aptos" w:eastAsia="Aptos"/>
                <w:sz w:val="18"/>
              </w:rPr>
              <w:t>l-AB + l-BA + r-AN + r-B0</w:t>
            </w:r>
          </w:p>
        </w:tc>
      </w:tr>
      <w:tr>
        <w:trPr>
          <w:cantSplit/>
        </w:trPr>
        <w:tc>
          <w:tcPr>
            <w:tcW w:type="dxa" w:w="1584"/>
            <w:tcMar>
              <w:top w:w="80" w:type="dxa"/>
              <w:start w:w="130" w:type="dxa"/>
              <w:bottom w:w="80" w:type="dxa"/>
              <w:end w:w="130" w:type="dxa"/>
            </w:tcMar>
            <w:vAlign w:val="center"/>
          </w:tcPr>
          <w:p>
            <w:pPr>
              <w:spacing w:after="0"/>
              <w:jc w:val="center"/>
            </w:pPr>
            <w:r>
              <w:rPr>
                <w:rFonts w:ascii="Aptos" w:hAnsi="Aptos" w:eastAsia="Aptos"/>
                <w:sz w:val="18"/>
              </w:rPr>
              <w:t>F-DD</w:t>
            </w:r>
          </w:p>
        </w:tc>
        <w:tc>
          <w:tcPr>
            <w:tcW w:type="dxa" w:w="7992"/>
            <w:tcMar>
              <w:top w:w="80" w:type="dxa"/>
              <w:start w:w="130" w:type="dxa"/>
              <w:bottom w:w="80" w:type="dxa"/>
              <w:end w:w="130" w:type="dxa"/>
            </w:tcMar>
            <w:vAlign w:val="center"/>
          </w:tcPr>
          <w:p>
            <w:pPr>
              <w:spacing w:after="0"/>
              <w:jc w:val="left"/>
            </w:pPr>
            <w:r>
              <w:rPr>
                <w:rFonts w:ascii="Aptos" w:hAnsi="Aptos" w:eastAsia="Aptos"/>
                <w:sz w:val="18"/>
              </w:rPr>
              <w:t>l-AA + l-BB + r-A0 + r-BN</w:t>
            </w:r>
          </w:p>
        </w:tc>
      </w:tr>
      <w:tr>
        <w:trPr>
          <w:cantSplit/>
        </w:trPr>
        <w:tc>
          <w:tcPr>
            <w:tcW w:type="dxa" w:w="1584"/>
            <w:shd w:fill="EAF2F8"/>
            <w:tcMar>
              <w:top w:w="80" w:type="dxa"/>
              <w:start w:w="130" w:type="dxa"/>
              <w:bottom w:w="80" w:type="dxa"/>
              <w:end w:w="130" w:type="dxa"/>
            </w:tcMar>
            <w:vAlign w:val="center"/>
          </w:tcPr>
          <w:p>
            <w:pPr>
              <w:spacing w:after="0"/>
              <w:jc w:val="center"/>
            </w:pPr>
            <w:r>
              <w:rPr>
                <w:rFonts w:ascii="Aptos" w:hAnsi="Aptos" w:eastAsia="Aptos"/>
                <w:sz w:val="18"/>
              </w:rPr>
              <w:t>F-XD</w:t>
            </w:r>
          </w:p>
        </w:tc>
        <w:tc>
          <w:tcPr>
            <w:tcW w:type="dxa" w:w="7992"/>
            <w:shd w:fill="EAF2F8"/>
            <w:tcMar>
              <w:top w:w="80" w:type="dxa"/>
              <w:start w:w="130" w:type="dxa"/>
              <w:bottom w:w="80" w:type="dxa"/>
              <w:end w:w="130" w:type="dxa"/>
            </w:tcMar>
            <w:vAlign w:val="center"/>
          </w:tcPr>
          <w:p>
            <w:pPr>
              <w:spacing w:after="0"/>
              <w:jc w:val="left"/>
            </w:pPr>
            <w:r>
              <w:rPr>
                <w:rFonts w:ascii="Aptos" w:hAnsi="Aptos" w:eastAsia="Aptos"/>
                <w:sz w:val="18"/>
              </w:rPr>
              <w:t>l-AB + l-BA + r-A0 + r-BN</w:t>
            </w:r>
          </w:p>
        </w:tc>
      </w:tr>
    </w:tbl>
    <w:p>
      <w:pPr>
        <w:spacing w:after="20"/>
      </w:pPr>
    </w:p>
    <w:p>
      <w:pPr>
        <w:pStyle w:val="Heading1"/>
      </w:pPr>
      <w:r>
        <w:t>Selection gap theorem</w:t>
      </w:r>
    </w:p>
    <w:p>
      <w:pPr>
        <w:keepLines/>
      </w:pPr>
      <w:r>
        <w:rPr>
          <w:rFonts w:ascii="Aptos" w:hAnsi="Aptos" w:eastAsia="Aptos"/>
          <w:i w:val="0"/>
        </w:rPr>
        <w:t>Define the left gap as the direct-left score minus the swapped-left score, and the right gap as the crossed-right score minus the direct-right score. Because the candidate set is finite and nonempty, at least one maximizing filter always exists. The target filter is the unique maximizer exactly when both gaps are positive.</w:t>
      </w:r>
    </w:p>
    <w:p>
      <w:pPr>
        <w:keepLines/>
        <w:spacing w:before="80" w:after="100"/>
        <w:jc w:val="center"/>
      </w:pPr>
      <w:r>
        <w:drawing>
          <wp:inline xmlns:a="http://schemas.openxmlformats.org/drawingml/2006/main" xmlns:pic="http://schemas.openxmlformats.org/drawingml/2006/picture">
            <wp:extent cx="5623560" cy="559333"/>
            <wp:docPr id="6" name="Picture 6" title="Equation 6" descr="Definitions of the left and right selection gaps."/>
            <wp:cNvGraphicFramePr>
              <a:graphicFrameLocks noChangeAspect="1"/>
            </wp:cNvGraphicFramePr>
            <a:graphic>
              <a:graphicData uri="http://schemas.openxmlformats.org/drawingml/2006/picture">
                <pic:pic>
                  <pic:nvPicPr>
                    <pic:cNvPr id="0" name="eq06_gaps.png"/>
                    <pic:cNvPicPr/>
                  </pic:nvPicPr>
                  <pic:blipFill>
                    <a:blip r:embed="rId15"/>
                    <a:stretch>
                      <a:fillRect/>
                    </a:stretch>
                  </pic:blipFill>
                  <pic:spPr>
                    <a:xfrm>
                      <a:off x="0" y="0"/>
                      <a:ext cx="5623560" cy="559333"/>
                    </a:xfrm>
                    <a:prstGeom prst="rect"/>
                  </pic:spPr>
                </pic:pic>
              </a:graphicData>
            </a:graphic>
          </wp:inline>
        </w:drawing>
      </w:r>
    </w:p>
    <w:p>
      <w:pPr>
        <w:pStyle w:val="Heading2"/>
      </w:pPr>
      <w:r>
        <w:t>Proof</w:t>
      </w:r>
    </w:p>
    <w:p>
      <w:pPr>
        <w:keepLines w:val="0"/>
      </w:pPr>
      <w:r>
        <w:rPr>
          <w:rFonts w:ascii="Aptos" w:hAnsi="Aptos" w:eastAsia="Aptos"/>
          <w:i w:val="0"/>
        </w:rPr>
        <w:t>Subtract each competing score from the target score. The three differences are the left gap, the right gap, and their sum. If both gaps are positive, all three differences are positive. Conversely, if the target is unique, it must beat the candidate that differs only on the left and the candidate that differs only on the right, so each gap must be positive. A zero gap produces at least a two-way tie. A negative gap selects the corresponding swapped assignment.</w:t>
      </w:r>
    </w:p>
    <w:p>
      <w:pPr>
        <w:keepLines/>
        <w:spacing w:before="80" w:after="100"/>
        <w:jc w:val="center"/>
      </w:pPr>
      <w:r>
        <w:drawing>
          <wp:inline xmlns:a="http://schemas.openxmlformats.org/drawingml/2006/main" xmlns:pic="http://schemas.openxmlformats.org/drawingml/2006/picture">
            <wp:extent cx="5623560" cy="559333"/>
            <wp:docPr id="7" name="Picture 7" title="Equation 7" descr="The three target-minus-competitor score differences equal Delta-L Delta-R and their sum."/>
            <wp:cNvGraphicFramePr>
              <a:graphicFrameLocks noChangeAspect="1"/>
            </wp:cNvGraphicFramePr>
            <a:graphic>
              <a:graphicData uri="http://schemas.openxmlformats.org/drawingml/2006/picture">
                <pic:pic>
                  <pic:nvPicPr>
                    <pic:cNvPr id="0" name="eq07_differences.png"/>
                    <pic:cNvPicPr/>
                  </pic:nvPicPr>
                  <pic:blipFill>
                    <a:blip r:embed="rId16"/>
                    <a:stretch>
                      <a:fillRect/>
                    </a:stretch>
                  </pic:blipFill>
                  <pic:spPr>
                    <a:xfrm>
                      <a:off x="0" y="0"/>
                      <a:ext cx="5623560" cy="559333"/>
                    </a:xfrm>
                    <a:prstGeom prst="rect"/>
                  </pic:spPr>
                </pic:pic>
              </a:graphicData>
            </a:graphic>
          </wp:inline>
        </w:drawing>
      </w:r>
    </w:p>
    <w:p>
      <w:pPr>
        <w:keepLines/>
        <w:spacing w:before="80" w:after="100"/>
        <w:jc w:val="center"/>
      </w:pPr>
      <w:r>
        <w:drawing>
          <wp:inline xmlns:a="http://schemas.openxmlformats.org/drawingml/2006/main" xmlns:pic="http://schemas.openxmlformats.org/drawingml/2006/picture">
            <wp:extent cx="4800600" cy="477479"/>
            <wp:docPr id="8" name="Picture 8" title="Equation 8" descr="The target filter is unique if and only if both selection gaps are positive."/>
            <wp:cNvGraphicFramePr>
              <a:graphicFrameLocks noChangeAspect="1"/>
            </wp:cNvGraphicFramePr>
            <a:graphic>
              <a:graphicData uri="http://schemas.openxmlformats.org/drawingml/2006/picture">
                <pic:pic>
                  <pic:nvPicPr>
                    <pic:cNvPr id="0" name="eq08_criterion.png"/>
                    <pic:cNvPicPr/>
                  </pic:nvPicPr>
                  <pic:blipFill>
                    <a:blip r:embed="rId17"/>
                    <a:stretch>
                      <a:fillRect/>
                    </a:stretch>
                  </pic:blipFill>
                  <pic:spPr>
                    <a:xfrm>
                      <a:off x="0" y="0"/>
                      <a:ext cx="4800600" cy="477479"/>
                    </a:xfrm>
                    <a:prstGeom prst="rect"/>
                  </pic:spPr>
                </pic:pic>
              </a:graphicData>
            </a:graphic>
          </wp:inline>
        </w:drawing>
      </w:r>
    </w:p>
    <w:tbl>
      <w:tblPr>
        <w:tblW w:type="auto" w:w="0"/>
        <w:jc w:val="center"/>
        <w:tblLayout w:type="fixed"/>
        <w:tblLook w:firstColumn="1" w:firstRow="1" w:lastColumn="0" w:lastRow="0" w:noHBand="0" w:noVBand="1" w:val="04A0"/>
        <w:tblBorders>
          <w:top w:val="single" w:sz="6" w:space="0" w:color="D9D9D9"/>
          <w:left w:val="single" w:sz="6" w:space="0" w:color="D9D9D9"/>
          <w:bottom w:val="single" w:sz="6" w:space="0" w:color="D9D9D9"/>
          <w:right w:val="single" w:sz="6" w:space="0" w:color="D9D9D9"/>
          <w:insideH w:val="single" w:sz="6" w:space="0" w:color="D9D9D9"/>
          <w:insideV w:val="single" w:sz="6" w:space="0" w:color="D9D9D9"/>
        </w:tblBorders>
      </w:tblPr>
      <w:tblGrid>
        <w:gridCol w:w="4939"/>
        <w:gridCol w:w="4939"/>
      </w:tblGrid>
      <w:tr>
        <w:trPr>
          <w:tblHeader w:val="true"/>
          <w:cantSplit/>
        </w:trPr>
        <w:tc>
          <w:tcPr>
            <w:tcW w:type="dxa" w:w="3888"/>
            <w:shd w:fill="18324A"/>
            <w:tcMar>
              <w:top w:w="80" w:type="dxa"/>
              <w:start w:w="130" w:type="dxa"/>
              <w:bottom w:w="80" w:type="dxa"/>
              <w:end w:w="130" w:type="dxa"/>
            </w:tcMar>
            <w:vAlign w:val="center"/>
          </w:tcPr>
          <w:p>
            <w:pPr>
              <w:spacing w:after="0"/>
              <w:jc w:val="center"/>
            </w:pPr>
            <w:r>
              <w:rPr>
                <w:rFonts w:ascii="Aptos" w:hAnsi="Aptos" w:eastAsia="Aptos"/>
                <w:b/>
                <w:color w:val="FFFFFF"/>
                <w:sz w:val="17"/>
              </w:rPr>
              <w:t>Gap condition</w:t>
            </w:r>
          </w:p>
        </w:tc>
        <w:tc>
          <w:tcPr>
            <w:tcW w:type="dxa" w:w="5688"/>
            <w:shd w:fill="18324A"/>
            <w:tcMar>
              <w:top w:w="80" w:type="dxa"/>
              <w:start w:w="130" w:type="dxa"/>
              <w:bottom w:w="80" w:type="dxa"/>
              <w:end w:w="130" w:type="dxa"/>
            </w:tcMar>
            <w:vAlign w:val="center"/>
          </w:tcPr>
          <w:p>
            <w:pPr>
              <w:spacing w:after="0"/>
              <w:jc w:val="center"/>
            </w:pPr>
            <w:r>
              <w:rPr>
                <w:rFonts w:ascii="Aptos" w:hAnsi="Aptos" w:eastAsia="Aptos"/>
                <w:b/>
                <w:color w:val="FFFFFF"/>
                <w:sz w:val="17"/>
              </w:rPr>
              <w:t>Selection result</w:t>
            </w:r>
          </w:p>
        </w:tc>
      </w:tr>
      <w:tr>
        <w:trPr>
          <w:cantSplit/>
        </w:trPr>
        <w:tc>
          <w:tcPr>
            <w:tcW w:type="dxa" w:w="3888"/>
            <w:tcMar>
              <w:top w:w="80" w:type="dxa"/>
              <w:start w:w="130" w:type="dxa"/>
              <w:bottom w:w="80" w:type="dxa"/>
              <w:end w:w="130" w:type="dxa"/>
            </w:tcMar>
            <w:vAlign w:val="center"/>
          </w:tcPr>
          <w:p>
            <w:pPr>
              <w:spacing w:after="0"/>
              <w:jc w:val="left"/>
            </w:pPr>
            <w:r>
              <w:rPr>
                <w:rFonts w:ascii="Aptos" w:hAnsi="Aptos" w:eastAsia="Aptos"/>
                <w:sz w:val="17"/>
              </w:rPr>
              <w:t>Delta-L &gt; 0 and Delta-R &gt; 0</w:t>
            </w:r>
          </w:p>
        </w:tc>
        <w:tc>
          <w:tcPr>
            <w:tcW w:type="dxa" w:w="5688"/>
            <w:tcMar>
              <w:top w:w="80" w:type="dxa"/>
              <w:start w:w="130" w:type="dxa"/>
              <w:bottom w:w="80" w:type="dxa"/>
              <w:end w:w="130" w:type="dxa"/>
            </w:tcMar>
            <w:vAlign w:val="center"/>
          </w:tcPr>
          <w:p>
            <w:pPr>
              <w:spacing w:after="0"/>
              <w:jc w:val="left"/>
            </w:pPr>
            <w:r>
              <w:rPr>
                <w:rFonts w:ascii="Aptos" w:hAnsi="Aptos" w:eastAsia="Aptos"/>
                <w:sz w:val="17"/>
              </w:rPr>
              <w:t>F-DX is unique</w:t>
            </w:r>
          </w:p>
        </w:tc>
      </w:tr>
      <w:tr>
        <w:trPr>
          <w:cantSplit/>
        </w:trPr>
        <w:tc>
          <w:tcPr>
            <w:tcW w:type="dxa" w:w="3888"/>
            <w:shd w:fill="EAF2F8"/>
            <w:tcMar>
              <w:top w:w="80" w:type="dxa"/>
              <w:start w:w="130" w:type="dxa"/>
              <w:bottom w:w="80" w:type="dxa"/>
              <w:end w:w="130" w:type="dxa"/>
            </w:tcMar>
            <w:vAlign w:val="center"/>
          </w:tcPr>
          <w:p>
            <w:pPr>
              <w:spacing w:after="0"/>
              <w:jc w:val="left"/>
            </w:pPr>
            <w:r>
              <w:rPr>
                <w:rFonts w:ascii="Aptos" w:hAnsi="Aptos" w:eastAsia="Aptos"/>
                <w:sz w:val="17"/>
              </w:rPr>
              <w:t>Delta-L = 0 or Delta-R = 0</w:t>
            </w:r>
          </w:p>
        </w:tc>
        <w:tc>
          <w:tcPr>
            <w:tcW w:type="dxa" w:w="5688"/>
            <w:shd w:fill="EAF2F8"/>
            <w:tcMar>
              <w:top w:w="80" w:type="dxa"/>
              <w:start w:w="130" w:type="dxa"/>
              <w:bottom w:w="80" w:type="dxa"/>
              <w:end w:w="130" w:type="dxa"/>
            </w:tcMar>
            <w:vAlign w:val="center"/>
          </w:tcPr>
          <w:p>
            <w:pPr>
              <w:spacing w:after="0"/>
              <w:jc w:val="left"/>
            </w:pPr>
            <w:r>
              <w:rPr>
                <w:rFonts w:ascii="Aptos" w:hAnsi="Aptos" w:eastAsia="Aptos"/>
                <w:sz w:val="17"/>
              </w:rPr>
              <w:t>At least two candidates tie</w:t>
            </w:r>
          </w:p>
        </w:tc>
      </w:tr>
      <w:tr>
        <w:trPr>
          <w:cantSplit/>
        </w:trPr>
        <w:tc>
          <w:tcPr>
            <w:tcW w:type="dxa" w:w="3888"/>
            <w:tcMar>
              <w:top w:w="80" w:type="dxa"/>
              <w:start w:w="130" w:type="dxa"/>
              <w:bottom w:w="80" w:type="dxa"/>
              <w:end w:w="130" w:type="dxa"/>
            </w:tcMar>
            <w:vAlign w:val="center"/>
          </w:tcPr>
          <w:p>
            <w:pPr>
              <w:spacing w:after="0"/>
              <w:jc w:val="center"/>
            </w:pPr>
            <w:r>
              <w:rPr>
                <w:rFonts w:ascii="Aptos" w:hAnsi="Aptos" w:eastAsia="Aptos"/>
                <w:sz w:val="17"/>
              </w:rPr>
              <w:t>Delta-L &lt; 0</w:t>
            </w:r>
          </w:p>
        </w:tc>
        <w:tc>
          <w:tcPr>
            <w:tcW w:type="dxa" w:w="5688"/>
            <w:tcMar>
              <w:top w:w="80" w:type="dxa"/>
              <w:start w:w="130" w:type="dxa"/>
              <w:bottom w:w="80" w:type="dxa"/>
              <w:end w:w="130" w:type="dxa"/>
            </w:tcMar>
            <w:vAlign w:val="center"/>
          </w:tcPr>
          <w:p>
            <w:pPr>
              <w:spacing w:after="0"/>
              <w:jc w:val="left"/>
            </w:pPr>
            <w:r>
              <w:rPr>
                <w:rFonts w:ascii="Aptos" w:hAnsi="Aptos" w:eastAsia="Aptos"/>
                <w:sz w:val="17"/>
              </w:rPr>
              <w:t>The left-swapped candidate beats its direct-left counterpart</w:t>
            </w:r>
          </w:p>
        </w:tc>
      </w:tr>
      <w:tr>
        <w:trPr>
          <w:cantSplit/>
        </w:trPr>
        <w:tc>
          <w:tcPr>
            <w:tcW w:type="dxa" w:w="3888"/>
            <w:shd w:fill="EAF2F8"/>
            <w:tcMar>
              <w:top w:w="80" w:type="dxa"/>
              <w:start w:w="130" w:type="dxa"/>
              <w:bottom w:w="80" w:type="dxa"/>
              <w:end w:w="130" w:type="dxa"/>
            </w:tcMar>
            <w:vAlign w:val="center"/>
          </w:tcPr>
          <w:p>
            <w:pPr>
              <w:spacing w:after="0"/>
              <w:jc w:val="center"/>
            </w:pPr>
            <w:r>
              <w:rPr>
                <w:rFonts w:ascii="Aptos" w:hAnsi="Aptos" w:eastAsia="Aptos"/>
                <w:sz w:val="17"/>
              </w:rPr>
              <w:t>Delta-R &lt; 0</w:t>
            </w:r>
          </w:p>
        </w:tc>
        <w:tc>
          <w:tcPr>
            <w:tcW w:type="dxa" w:w="5688"/>
            <w:shd w:fill="EAF2F8"/>
            <w:tcMar>
              <w:top w:w="80" w:type="dxa"/>
              <w:start w:w="130" w:type="dxa"/>
              <w:bottom w:w="80" w:type="dxa"/>
              <w:end w:w="130" w:type="dxa"/>
            </w:tcMar>
            <w:vAlign w:val="center"/>
          </w:tcPr>
          <w:p>
            <w:pPr>
              <w:spacing w:after="0"/>
              <w:jc w:val="left"/>
            </w:pPr>
            <w:r>
              <w:rPr>
                <w:rFonts w:ascii="Aptos" w:hAnsi="Aptos" w:eastAsia="Aptos"/>
                <w:sz w:val="17"/>
              </w:rPr>
              <w:t>The right-direct candidate beats its crossed-right counterpart</w:t>
            </w:r>
          </w:p>
        </w:tc>
      </w:tr>
    </w:tbl>
    <w:p>
      <w:pPr>
        <w:spacing w:after="20"/>
      </w:pPr>
    </w:p>
    <w:p>
      <w:pPr>
        <w:pStyle w:val="Heading1"/>
      </w:pPr>
      <w:r>
        <w:t>Selection flow</w:t>
      </w:r>
    </w:p>
    <w:p>
      <w:pPr>
        <w:keepLines w:val="0"/>
      </w:pPr>
      <w:r>
        <w:rPr>
          <w:rFonts w:ascii="Aptos" w:hAnsi="Aptos" w:eastAsia="Aptos"/>
          <w:i w:val="0"/>
        </w:rPr>
        <w:t>To turn score ordering into a dynamical selection, Law evolves a positive weight p-F for each filter by the constant-score replicator equation. This standard flow preserves positivity and the unit sum [2]. Here it is used as a defined WRRA selection law rather than as a biological analogy. The convergence theorem assumes eta &gt; 0. If eta = 0, every weight remains fixed; if eta &lt; 0, interior trajectories favor the lowest scores instead.</w:t>
      </w:r>
    </w:p>
    <w:p>
      <w:pPr>
        <w:keepLines/>
        <w:spacing w:before="80" w:after="100"/>
        <w:jc w:val="center"/>
      </w:pPr>
      <w:r>
        <w:drawing>
          <wp:inline xmlns:a="http://schemas.openxmlformats.org/drawingml/2006/main" xmlns:pic="http://schemas.openxmlformats.org/drawingml/2006/picture">
            <wp:extent cx="5212080" cy="518406"/>
            <wp:docPr id="9" name="Picture 9" title="Equation 9" descr="Constant-score replicator selection law and mean score."/>
            <wp:cNvGraphicFramePr>
              <a:graphicFrameLocks noChangeAspect="1"/>
            </wp:cNvGraphicFramePr>
            <a:graphic>
              <a:graphicData uri="http://schemas.openxmlformats.org/drawingml/2006/picture">
                <pic:pic>
                  <pic:nvPicPr>
                    <pic:cNvPr id="0" name="eq09_flow.png"/>
                    <pic:cNvPicPr/>
                  </pic:nvPicPr>
                  <pic:blipFill>
                    <a:blip r:embed="rId18"/>
                    <a:stretch>
                      <a:fillRect/>
                    </a:stretch>
                  </pic:blipFill>
                  <pic:spPr>
                    <a:xfrm>
                      <a:off x="0" y="0"/>
                      <a:ext cx="5212080" cy="518406"/>
                    </a:xfrm>
                    <a:prstGeom prst="rect"/>
                  </pic:spPr>
                </pic:pic>
              </a:graphicData>
            </a:graphic>
          </wp:inline>
        </w:drawing>
      </w:r>
    </w:p>
    <w:p>
      <w:pPr>
        <w:keepLines w:val="0"/>
      </w:pPr>
      <w:r>
        <w:rPr>
          <w:rFonts w:ascii="Aptos" w:hAnsi="Aptos" w:eastAsia="Aptos"/>
          <w:i w:val="0"/>
        </w:rPr>
        <w:t>For constant scores the flow has the closed solution below. The ratio of any competitor to the target decays exponentially at the corresponding score difference. If eta &gt; 0, the target starts with nonzero weight and both gaps are positive, its weight approaches one.</w:t>
      </w:r>
    </w:p>
    <w:p>
      <w:pPr>
        <w:keepLines/>
        <w:spacing w:before="80" w:after="100"/>
        <w:jc w:val="center"/>
      </w:pPr>
      <w:r>
        <w:drawing>
          <wp:inline xmlns:a="http://schemas.openxmlformats.org/drawingml/2006/main" xmlns:pic="http://schemas.openxmlformats.org/drawingml/2006/picture">
            <wp:extent cx="5074920" cy="504764"/>
            <wp:docPr id="10" name="Picture 10" title="Equation 10" descr="Closed-form normalized solution of the selection flow."/>
            <wp:cNvGraphicFramePr>
              <a:graphicFrameLocks noChangeAspect="1"/>
            </wp:cNvGraphicFramePr>
            <a:graphic>
              <a:graphicData uri="http://schemas.openxmlformats.org/drawingml/2006/picture">
                <pic:pic>
                  <pic:nvPicPr>
                    <pic:cNvPr id="0" name="eq10_solution.png"/>
                    <pic:cNvPicPr/>
                  </pic:nvPicPr>
                  <pic:blipFill>
                    <a:blip r:embed="rId19"/>
                    <a:stretch>
                      <a:fillRect/>
                    </a:stretch>
                  </pic:blipFill>
                  <pic:spPr>
                    <a:xfrm>
                      <a:off x="0" y="0"/>
                      <a:ext cx="5074920" cy="504764"/>
                    </a:xfrm>
                    <a:prstGeom prst="rect"/>
                  </pic:spPr>
                </pic:pic>
              </a:graphicData>
            </a:graphic>
          </wp:inline>
        </w:drawing>
      </w:r>
    </w:p>
    <w:p>
      <w:pPr>
        <w:keepLines w:val="0"/>
      </w:pPr>
      <w:r>
        <w:rPr>
          <w:rFonts w:ascii="Aptos" w:hAnsi="Aptos" w:eastAsia="Aptos"/>
          <w:i w:val="0"/>
        </w:rPr>
        <w:t>The smallest competing score difference is delta, the smaller of the two gaps. It gives a uniform convergence bound and an explicit time sufficient to reach target weight at least one minus epsilon.</w:t>
      </w:r>
    </w:p>
    <w:p>
      <w:pPr>
        <w:keepLines/>
        <w:spacing w:before="80" w:after="100"/>
        <w:jc w:val="center"/>
      </w:pPr>
      <w:r>
        <w:drawing>
          <wp:inline xmlns:a="http://schemas.openxmlformats.org/drawingml/2006/main" xmlns:pic="http://schemas.openxmlformats.org/drawingml/2006/picture">
            <wp:extent cx="5074920" cy="504764"/>
            <wp:docPr id="11" name="Picture 11" title="Equation 11" descr="Exponential upper bound on the non-target weight using the minimum gap."/>
            <wp:cNvGraphicFramePr>
              <a:graphicFrameLocks noChangeAspect="1"/>
            </wp:cNvGraphicFramePr>
            <a:graphic>
              <a:graphicData uri="http://schemas.openxmlformats.org/drawingml/2006/picture">
                <pic:pic>
                  <pic:nvPicPr>
                    <pic:cNvPr id="0" name="eq11_bound.png"/>
                    <pic:cNvPicPr/>
                  </pic:nvPicPr>
                  <pic:blipFill>
                    <a:blip r:embed="rId20"/>
                    <a:stretch>
                      <a:fillRect/>
                    </a:stretch>
                  </pic:blipFill>
                  <pic:spPr>
                    <a:xfrm>
                      <a:off x="0" y="0"/>
                      <a:ext cx="5074920" cy="504764"/>
                    </a:xfrm>
                    <a:prstGeom prst="rect"/>
                  </pic:spPr>
                </pic:pic>
              </a:graphicData>
            </a:graphic>
          </wp:inline>
        </w:drawing>
      </w:r>
    </w:p>
    <w:p>
      <w:pPr>
        <w:keepLines/>
        <w:spacing w:before="80" w:after="100"/>
        <w:jc w:val="center"/>
      </w:pPr>
      <w:r>
        <w:drawing>
          <wp:inline xmlns:a="http://schemas.openxmlformats.org/drawingml/2006/main" xmlns:pic="http://schemas.openxmlformats.org/drawingml/2006/picture">
            <wp:extent cx="5349240" cy="532048"/>
            <wp:docPr id="12" name="Picture 12" title="Equation 12" descr="Sufficient time for the target weight to reach at least one minus epsilon."/>
            <wp:cNvGraphicFramePr>
              <a:graphicFrameLocks noChangeAspect="1"/>
            </wp:cNvGraphicFramePr>
            <a:graphic>
              <a:graphicData uri="http://schemas.openxmlformats.org/drawingml/2006/picture">
                <pic:pic>
                  <pic:nvPicPr>
                    <pic:cNvPr id="0" name="eq12_time.png"/>
                    <pic:cNvPicPr/>
                  </pic:nvPicPr>
                  <pic:blipFill>
                    <a:blip r:embed="rId21"/>
                    <a:stretch>
                      <a:fillRect/>
                    </a:stretch>
                  </pic:blipFill>
                  <pic:spPr>
                    <a:xfrm>
                      <a:off x="0" y="0"/>
                      <a:ext cx="5349240" cy="532048"/>
                    </a:xfrm>
                    <a:prstGeom prst="rect"/>
                  </pic:spPr>
                </pic:pic>
              </a:graphicData>
            </a:graphic>
          </wp:inline>
        </w:drawing>
      </w:r>
    </w:p>
    <w:p>
      <w:pPr>
        <w:keepLines w:val="0"/>
      </w:pPr>
      <w:r>
        <w:rPr>
          <w:rFonts w:ascii="Aptos" w:hAnsi="Aptos" w:eastAsia="Aptos"/>
          <w:i w:val="0"/>
        </w:rPr>
        <w:t>Nonzero initial target support is necessary for convergence to that target. Any candidate with exactly zero initial weight remains absent under the flow. For comparison of all four admissible filters, the model assumes positive initial support for each candidate; that stronger model convention is sufficient rather than mathematically necessary for target convergence.</w:t>
      </w:r>
    </w:p>
    <w:p>
      <w:pPr>
        <w:pStyle w:val="Heading1"/>
        <w:pageBreakBefore/>
      </w:pPr>
      <w:r>
        <w:t>Perturbation stability</w:t>
      </w:r>
    </w:p>
    <w:p>
      <w:pPr>
        <w:keepLines w:val="0"/>
      </w:pPr>
      <w:r>
        <w:rPr>
          <w:rFonts w:ascii="Aptos" w:hAnsi="Aptos" w:eastAsia="Aptos"/>
          <w:i w:val="0"/>
        </w:rPr>
        <w:t>Suppose every compatibility entry changes by at most rho. Each gap contains four signed entries, so its worst-case change is at most four rho. The target selection therefore survives every such perturbation when the smaller original gap is greater than four rho. This bound is sufficient and worst-case sharp for independent entry perturbations.</w:t>
      </w:r>
    </w:p>
    <w:p>
      <w:pPr>
        <w:keepLines/>
        <w:spacing w:before="80" w:after="100"/>
        <w:jc w:val="center"/>
      </w:pPr>
      <w:r>
        <w:drawing>
          <wp:inline xmlns:a="http://schemas.openxmlformats.org/drawingml/2006/main" xmlns:pic="http://schemas.openxmlformats.org/drawingml/2006/picture">
            <wp:extent cx="5303520" cy="527501"/>
            <wp:docPr id="13" name="Picture 13" title="Equation 13" descr="Perturbation stability holds when the minimum gap exceeds four times the entrywise error bound."/>
            <wp:cNvGraphicFramePr>
              <a:graphicFrameLocks noChangeAspect="1"/>
            </wp:cNvGraphicFramePr>
            <a:graphic>
              <a:graphicData uri="http://schemas.openxmlformats.org/drawingml/2006/picture">
                <pic:pic>
                  <pic:nvPicPr>
                    <pic:cNvPr id="0" name="eq13_stability.png"/>
                    <pic:cNvPicPr/>
                  </pic:nvPicPr>
                  <pic:blipFill>
                    <a:blip r:embed="rId22"/>
                    <a:stretch>
                      <a:fillRect/>
                    </a:stretch>
                  </pic:blipFill>
                  <pic:spPr>
                    <a:xfrm>
                      <a:off x="0" y="0"/>
                      <a:ext cx="5303520" cy="527501"/>
                    </a:xfrm>
                    <a:prstGeom prst="rect"/>
                  </pic:spPr>
                </pic:pic>
              </a:graphicData>
            </a:graphic>
          </wp:inline>
        </w:drawing>
      </w:r>
    </w:p>
    <w:p>
      <w:pPr>
        <w:pStyle w:val="Heading1"/>
      </w:pPr>
      <w:r>
        <w:t>Frozen-input evaluation protocol</w:t>
      </w:r>
    </w:p>
    <w:p>
      <w:pPr>
        <w:keepLines w:val="0"/>
      </w:pPr>
      <w:r>
        <w:rPr>
          <w:rFonts w:ascii="Aptos" w:hAnsi="Aptos" w:eastAsia="Aptos"/>
          <w:i w:val="0"/>
        </w:rPr>
        <w:t>For a selection test using inputs fixed before evaluation, use the following order. A calibration run may use known particle assignments, with its provenance recorded separately.</w:t>
      </w:r>
    </w:p>
    <w:p>
      <w:pPr>
        <w:pStyle w:val="ListNumber"/>
        <w:spacing w:after="60"/>
      </w:pPr>
      <w:r>
        <w:rPr>
          <w:rFonts w:ascii="Aptos" w:hAnsi="Aptos" w:eastAsia="Aptos"/>
        </w:rPr>
        <w:t>Specify the admissible filter class without using the desired charge output.</w:t>
      </w:r>
    </w:p>
    <w:p>
      <w:pPr>
        <w:pStyle w:val="ListNumber"/>
        <w:spacing w:after="60"/>
      </w:pPr>
      <w:r>
        <w:rPr>
          <w:rFonts w:ascii="Aptos" w:hAnsi="Aptos" w:eastAsia="Aptos"/>
        </w:rPr>
        <w:t>Compute or measure both compatibility tables from Source and Law by a rule fixed in advance.</w:t>
      </w:r>
    </w:p>
    <w:p>
      <w:pPr>
        <w:pStyle w:val="ListNumber"/>
        <w:spacing w:after="60"/>
      </w:pPr>
      <w:r>
        <w:rPr>
          <w:rFonts w:ascii="Aptos" w:hAnsi="Aptos" w:eastAsia="Aptos"/>
        </w:rPr>
        <w:t>Freeze the tables, the positive selection rate eta &gt; 0, and the initial support before evaluation.</w:t>
      </w:r>
    </w:p>
    <w:p>
      <w:pPr>
        <w:pStyle w:val="ListNumber"/>
        <w:spacing w:after="60"/>
      </w:pPr>
      <w:r>
        <w:rPr>
          <w:rFonts w:ascii="Aptos" w:hAnsi="Aptos" w:eastAsia="Aptos"/>
        </w:rPr>
        <w:t>Evaluate both gaps and publish their signs, magnitudes, and uncertainty bounds.</w:t>
      </w:r>
    </w:p>
    <w:p>
      <w:pPr>
        <w:pStyle w:val="ListNumber"/>
        <w:spacing w:after="60"/>
      </w:pPr>
      <w:r>
        <w:rPr>
          <w:rFonts w:ascii="Aptos" w:hAnsi="Aptos" w:eastAsia="Aptos"/>
        </w:rPr>
        <w:t>Apply the flow without retuning and compare the selected filter with F-DX.</w:t>
      </w:r>
    </w:p>
    <w:p>
      <w:pPr>
        <w:keepLines/>
      </w:pPr>
      <w:r>
        <w:rPr>
          <w:rFonts w:ascii="Aptos" w:hAnsi="Aptos" w:eastAsia="Aptos"/>
          <w:i w:val="0"/>
        </w:rPr>
        <w:t>Calibrating compatibility values against a known particle assignment is legitimate model construction. The resulting selection is a calibration result. Once the tables are frozen, the score ordering, flow, and stability margin are exact conditional calculations. A selection from carrier responses fixed before checking the target has a different evidential basis. Record which basis is used; calibration itself is not a failure of the model.</w:t>
      </w:r>
    </w:p>
    <w:p>
      <w:pPr>
        <w:pStyle w:val="Heading1"/>
        <w:pageBreakBefore/>
      </w:pPr>
      <w:r>
        <w:t>Claim ledger</w:t>
      </w:r>
    </w:p>
    <w:tbl>
      <w:tblPr>
        <w:tblW w:type="auto" w:w="0"/>
        <w:jc w:val="center"/>
        <w:tblLayout w:type="fixed"/>
        <w:tblLook w:firstColumn="1" w:firstRow="1" w:lastColumn="0" w:lastRow="0" w:noHBand="0" w:noVBand="1" w:val="04A0"/>
        <w:tblBorders>
          <w:top w:val="single" w:sz="6" w:space="0" w:color="D9D9D9"/>
          <w:left w:val="single" w:sz="6" w:space="0" w:color="D9D9D9"/>
          <w:bottom w:val="single" w:sz="6" w:space="0" w:color="D9D9D9"/>
          <w:right w:val="single" w:sz="6" w:space="0" w:color="D9D9D9"/>
          <w:insideH w:val="single" w:sz="6" w:space="0" w:color="D9D9D9"/>
          <w:insideV w:val="single" w:sz="6" w:space="0" w:color="D9D9D9"/>
        </w:tblBorders>
      </w:tblPr>
      <w:tblGrid>
        <w:gridCol w:w="3293"/>
        <w:gridCol w:w="3293"/>
        <w:gridCol w:w="3293"/>
      </w:tblGrid>
      <w:tr>
        <w:trPr>
          <w:tblHeader w:val="true"/>
          <w:cantSplit/>
        </w:trPr>
        <w:tc>
          <w:tcPr>
            <w:tcW w:type="dxa" w:w="792"/>
            <w:shd w:fill="18324A"/>
            <w:tcMar>
              <w:top w:w="80" w:type="dxa"/>
              <w:start w:w="130" w:type="dxa"/>
              <w:bottom w:w="80" w:type="dxa"/>
              <w:end w:w="130" w:type="dxa"/>
            </w:tcMar>
            <w:vAlign w:val="center"/>
          </w:tcPr>
          <w:p>
            <w:pPr>
              <w:spacing w:after="0"/>
              <w:jc w:val="center"/>
            </w:pPr>
            <w:r>
              <w:rPr>
                <w:rFonts w:ascii="Aptos" w:hAnsi="Aptos" w:eastAsia="Aptos"/>
                <w:b/>
                <w:color w:val="FFFFFF"/>
                <w:sz w:val="16"/>
              </w:rPr>
              <w:t>Code</w:t>
            </w:r>
          </w:p>
        </w:tc>
        <w:tc>
          <w:tcPr>
            <w:tcW w:type="dxa" w:w="2232"/>
            <w:shd w:fill="18324A"/>
            <w:tcMar>
              <w:top w:w="80" w:type="dxa"/>
              <w:start w:w="130" w:type="dxa"/>
              <w:bottom w:w="80" w:type="dxa"/>
              <w:end w:w="130" w:type="dxa"/>
            </w:tcMar>
            <w:vAlign w:val="center"/>
          </w:tcPr>
          <w:p>
            <w:pPr>
              <w:spacing w:after="0"/>
              <w:jc w:val="center"/>
            </w:pPr>
            <w:r>
              <w:rPr>
                <w:rFonts w:ascii="Aptos" w:hAnsi="Aptos" w:eastAsia="Aptos"/>
                <w:b/>
                <w:color w:val="FFFFFF"/>
                <w:sz w:val="16"/>
              </w:rPr>
              <w:t>Status</w:t>
            </w:r>
          </w:p>
        </w:tc>
        <w:tc>
          <w:tcPr>
            <w:tcW w:type="dxa" w:w="6624"/>
            <w:shd w:fill="18324A"/>
            <w:tcMar>
              <w:top w:w="80" w:type="dxa"/>
              <w:start w:w="130" w:type="dxa"/>
              <w:bottom w:w="80" w:type="dxa"/>
              <w:end w:w="130" w:type="dxa"/>
            </w:tcMar>
            <w:vAlign w:val="center"/>
          </w:tcPr>
          <w:p>
            <w:pPr>
              <w:spacing w:after="0"/>
              <w:jc w:val="center"/>
            </w:pPr>
            <w:r>
              <w:rPr>
                <w:rFonts w:ascii="Aptos" w:hAnsi="Aptos" w:eastAsia="Aptos"/>
                <w:b/>
                <w:color w:val="FFFFFF"/>
                <w:sz w:val="16"/>
              </w:rPr>
              <w:t>Statement in WRRA-M 0.3</w:t>
            </w:r>
          </w:p>
        </w:tc>
      </w:tr>
      <w:tr>
        <w:trPr>
          <w:cantSplit/>
        </w:trPr>
        <w:tc>
          <w:tcPr>
            <w:tcW w:type="dxa" w:w="792"/>
            <w:tcMar>
              <w:top w:w="80" w:type="dxa"/>
              <w:start w:w="130" w:type="dxa"/>
              <w:bottom w:w="80" w:type="dxa"/>
              <w:end w:w="130" w:type="dxa"/>
            </w:tcMar>
            <w:vAlign w:val="center"/>
          </w:tcPr>
          <w:p>
            <w:pPr>
              <w:spacing w:after="0"/>
              <w:jc w:val="center"/>
            </w:pPr>
            <w:r>
              <w:rPr>
                <w:rFonts w:ascii="Aptos" w:hAnsi="Aptos" w:eastAsia="Aptos"/>
                <w:sz w:val="16"/>
              </w:rPr>
              <w:t>E</w:t>
            </w:r>
          </w:p>
        </w:tc>
        <w:tc>
          <w:tcPr>
            <w:tcW w:type="dxa" w:w="2232"/>
            <w:tcMar>
              <w:top w:w="80" w:type="dxa"/>
              <w:start w:w="130" w:type="dxa"/>
              <w:bottom w:w="80" w:type="dxa"/>
              <w:end w:w="130" w:type="dxa"/>
            </w:tcMar>
            <w:vAlign w:val="center"/>
          </w:tcPr>
          <w:p>
            <w:pPr>
              <w:spacing w:after="0"/>
              <w:jc w:val="left"/>
            </w:pPr>
            <w:r>
              <w:rPr>
                <w:rFonts w:ascii="Aptos" w:hAnsi="Aptos" w:eastAsia="Aptos"/>
                <w:sz w:val="16"/>
              </w:rPr>
              <w:t>External input</w:t>
            </w:r>
          </w:p>
        </w:tc>
        <w:tc>
          <w:tcPr>
            <w:tcW w:type="dxa" w:w="6624"/>
            <w:tcMar>
              <w:top w:w="80" w:type="dxa"/>
              <w:start w:w="130" w:type="dxa"/>
              <w:bottom w:w="80" w:type="dxa"/>
              <w:end w:w="130" w:type="dxa"/>
            </w:tcMar>
            <w:vAlign w:val="center"/>
          </w:tcPr>
          <w:p>
            <w:pPr>
              <w:spacing w:after="0"/>
              <w:jc w:val="left"/>
            </w:pPr>
            <w:r>
              <w:rPr>
                <w:rFonts w:ascii="Aptos" w:hAnsi="Aptos" w:eastAsia="Aptos"/>
                <w:sz w:val="16"/>
              </w:rPr>
              <w:t>The 0.2 channel space and the standard constant-score replicator identity</w:t>
            </w:r>
          </w:p>
        </w:tc>
      </w:tr>
      <w:tr>
        <w:trPr>
          <w:cantSplit/>
        </w:trPr>
        <w:tc>
          <w:tcPr>
            <w:tcW w:type="dxa" w:w="792"/>
            <w:shd w:fill="EAF2F8"/>
            <w:tcMar>
              <w:top w:w="80" w:type="dxa"/>
              <w:start w:w="130" w:type="dxa"/>
              <w:bottom w:w="80" w:type="dxa"/>
              <w:end w:w="130" w:type="dxa"/>
            </w:tcMar>
            <w:vAlign w:val="center"/>
          </w:tcPr>
          <w:p>
            <w:pPr>
              <w:spacing w:after="0"/>
              <w:jc w:val="center"/>
            </w:pPr>
            <w:r>
              <w:rPr>
                <w:rFonts w:ascii="Aptos" w:hAnsi="Aptos" w:eastAsia="Aptos"/>
                <w:sz w:val="16"/>
              </w:rPr>
              <w:t>D</w:t>
            </w:r>
          </w:p>
        </w:tc>
        <w:tc>
          <w:tcPr>
            <w:tcW w:type="dxa" w:w="2232"/>
            <w:shd w:fill="EAF2F8"/>
            <w:tcMar>
              <w:top w:w="80" w:type="dxa"/>
              <w:start w:w="130" w:type="dxa"/>
              <w:bottom w:w="80" w:type="dxa"/>
              <w:end w:w="130" w:type="dxa"/>
            </w:tcMar>
            <w:vAlign w:val="center"/>
          </w:tcPr>
          <w:p>
            <w:pPr>
              <w:spacing w:after="0"/>
              <w:jc w:val="left"/>
            </w:pPr>
            <w:r>
              <w:rPr>
                <w:rFonts w:ascii="Aptos" w:hAnsi="Aptos" w:eastAsia="Aptos"/>
                <w:sz w:val="16"/>
              </w:rPr>
              <w:t>Architecture definition</w:t>
            </w:r>
          </w:p>
        </w:tc>
        <w:tc>
          <w:tcPr>
            <w:tcW w:type="dxa" w:w="6624"/>
            <w:shd w:fill="EAF2F8"/>
            <w:tcMar>
              <w:top w:w="80" w:type="dxa"/>
              <w:start w:w="130" w:type="dxa"/>
              <w:bottom w:w="80" w:type="dxa"/>
              <w:end w:w="130" w:type="dxa"/>
            </w:tcMar>
            <w:vAlign w:val="center"/>
          </w:tcPr>
          <w:p>
            <w:pPr>
              <w:spacing w:after="0"/>
              <w:jc w:val="left"/>
            </w:pPr>
            <w:r>
              <w:rPr>
                <w:rFonts w:ascii="Aptos" w:hAnsi="Aptos" w:eastAsia="Aptos"/>
                <w:sz w:val="16"/>
              </w:rPr>
              <w:t>The four-filter class, Source compatibility tables, additive score, and Law flow</w:t>
            </w:r>
          </w:p>
        </w:tc>
      </w:tr>
      <w:tr>
        <w:trPr>
          <w:cantSplit/>
        </w:trPr>
        <w:tc>
          <w:tcPr>
            <w:tcW w:type="dxa" w:w="792"/>
            <w:tcMar>
              <w:top w:w="80" w:type="dxa"/>
              <w:start w:w="130" w:type="dxa"/>
              <w:bottom w:w="80" w:type="dxa"/>
              <w:end w:w="130" w:type="dxa"/>
            </w:tcMar>
            <w:vAlign w:val="center"/>
          </w:tcPr>
          <w:p>
            <w:pPr>
              <w:spacing w:after="0"/>
              <w:jc w:val="center"/>
            </w:pPr>
            <w:r>
              <w:rPr>
                <w:rFonts w:ascii="Aptos" w:hAnsi="Aptos" w:eastAsia="Aptos"/>
                <w:sz w:val="16"/>
              </w:rPr>
              <w:t>T</w:t>
            </w:r>
          </w:p>
        </w:tc>
        <w:tc>
          <w:tcPr>
            <w:tcW w:type="dxa" w:w="2232"/>
            <w:tcMar>
              <w:top w:w="80" w:type="dxa"/>
              <w:start w:w="130" w:type="dxa"/>
              <w:bottom w:w="80" w:type="dxa"/>
              <w:end w:w="130" w:type="dxa"/>
            </w:tcMar>
            <w:vAlign w:val="center"/>
          </w:tcPr>
          <w:p>
            <w:pPr>
              <w:spacing w:after="0"/>
              <w:jc w:val="left"/>
            </w:pPr>
            <w:r>
              <w:rPr>
                <w:rFonts w:ascii="Aptos" w:hAnsi="Aptos" w:eastAsia="Aptos"/>
                <w:sz w:val="16"/>
              </w:rPr>
              <w:t>Exact theorem</w:t>
            </w:r>
          </w:p>
        </w:tc>
        <w:tc>
          <w:tcPr>
            <w:tcW w:type="dxa" w:w="6624"/>
            <w:tcMar>
              <w:top w:w="80" w:type="dxa"/>
              <w:start w:w="130" w:type="dxa"/>
              <w:bottom w:w="80" w:type="dxa"/>
              <w:end w:w="130" w:type="dxa"/>
            </w:tcMar>
            <w:vAlign w:val="center"/>
          </w:tcPr>
          <w:p>
            <w:pPr>
              <w:spacing w:after="0"/>
              <w:jc w:val="left"/>
            </w:pPr>
            <w:r>
              <w:rPr>
                <w:rFonts w:ascii="Aptos" w:hAnsi="Aptos" w:eastAsia="Aptos"/>
                <w:sz w:val="16"/>
              </w:rPr>
              <w:t>Two-gap uniqueness criterion, closed flow solution, convergence bound, and perturbation margin</w:t>
            </w:r>
          </w:p>
        </w:tc>
      </w:tr>
      <w:tr>
        <w:trPr>
          <w:cantSplit/>
        </w:trPr>
        <w:tc>
          <w:tcPr>
            <w:tcW w:type="dxa" w:w="792"/>
            <w:shd w:fill="EAF2F8"/>
            <w:tcMar>
              <w:top w:w="80" w:type="dxa"/>
              <w:start w:w="130" w:type="dxa"/>
              <w:bottom w:w="80" w:type="dxa"/>
              <w:end w:w="130" w:type="dxa"/>
            </w:tcMar>
            <w:vAlign w:val="center"/>
          </w:tcPr>
          <w:p>
            <w:pPr>
              <w:spacing w:after="0"/>
              <w:jc w:val="center"/>
            </w:pPr>
            <w:r>
              <w:rPr>
                <w:rFonts w:ascii="Aptos" w:hAnsi="Aptos" w:eastAsia="Aptos"/>
                <w:sz w:val="16"/>
              </w:rPr>
              <w:t>C</w:t>
            </w:r>
          </w:p>
        </w:tc>
        <w:tc>
          <w:tcPr>
            <w:tcW w:type="dxa" w:w="2232"/>
            <w:shd w:fill="EAF2F8"/>
            <w:tcMar>
              <w:top w:w="80" w:type="dxa"/>
              <w:start w:w="130" w:type="dxa"/>
              <w:bottom w:w="80" w:type="dxa"/>
              <w:end w:w="130" w:type="dxa"/>
            </w:tcMar>
            <w:vAlign w:val="center"/>
          </w:tcPr>
          <w:p>
            <w:pPr>
              <w:spacing w:after="0"/>
              <w:jc w:val="left"/>
            </w:pPr>
            <w:r>
              <w:rPr>
                <w:rFonts w:ascii="Aptos" w:hAnsi="Aptos" w:eastAsia="Aptos"/>
                <w:sz w:val="16"/>
              </w:rPr>
              <w:t>Conditional result</w:t>
            </w:r>
          </w:p>
        </w:tc>
        <w:tc>
          <w:tcPr>
            <w:tcW w:type="dxa" w:w="6624"/>
            <w:shd w:fill="EAF2F8"/>
            <w:tcMar>
              <w:top w:w="80" w:type="dxa"/>
              <w:start w:w="130" w:type="dxa"/>
              <w:bottom w:w="80" w:type="dxa"/>
              <w:end w:w="130" w:type="dxa"/>
            </w:tcMar>
            <w:vAlign w:val="center"/>
          </w:tcPr>
          <w:p>
            <w:pPr>
              <w:spacing w:after="0"/>
              <w:jc w:val="left"/>
            </w:pPr>
            <w:r>
              <w:rPr>
                <w:rFonts w:ascii="Aptos" w:hAnsi="Aptos" w:eastAsia="Aptos"/>
                <w:sz w:val="16"/>
              </w:rPr>
              <w:t>F-DX is uniquely and stably selected when both fixed gaps are positive</w:t>
            </w:r>
          </w:p>
        </w:tc>
      </w:tr>
      <w:tr>
        <w:trPr>
          <w:cantSplit/>
        </w:trPr>
        <w:tc>
          <w:tcPr>
            <w:tcW w:type="dxa" w:w="792"/>
            <w:tcMar>
              <w:top w:w="80" w:type="dxa"/>
              <w:start w:w="130" w:type="dxa"/>
              <w:bottom w:w="80" w:type="dxa"/>
              <w:end w:w="130" w:type="dxa"/>
            </w:tcMar>
            <w:vAlign w:val="center"/>
          </w:tcPr>
          <w:p>
            <w:pPr>
              <w:spacing w:after="0"/>
              <w:jc w:val="center"/>
            </w:pPr>
            <w:r>
              <w:rPr>
                <w:rFonts w:ascii="Aptos" w:hAnsi="Aptos" w:eastAsia="Aptos"/>
                <w:sz w:val="16"/>
              </w:rPr>
              <w:t>H</w:t>
            </w:r>
          </w:p>
        </w:tc>
        <w:tc>
          <w:tcPr>
            <w:tcW w:type="dxa" w:w="2232"/>
            <w:tcMar>
              <w:top w:w="80" w:type="dxa"/>
              <w:start w:w="130" w:type="dxa"/>
              <w:bottom w:w="80" w:type="dxa"/>
              <w:end w:w="130" w:type="dxa"/>
            </w:tcMar>
            <w:vAlign w:val="center"/>
          </w:tcPr>
          <w:p>
            <w:pPr>
              <w:spacing w:after="0"/>
              <w:jc w:val="left"/>
            </w:pPr>
            <w:r>
              <w:rPr>
                <w:rFonts w:ascii="Aptos" w:hAnsi="Aptos" w:eastAsia="Aptos"/>
                <w:sz w:val="16"/>
              </w:rPr>
              <w:t>Unproved hypothesis</w:t>
            </w:r>
          </w:p>
        </w:tc>
        <w:tc>
          <w:tcPr>
            <w:tcW w:type="dxa" w:w="6624"/>
            <w:tcMar>
              <w:top w:w="80" w:type="dxa"/>
              <w:start w:w="130" w:type="dxa"/>
              <w:bottom w:w="80" w:type="dxa"/>
              <w:end w:w="130" w:type="dxa"/>
            </w:tcMar>
            <w:vAlign w:val="center"/>
          </w:tcPr>
          <w:p>
            <w:pPr>
              <w:spacing w:after="0"/>
              <w:jc w:val="left"/>
            </w:pPr>
            <w:r>
              <w:rPr>
                <w:rFonts w:ascii="Aptos" w:hAnsi="Aptos" w:eastAsia="Aptos"/>
                <w:sz w:val="16"/>
              </w:rPr>
              <w:t>Nature supplies the stated candidate class, positive gaps, and nonzero initial support; convergence also assumes eta &gt; 0</w:t>
            </w:r>
          </w:p>
        </w:tc>
      </w:tr>
      <w:tr>
        <w:trPr>
          <w:cantSplit/>
        </w:trPr>
        <w:tc>
          <w:tcPr>
            <w:tcW w:type="dxa" w:w="792"/>
            <w:shd w:fill="EAF2F8"/>
            <w:tcMar>
              <w:top w:w="80" w:type="dxa"/>
              <w:start w:w="130" w:type="dxa"/>
              <w:bottom w:w="80" w:type="dxa"/>
              <w:end w:w="130" w:type="dxa"/>
            </w:tcMar>
            <w:vAlign w:val="center"/>
          </w:tcPr>
          <w:p>
            <w:pPr>
              <w:spacing w:after="0"/>
              <w:jc w:val="center"/>
            </w:pPr>
            <w:r>
              <w:rPr>
                <w:rFonts w:ascii="Aptos" w:hAnsi="Aptos" w:eastAsia="Aptos"/>
                <w:sz w:val="16"/>
              </w:rPr>
              <w:t>O</w:t>
            </w:r>
          </w:p>
        </w:tc>
        <w:tc>
          <w:tcPr>
            <w:tcW w:type="dxa" w:w="2232"/>
            <w:shd w:fill="EAF2F8"/>
            <w:tcMar>
              <w:top w:w="80" w:type="dxa"/>
              <w:start w:w="130" w:type="dxa"/>
              <w:bottom w:w="80" w:type="dxa"/>
              <w:end w:w="130" w:type="dxa"/>
            </w:tcMar>
            <w:vAlign w:val="center"/>
          </w:tcPr>
          <w:p>
            <w:pPr>
              <w:spacing w:after="0"/>
              <w:jc w:val="left"/>
            </w:pPr>
            <w:r>
              <w:rPr>
                <w:rFonts w:ascii="Aptos" w:hAnsi="Aptos" w:eastAsia="Aptos"/>
                <w:sz w:val="16"/>
              </w:rPr>
              <w:t>Outside this version</w:t>
            </w:r>
          </w:p>
        </w:tc>
        <w:tc>
          <w:tcPr>
            <w:tcW w:type="dxa" w:w="6624"/>
            <w:shd w:fill="EAF2F8"/>
            <w:tcMar>
              <w:top w:w="80" w:type="dxa"/>
              <w:start w:w="130" w:type="dxa"/>
              <w:bottom w:w="80" w:type="dxa"/>
              <w:end w:w="130" w:type="dxa"/>
            </w:tcMar>
            <w:vAlign w:val="center"/>
          </w:tcPr>
          <w:p>
            <w:pPr>
              <w:spacing w:after="0"/>
              <w:jc w:val="left"/>
            </w:pPr>
            <w:r>
              <w:rPr>
                <w:rFonts w:ascii="Aptos" w:hAnsi="Aptos" w:eastAsia="Aptos"/>
                <w:sz w:val="16"/>
              </w:rPr>
              <w:t>Upstream score physics, additional filters, generations, masses, gravity, cosmology, and consciousness</w:t>
            </w:r>
          </w:p>
        </w:tc>
      </w:tr>
    </w:tbl>
    <w:p>
      <w:pPr>
        <w:spacing w:after="20"/>
      </w:pPr>
    </w:p>
    <w:p>
      <w:pPr>
        <w:pStyle w:val="Heading1"/>
      </w:pPr>
      <w:r>
        <w:t>Falsification conditions</w:t>
      </w:r>
    </w:p>
    <w:p>
      <w:pPr>
        <w:keepLines w:val="0"/>
      </w:pPr>
      <w:r>
        <w:rPr>
          <w:rFonts w:ascii="Aptos" w:hAnsi="Aptos" w:eastAsia="Aptos"/>
          <w:i w:val="0"/>
        </w:rPr>
        <w:t>The 0.3 selection claim fails within its stated scope if any one of the following occurs.</w:t>
      </w:r>
    </w:p>
    <w:p>
      <w:pPr>
        <w:pStyle w:val="ListBullet"/>
        <w:spacing w:after="60"/>
      </w:pPr>
      <w:r>
        <w:rPr>
          <w:rFonts w:ascii="Aptos" w:hAnsi="Aptos" w:eastAsia="Aptos"/>
        </w:rPr>
        <w:t>An independently specified Source and Law give Delta-L less than or equal to zero or Delta-R less than or equal to zero.</w:t>
      </w:r>
    </w:p>
    <w:p>
      <w:pPr>
        <w:pStyle w:val="ListBullet"/>
        <w:spacing w:after="60"/>
      </w:pPr>
      <w:r>
        <w:rPr>
          <w:rFonts w:ascii="Aptos" w:hAnsi="Aptos" w:eastAsia="Aptos"/>
        </w:rPr>
        <w:t>An admissible fifth filter is found with a score at least as large as F-DX, invalidating completeness of the four-filter sector.</w:t>
      </w:r>
    </w:p>
    <w:p>
      <w:pPr>
        <w:pStyle w:val="ListBullet"/>
        <w:spacing w:after="60"/>
      </w:pPr>
      <w:r>
        <w:rPr>
          <w:rFonts w:ascii="Aptos" w:hAnsi="Aptos" w:eastAsia="Aptos"/>
        </w:rPr>
        <w:t>The filter weights do not obey the published ratio law under fixed scores and rate.</w:t>
      </w:r>
    </w:p>
    <w:p>
      <w:pPr>
        <w:pStyle w:val="ListBullet"/>
        <w:spacing w:after="60"/>
      </w:pPr>
      <w:r>
        <w:rPr>
          <w:rFonts w:ascii="Aptos" w:hAnsi="Aptos" w:eastAsia="Aptos"/>
        </w:rPr>
        <w:t>The observed score uncertainty is large enough that the claimed stability margin does not hold.</w:t>
      </w:r>
    </w:p>
    <w:p>
      <w:pPr>
        <w:pStyle w:val="ListBullet"/>
        <w:spacing w:after="60"/>
      </w:pPr>
      <w:r>
        <w:rPr>
          <w:rFonts w:ascii="Aptos" w:hAnsi="Aptos" w:eastAsia="Aptos"/>
        </w:rPr>
        <w:t>Compatibility values or the admissible class are changed after the target outcome is inspected.</w:t>
      </w:r>
    </w:p>
    <w:p>
      <w:pPr>
        <w:pStyle w:val="Heading1"/>
      </w:pPr>
      <w:r>
        <w:t>Exact boundary</w:t>
      </w:r>
    </w:p>
    <w:p>
      <w:pPr>
        <w:keepLines/>
      </w:pPr>
      <w:r>
        <w:rPr>
          <w:rFonts w:ascii="Aptos" w:hAnsi="Aptos" w:eastAsia="Aptos"/>
          <w:i w:val="0"/>
        </w:rPr>
        <w:t>Version 0.3 derives no numerical compatibility entry from fundamental physics. It proves what follows once Source supplies independently fixed scalar compatibilities and Law uses the stated flow. Existence means existence of a maximizer in the finite admissible class, not proof that a physical pre-spacetime system realizes that class. Uniqueness and stability are conditional on positive measured or derived gaps. Convergence requires eta &gt; 0 and positive initial target support; table calibration may be used with its provenance disclosed.</w:t>
      </w:r>
    </w:p>
    <w:p>
      <w:pPr>
        <w:pStyle w:val="Heading1"/>
        <w:pageBreakBefore/>
      </w:pPr>
      <w:r>
        <w:t>Conclusion</w:t>
      </w:r>
    </w:p>
    <w:p>
      <w:pPr>
        <w:keepLines w:val="0"/>
      </w:pPr>
      <w:r>
        <w:rPr>
          <w:rFonts w:ascii="Aptos" w:hAnsi="Aptos" w:eastAsia="Aptos"/>
          <w:i w:val="0"/>
        </w:rPr>
        <w:t>WRRA-M 0.2 showed what the cross-dimensional filter would produce. Version 0.3 states the minimal conditions under which Source and Law select that filter rather than one of its three pairing alternatives. Two numbers decide the result. Positive left and right gaps make the target unique and protect it against bounded score errors. With eta &gt; 0 and nonzero initial target support, its weight converges to one at a calculable rate. Zero or negative gaps expose failure without interpretive escape. The next task is to fix an upstream compatibility rule and calculate both gaps. Record whether the rule is calibrated against known assignments or supplied by carrier responses fixed before the target check.</w:t>
      </w:r>
    </w:p>
    <w:p>
      <w:pPr>
        <w:pStyle w:val="Heading1"/>
      </w:pPr>
      <w:r>
        <w:t>Appendix A Compact derivation</w:t>
      </w:r>
    </w:p>
    <w:tbl>
      <w:tblPr>
        <w:tblW w:type="auto" w:w="0"/>
        <w:jc w:val="center"/>
        <w:tblLayout w:type="fixed"/>
        <w:tblLook w:firstColumn="1" w:firstRow="1" w:lastColumn="0" w:lastRow="0" w:noHBand="0" w:noVBand="1" w:val="04A0"/>
        <w:tblBorders>
          <w:top w:val="single" w:sz="6" w:space="0" w:color="D9D9D9"/>
          <w:left w:val="single" w:sz="6" w:space="0" w:color="D9D9D9"/>
          <w:bottom w:val="single" w:sz="6" w:space="0" w:color="D9D9D9"/>
          <w:right w:val="single" w:sz="6" w:space="0" w:color="D9D9D9"/>
          <w:insideH w:val="single" w:sz="6" w:space="0" w:color="D9D9D9"/>
          <w:insideV w:val="single" w:sz="6" w:space="0" w:color="D9D9D9"/>
        </w:tblBorders>
      </w:tblPr>
      <w:tblGrid>
        <w:gridCol w:w="2469"/>
        <w:gridCol w:w="2469"/>
        <w:gridCol w:w="2469"/>
        <w:gridCol w:w="2469"/>
      </w:tblGrid>
      <w:tr>
        <w:trPr>
          <w:tblHeader w:val="true"/>
          <w:cantSplit/>
        </w:trPr>
        <w:tc>
          <w:tcPr>
            <w:tcW w:type="dxa" w:w="792"/>
            <w:shd w:fill="18324A"/>
            <w:tcMar>
              <w:top w:w="80" w:type="dxa"/>
              <w:start w:w="130" w:type="dxa"/>
              <w:bottom w:w="80" w:type="dxa"/>
              <w:end w:w="130" w:type="dxa"/>
            </w:tcMar>
            <w:vAlign w:val="center"/>
          </w:tcPr>
          <w:p>
            <w:pPr>
              <w:spacing w:after="0"/>
              <w:jc w:val="center"/>
            </w:pPr>
            <w:r>
              <w:rPr>
                <w:rFonts w:ascii="Aptos" w:hAnsi="Aptos" w:eastAsia="Aptos"/>
                <w:b/>
                <w:color w:val="FFFFFF"/>
                <w:sz w:val="16"/>
              </w:rPr>
              <w:t>Step</w:t>
            </w:r>
          </w:p>
        </w:tc>
        <w:tc>
          <w:tcPr>
            <w:tcW w:type="dxa" w:w="2520"/>
            <w:shd w:fill="18324A"/>
            <w:tcMar>
              <w:top w:w="80" w:type="dxa"/>
              <w:start w:w="130" w:type="dxa"/>
              <w:bottom w:w="80" w:type="dxa"/>
              <w:end w:w="130" w:type="dxa"/>
            </w:tcMar>
            <w:vAlign w:val="center"/>
          </w:tcPr>
          <w:p>
            <w:pPr>
              <w:spacing w:after="0"/>
              <w:jc w:val="center"/>
            </w:pPr>
            <w:r>
              <w:rPr>
                <w:rFonts w:ascii="Aptos" w:hAnsi="Aptos" w:eastAsia="Aptos"/>
                <w:b/>
                <w:color w:val="FFFFFF"/>
                <w:sz w:val="16"/>
              </w:rPr>
              <w:t>Fixed input</w:t>
            </w:r>
          </w:p>
        </w:tc>
        <w:tc>
          <w:tcPr>
            <w:tcW w:type="dxa" w:w="3816"/>
            <w:shd w:fill="18324A"/>
            <w:tcMar>
              <w:top w:w="80" w:type="dxa"/>
              <w:start w:w="130" w:type="dxa"/>
              <w:bottom w:w="80" w:type="dxa"/>
              <w:end w:w="130" w:type="dxa"/>
            </w:tcMar>
            <w:vAlign w:val="center"/>
          </w:tcPr>
          <w:p>
            <w:pPr>
              <w:spacing w:after="0"/>
              <w:jc w:val="center"/>
            </w:pPr>
            <w:r>
              <w:rPr>
                <w:rFonts w:ascii="Aptos" w:hAnsi="Aptos" w:eastAsia="Aptos"/>
                <w:b/>
                <w:color w:val="FFFFFF"/>
                <w:sz w:val="16"/>
              </w:rPr>
              <w:t>WRRA-M operation</w:t>
            </w:r>
          </w:p>
        </w:tc>
        <w:tc>
          <w:tcPr>
            <w:tcW w:type="dxa" w:w="2520"/>
            <w:shd w:fill="18324A"/>
            <w:tcMar>
              <w:top w:w="80" w:type="dxa"/>
              <w:start w:w="130" w:type="dxa"/>
              <w:bottom w:w="80" w:type="dxa"/>
              <w:end w:w="130" w:type="dxa"/>
            </w:tcMar>
            <w:vAlign w:val="center"/>
          </w:tcPr>
          <w:p>
            <w:pPr>
              <w:spacing w:after="0"/>
              <w:jc w:val="center"/>
            </w:pPr>
            <w:r>
              <w:rPr>
                <w:rFonts w:ascii="Aptos" w:hAnsi="Aptos" w:eastAsia="Aptos"/>
                <w:b/>
                <w:color w:val="FFFFFF"/>
                <w:sz w:val="16"/>
              </w:rPr>
              <w:t>Output</w:t>
            </w:r>
          </w:p>
        </w:tc>
      </w:tr>
      <w:tr>
        <w:trPr>
          <w:cantSplit/>
        </w:trPr>
        <w:tc>
          <w:tcPr>
            <w:tcW w:type="dxa" w:w="792"/>
            <w:tcMar>
              <w:top w:w="80" w:type="dxa"/>
              <w:start w:w="130" w:type="dxa"/>
              <w:bottom w:w="80" w:type="dxa"/>
              <w:end w:w="130" w:type="dxa"/>
            </w:tcMar>
            <w:vAlign w:val="center"/>
          </w:tcPr>
          <w:p>
            <w:pPr>
              <w:spacing w:after="0"/>
              <w:jc w:val="center"/>
            </w:pPr>
            <w:r>
              <w:rPr>
                <w:rFonts w:ascii="Aptos" w:hAnsi="Aptos" w:eastAsia="Aptos"/>
                <w:sz w:val="16"/>
              </w:rPr>
              <w:t>1</w:t>
            </w:r>
          </w:p>
        </w:tc>
        <w:tc>
          <w:tcPr>
            <w:tcW w:type="dxa" w:w="2520"/>
            <w:tcMar>
              <w:top w:w="80" w:type="dxa"/>
              <w:start w:w="130" w:type="dxa"/>
              <w:bottom w:w="80" w:type="dxa"/>
              <w:end w:w="130" w:type="dxa"/>
            </w:tcMar>
            <w:vAlign w:val="center"/>
          </w:tcPr>
          <w:p>
            <w:pPr>
              <w:spacing w:after="0"/>
              <w:jc w:val="left"/>
            </w:pPr>
            <w:r>
              <w:rPr>
                <w:rFonts w:ascii="Aptos" w:hAnsi="Aptos" w:eastAsia="Aptos"/>
                <w:sz w:val="16"/>
              </w:rPr>
              <w:t>The 0.2 sixteen-channel space</w:t>
            </w:r>
          </w:p>
        </w:tc>
        <w:tc>
          <w:tcPr>
            <w:tcW w:type="dxa" w:w="3816"/>
            <w:tcMar>
              <w:top w:w="80" w:type="dxa"/>
              <w:start w:w="130" w:type="dxa"/>
              <w:bottom w:w="80" w:type="dxa"/>
              <w:end w:w="130" w:type="dxa"/>
            </w:tcMar>
            <w:vAlign w:val="center"/>
          </w:tcPr>
          <w:p>
            <w:pPr>
              <w:spacing w:after="0"/>
              <w:jc w:val="left"/>
            </w:pPr>
            <w:r>
              <w:rPr>
                <w:rFonts w:ascii="Aptos" w:hAnsi="Aptos" w:eastAsia="Aptos"/>
                <w:sz w:val="16"/>
              </w:rPr>
              <w:t>Enumerate two binary matchings</w:t>
            </w:r>
          </w:p>
        </w:tc>
        <w:tc>
          <w:tcPr>
            <w:tcW w:type="dxa" w:w="2520"/>
            <w:tcMar>
              <w:top w:w="80" w:type="dxa"/>
              <w:start w:w="130" w:type="dxa"/>
              <w:bottom w:w="80" w:type="dxa"/>
              <w:end w:w="130" w:type="dxa"/>
            </w:tcMar>
            <w:vAlign w:val="center"/>
          </w:tcPr>
          <w:p>
            <w:pPr>
              <w:spacing w:after="0"/>
              <w:jc w:val="left"/>
            </w:pPr>
            <w:r>
              <w:rPr>
                <w:rFonts w:ascii="Aptos" w:hAnsi="Aptos" w:eastAsia="Aptos"/>
                <w:sz w:val="16"/>
              </w:rPr>
              <w:t>Four admissible filters</w:t>
            </w:r>
          </w:p>
        </w:tc>
      </w:tr>
      <w:tr>
        <w:trPr>
          <w:cantSplit/>
        </w:trPr>
        <w:tc>
          <w:tcPr>
            <w:tcW w:type="dxa" w:w="792"/>
            <w:shd w:fill="EAF2F8"/>
            <w:tcMar>
              <w:top w:w="80" w:type="dxa"/>
              <w:start w:w="130" w:type="dxa"/>
              <w:bottom w:w="80" w:type="dxa"/>
              <w:end w:w="130" w:type="dxa"/>
            </w:tcMar>
            <w:vAlign w:val="center"/>
          </w:tcPr>
          <w:p>
            <w:pPr>
              <w:spacing w:after="0"/>
              <w:jc w:val="center"/>
            </w:pPr>
            <w:r>
              <w:rPr>
                <w:rFonts w:ascii="Aptos" w:hAnsi="Aptos" w:eastAsia="Aptos"/>
                <w:sz w:val="16"/>
              </w:rPr>
              <w:t>2</w:t>
            </w:r>
          </w:p>
        </w:tc>
        <w:tc>
          <w:tcPr>
            <w:tcW w:type="dxa" w:w="2520"/>
            <w:shd w:fill="EAF2F8"/>
            <w:tcMar>
              <w:top w:w="80" w:type="dxa"/>
              <w:start w:w="130" w:type="dxa"/>
              <w:bottom w:w="80" w:type="dxa"/>
              <w:end w:w="130" w:type="dxa"/>
            </w:tcMar>
            <w:vAlign w:val="center"/>
          </w:tcPr>
          <w:p>
            <w:pPr>
              <w:spacing w:after="0"/>
              <w:jc w:val="left"/>
            </w:pPr>
            <w:r>
              <w:rPr>
                <w:rFonts w:ascii="Aptos" w:hAnsi="Aptos" w:eastAsia="Aptos"/>
                <w:sz w:val="16"/>
              </w:rPr>
              <w:t>Two Source compatibility tables</w:t>
            </w:r>
          </w:p>
        </w:tc>
        <w:tc>
          <w:tcPr>
            <w:tcW w:type="dxa" w:w="3816"/>
            <w:shd w:fill="EAF2F8"/>
            <w:tcMar>
              <w:top w:w="80" w:type="dxa"/>
              <w:start w:w="130" w:type="dxa"/>
              <w:bottom w:w="80" w:type="dxa"/>
              <w:end w:w="130" w:type="dxa"/>
            </w:tcMar>
            <w:vAlign w:val="center"/>
          </w:tcPr>
          <w:p>
            <w:pPr>
              <w:spacing w:after="0"/>
              <w:jc w:val="left"/>
            </w:pPr>
            <w:r>
              <w:rPr>
                <w:rFonts w:ascii="Aptos" w:hAnsi="Aptos" w:eastAsia="Aptos"/>
                <w:sz w:val="16"/>
              </w:rPr>
              <w:t>Sum selected entries</w:t>
            </w:r>
          </w:p>
        </w:tc>
        <w:tc>
          <w:tcPr>
            <w:tcW w:type="dxa" w:w="2520"/>
            <w:shd w:fill="EAF2F8"/>
            <w:tcMar>
              <w:top w:w="80" w:type="dxa"/>
              <w:start w:w="130" w:type="dxa"/>
              <w:bottom w:w="80" w:type="dxa"/>
              <w:end w:w="130" w:type="dxa"/>
            </w:tcMar>
            <w:vAlign w:val="center"/>
          </w:tcPr>
          <w:p>
            <w:pPr>
              <w:spacing w:after="0"/>
              <w:jc w:val="left"/>
            </w:pPr>
            <w:r>
              <w:rPr>
                <w:rFonts w:ascii="Aptos" w:hAnsi="Aptos" w:eastAsia="Aptos"/>
                <w:sz w:val="16"/>
              </w:rPr>
              <w:t>One score per filter</w:t>
            </w:r>
          </w:p>
        </w:tc>
      </w:tr>
      <w:tr>
        <w:trPr>
          <w:cantSplit/>
        </w:trPr>
        <w:tc>
          <w:tcPr>
            <w:tcW w:type="dxa" w:w="792"/>
            <w:tcMar>
              <w:top w:w="80" w:type="dxa"/>
              <w:start w:w="130" w:type="dxa"/>
              <w:bottom w:w="80" w:type="dxa"/>
              <w:end w:w="130" w:type="dxa"/>
            </w:tcMar>
            <w:vAlign w:val="center"/>
          </w:tcPr>
          <w:p>
            <w:pPr>
              <w:spacing w:after="0"/>
              <w:jc w:val="center"/>
            </w:pPr>
            <w:r>
              <w:rPr>
                <w:rFonts w:ascii="Aptos" w:hAnsi="Aptos" w:eastAsia="Aptos"/>
                <w:sz w:val="16"/>
              </w:rPr>
              <w:t>3</w:t>
            </w:r>
          </w:p>
        </w:tc>
        <w:tc>
          <w:tcPr>
            <w:tcW w:type="dxa" w:w="2520"/>
            <w:tcMar>
              <w:top w:w="80" w:type="dxa"/>
              <w:start w:w="130" w:type="dxa"/>
              <w:bottom w:w="80" w:type="dxa"/>
              <w:end w:w="130" w:type="dxa"/>
            </w:tcMar>
            <w:vAlign w:val="center"/>
          </w:tcPr>
          <w:p>
            <w:pPr>
              <w:spacing w:after="0"/>
              <w:jc w:val="center"/>
            </w:pPr>
            <w:r>
              <w:rPr>
                <w:rFonts w:ascii="Aptos" w:hAnsi="Aptos" w:eastAsia="Aptos"/>
                <w:sz w:val="16"/>
              </w:rPr>
              <w:t>Four scores</w:t>
            </w:r>
          </w:p>
        </w:tc>
        <w:tc>
          <w:tcPr>
            <w:tcW w:type="dxa" w:w="3816"/>
            <w:tcMar>
              <w:top w:w="80" w:type="dxa"/>
              <w:start w:w="130" w:type="dxa"/>
              <w:bottom w:w="80" w:type="dxa"/>
              <w:end w:w="130" w:type="dxa"/>
            </w:tcMar>
            <w:vAlign w:val="center"/>
          </w:tcPr>
          <w:p>
            <w:pPr>
              <w:spacing w:after="0"/>
              <w:jc w:val="left"/>
            </w:pPr>
            <w:r>
              <w:rPr>
                <w:rFonts w:ascii="Aptos" w:hAnsi="Aptos" w:eastAsia="Aptos"/>
                <w:sz w:val="16"/>
              </w:rPr>
              <w:t>Subtract competitors from F-DX</w:t>
            </w:r>
          </w:p>
        </w:tc>
        <w:tc>
          <w:tcPr>
            <w:tcW w:type="dxa" w:w="2520"/>
            <w:tcMar>
              <w:top w:w="80" w:type="dxa"/>
              <w:start w:w="130" w:type="dxa"/>
              <w:bottom w:w="80" w:type="dxa"/>
              <w:end w:w="130" w:type="dxa"/>
            </w:tcMar>
            <w:vAlign w:val="center"/>
          </w:tcPr>
          <w:p>
            <w:pPr>
              <w:spacing w:after="0"/>
              <w:jc w:val="left"/>
            </w:pPr>
            <w:r>
              <w:rPr>
                <w:rFonts w:ascii="Aptos" w:hAnsi="Aptos" w:eastAsia="Aptos"/>
                <w:sz w:val="16"/>
              </w:rPr>
              <w:t>Delta-L Delta-R and their sum</w:t>
            </w:r>
          </w:p>
        </w:tc>
      </w:tr>
      <w:tr>
        <w:trPr>
          <w:cantSplit/>
        </w:trPr>
        <w:tc>
          <w:tcPr>
            <w:tcW w:type="dxa" w:w="792"/>
            <w:shd w:fill="EAF2F8"/>
            <w:tcMar>
              <w:top w:w="80" w:type="dxa"/>
              <w:start w:w="130" w:type="dxa"/>
              <w:bottom w:w="80" w:type="dxa"/>
              <w:end w:w="130" w:type="dxa"/>
            </w:tcMar>
            <w:vAlign w:val="center"/>
          </w:tcPr>
          <w:p>
            <w:pPr>
              <w:spacing w:after="0"/>
              <w:jc w:val="center"/>
            </w:pPr>
            <w:r>
              <w:rPr>
                <w:rFonts w:ascii="Aptos" w:hAnsi="Aptos" w:eastAsia="Aptos"/>
                <w:sz w:val="16"/>
              </w:rPr>
              <w:t>4</w:t>
            </w:r>
          </w:p>
        </w:tc>
        <w:tc>
          <w:tcPr>
            <w:tcW w:type="dxa" w:w="2520"/>
            <w:shd w:fill="EAF2F8"/>
            <w:tcMar>
              <w:top w:w="80" w:type="dxa"/>
              <w:start w:w="130" w:type="dxa"/>
              <w:bottom w:w="80" w:type="dxa"/>
              <w:end w:w="130" w:type="dxa"/>
            </w:tcMar>
            <w:vAlign w:val="center"/>
          </w:tcPr>
          <w:p>
            <w:pPr>
              <w:spacing w:after="0"/>
              <w:jc w:val="left"/>
            </w:pPr>
            <w:r>
              <w:rPr>
                <w:rFonts w:ascii="Aptos" w:hAnsi="Aptos" w:eastAsia="Aptos"/>
                <w:sz w:val="16"/>
              </w:rPr>
              <w:t>Positive gaps, eta &gt; 0</w:t>
            </w:r>
          </w:p>
        </w:tc>
        <w:tc>
          <w:tcPr>
            <w:tcW w:type="dxa" w:w="3816"/>
            <w:shd w:fill="EAF2F8"/>
            <w:tcMar>
              <w:top w:w="80" w:type="dxa"/>
              <w:start w:w="130" w:type="dxa"/>
              <w:bottom w:w="80" w:type="dxa"/>
              <w:end w:w="130" w:type="dxa"/>
            </w:tcMar>
            <w:vAlign w:val="center"/>
          </w:tcPr>
          <w:p>
            <w:pPr>
              <w:spacing w:after="0"/>
              <w:jc w:val="left"/>
            </w:pPr>
            <w:r>
              <w:rPr>
                <w:rFonts w:ascii="Aptos" w:hAnsi="Aptos" w:eastAsia="Aptos"/>
                <w:sz w:val="16"/>
              </w:rPr>
              <w:t>Apply constant-score selection flow</w:t>
            </w:r>
          </w:p>
        </w:tc>
        <w:tc>
          <w:tcPr>
            <w:tcW w:type="dxa" w:w="2520"/>
            <w:shd w:fill="EAF2F8"/>
            <w:tcMar>
              <w:top w:w="80" w:type="dxa"/>
              <w:start w:w="130" w:type="dxa"/>
              <w:bottom w:w="80" w:type="dxa"/>
              <w:end w:w="130" w:type="dxa"/>
            </w:tcMar>
            <w:vAlign w:val="center"/>
          </w:tcPr>
          <w:p>
            <w:pPr>
              <w:spacing w:after="0"/>
              <w:jc w:val="left"/>
            </w:pPr>
            <w:r>
              <w:rPr>
                <w:rFonts w:ascii="Aptos" w:hAnsi="Aptos" w:eastAsia="Aptos"/>
                <w:sz w:val="16"/>
              </w:rPr>
              <w:t>Convergence to F-DX</w:t>
            </w:r>
          </w:p>
        </w:tc>
      </w:tr>
      <w:tr>
        <w:trPr>
          <w:cantSplit/>
        </w:trPr>
        <w:tc>
          <w:tcPr>
            <w:tcW w:type="dxa" w:w="792"/>
            <w:tcMar>
              <w:top w:w="80" w:type="dxa"/>
              <w:start w:w="130" w:type="dxa"/>
              <w:bottom w:w="80" w:type="dxa"/>
              <w:end w:w="130" w:type="dxa"/>
            </w:tcMar>
            <w:vAlign w:val="center"/>
          </w:tcPr>
          <w:p>
            <w:pPr>
              <w:spacing w:after="0"/>
              <w:jc w:val="center"/>
            </w:pPr>
            <w:r>
              <w:rPr>
                <w:rFonts w:ascii="Aptos" w:hAnsi="Aptos" w:eastAsia="Aptos"/>
                <w:sz w:val="16"/>
              </w:rPr>
              <w:t>5</w:t>
            </w:r>
          </w:p>
        </w:tc>
        <w:tc>
          <w:tcPr>
            <w:tcW w:type="dxa" w:w="2520"/>
            <w:tcMar>
              <w:top w:w="80" w:type="dxa"/>
              <w:start w:w="130" w:type="dxa"/>
              <w:bottom w:w="80" w:type="dxa"/>
              <w:end w:w="130" w:type="dxa"/>
            </w:tcMar>
            <w:vAlign w:val="center"/>
          </w:tcPr>
          <w:p>
            <w:pPr>
              <w:spacing w:after="0"/>
              <w:jc w:val="left"/>
            </w:pPr>
            <w:r>
              <w:rPr>
                <w:rFonts w:ascii="Aptos" w:hAnsi="Aptos" w:eastAsia="Aptos"/>
                <w:sz w:val="16"/>
              </w:rPr>
              <w:t>Entrywise error bound rho</w:t>
            </w:r>
          </w:p>
        </w:tc>
        <w:tc>
          <w:tcPr>
            <w:tcW w:type="dxa" w:w="3816"/>
            <w:tcMar>
              <w:top w:w="80" w:type="dxa"/>
              <w:start w:w="130" w:type="dxa"/>
              <w:bottom w:w="80" w:type="dxa"/>
              <w:end w:w="130" w:type="dxa"/>
            </w:tcMar>
            <w:vAlign w:val="center"/>
          </w:tcPr>
          <w:p>
            <w:pPr>
              <w:spacing w:after="0"/>
              <w:jc w:val="left"/>
            </w:pPr>
            <w:r>
              <w:rPr>
                <w:rFonts w:ascii="Aptos" w:hAnsi="Aptos" w:eastAsia="Aptos"/>
                <w:sz w:val="16"/>
              </w:rPr>
              <w:t>Propagate worst-case gap error</w:t>
            </w:r>
          </w:p>
        </w:tc>
        <w:tc>
          <w:tcPr>
            <w:tcW w:type="dxa" w:w="2520"/>
            <w:tcMar>
              <w:top w:w="80" w:type="dxa"/>
              <w:start w:w="130" w:type="dxa"/>
              <w:bottom w:w="80" w:type="dxa"/>
              <w:end w:w="130" w:type="dxa"/>
            </w:tcMar>
            <w:vAlign w:val="center"/>
          </w:tcPr>
          <w:p>
            <w:pPr>
              <w:spacing w:after="0"/>
              <w:jc w:val="left"/>
            </w:pPr>
            <w:r>
              <w:rPr>
                <w:rFonts w:ascii="Aptos" w:hAnsi="Aptos" w:eastAsia="Aptos"/>
                <w:sz w:val="16"/>
              </w:rPr>
              <w:t>Selection stable if min gap exceeds 4 rho</w:t>
            </w:r>
          </w:p>
        </w:tc>
      </w:tr>
    </w:tbl>
    <w:p>
      <w:pPr>
        <w:spacing w:after="20"/>
      </w:pPr>
    </w:p>
    <w:p>
      <w:pPr>
        <w:keepLines/>
        <w:spacing w:before="80" w:after="100"/>
        <w:jc w:val="center"/>
      </w:pPr>
      <w:r>
        <w:drawing>
          <wp:inline xmlns:a="http://schemas.openxmlformats.org/drawingml/2006/main" xmlns:pic="http://schemas.openxmlformats.org/drawingml/2006/picture">
            <wp:extent cx="5623560" cy="559333"/>
            <wp:docPr id="14" name="Picture 14" title="Equation 14" descr="Repeated definitions of the two selection gaps."/>
            <wp:cNvGraphicFramePr>
              <a:graphicFrameLocks noChangeAspect="1"/>
            </wp:cNvGraphicFramePr>
            <a:graphic>
              <a:graphicData uri="http://schemas.openxmlformats.org/drawingml/2006/picture">
                <pic:pic>
                  <pic:nvPicPr>
                    <pic:cNvPr id="0" name="eq06_gaps.png"/>
                    <pic:cNvPicPr/>
                  </pic:nvPicPr>
                  <pic:blipFill>
                    <a:blip r:embed="rId15"/>
                    <a:stretch>
                      <a:fillRect/>
                    </a:stretch>
                  </pic:blipFill>
                  <pic:spPr>
                    <a:xfrm>
                      <a:off x="0" y="0"/>
                      <a:ext cx="5623560" cy="559333"/>
                    </a:xfrm>
                    <a:prstGeom prst="rect"/>
                  </pic:spPr>
                </pic:pic>
              </a:graphicData>
            </a:graphic>
          </wp:inline>
        </w:drawing>
      </w:r>
    </w:p>
    <w:p>
      <w:pPr>
        <w:keepLines/>
        <w:spacing w:before="80" w:after="100"/>
        <w:jc w:val="center"/>
      </w:pPr>
      <w:r>
        <w:drawing>
          <wp:inline xmlns:a="http://schemas.openxmlformats.org/drawingml/2006/main" xmlns:pic="http://schemas.openxmlformats.org/drawingml/2006/picture">
            <wp:extent cx="4800600" cy="477479"/>
            <wp:docPr id="15" name="Picture 15" title="Equation 15" descr="Repeated necessary and sufficient uniqueness criterion."/>
            <wp:cNvGraphicFramePr>
              <a:graphicFrameLocks noChangeAspect="1"/>
            </wp:cNvGraphicFramePr>
            <a:graphic>
              <a:graphicData uri="http://schemas.openxmlformats.org/drawingml/2006/picture">
                <pic:pic>
                  <pic:nvPicPr>
                    <pic:cNvPr id="0" name="eq08_criterion.png"/>
                    <pic:cNvPicPr/>
                  </pic:nvPicPr>
                  <pic:blipFill>
                    <a:blip r:embed="rId17"/>
                    <a:stretch>
                      <a:fillRect/>
                    </a:stretch>
                  </pic:blipFill>
                  <pic:spPr>
                    <a:xfrm>
                      <a:off x="0" y="0"/>
                      <a:ext cx="4800600" cy="477479"/>
                    </a:xfrm>
                    <a:prstGeom prst="rect"/>
                  </pic:spPr>
                </pic:pic>
              </a:graphicData>
            </a:graphic>
          </wp:inline>
        </w:drawing>
      </w:r>
    </w:p>
    <w:p>
      <w:pPr>
        <w:pStyle w:val="Heading1"/>
      </w:pPr>
      <w:r>
        <w:t>Appendix B Verification identities</w:t>
      </w:r>
    </w:p>
    <w:p>
      <w:pPr>
        <w:keepLines w:val="0"/>
      </w:pPr>
      <w:r>
        <w:rPr>
          <w:rFonts w:ascii="Aptos" w:hAnsi="Aptos" w:eastAsia="Aptos"/>
          <w:i w:val="0"/>
        </w:rPr>
        <w:t>The public standalone script calculations/verify_wrra_m_0_3.py checks the three coefficient identities and all 6,561 tables with eight entries in {-1,0,1}. It verifies the two-gap uniqueness equivalence, exact rational samples of the closed flow and exponential bound, eta &gt; 0, eta = 0, eta &lt; 0, and zero-initial-support cases. It also checks all 256 extreme perturbations of a positive-gap witness and a tie at the sharp stability boundary. Finite enumeration supports the algebraic proof; it does not replace it.</w:t>
      </w:r>
    </w:p>
    <w:p>
      <w:pPr>
        <w:keepLines/>
        <w:spacing w:before="80" w:after="100"/>
        <w:jc w:val="center"/>
      </w:pPr>
      <w:r>
        <w:drawing>
          <wp:inline xmlns:a="http://schemas.openxmlformats.org/drawingml/2006/main" xmlns:pic="http://schemas.openxmlformats.org/drawingml/2006/picture">
            <wp:extent cx="5074920" cy="504764"/>
            <wp:docPr id="16" name="Picture 16" title="Equation 16" descr="Repeated closed-form normalized flow solution."/>
            <wp:cNvGraphicFramePr>
              <a:graphicFrameLocks noChangeAspect="1"/>
            </wp:cNvGraphicFramePr>
            <a:graphic>
              <a:graphicData uri="http://schemas.openxmlformats.org/drawingml/2006/picture">
                <pic:pic>
                  <pic:nvPicPr>
                    <pic:cNvPr id="0" name="eq10_solution.png"/>
                    <pic:cNvPicPr/>
                  </pic:nvPicPr>
                  <pic:blipFill>
                    <a:blip r:embed="rId19"/>
                    <a:stretch>
                      <a:fillRect/>
                    </a:stretch>
                  </pic:blipFill>
                  <pic:spPr>
                    <a:xfrm>
                      <a:off x="0" y="0"/>
                      <a:ext cx="5074920" cy="504764"/>
                    </a:xfrm>
                    <a:prstGeom prst="rect"/>
                  </pic:spPr>
                </pic:pic>
              </a:graphicData>
            </a:graphic>
          </wp:inline>
        </w:drawing>
      </w:r>
    </w:p>
    <w:p>
      <w:pPr>
        <w:pStyle w:val="Heading1"/>
      </w:pPr>
      <w:r>
        <w:t>Appendix C References</w:t>
      </w:r>
    </w:p>
    <w:p>
      <w:pPr>
        <w:keepNext/>
        <w:spacing w:after="80" w:line="240" w:lineRule="auto"/>
        <w:ind w:left="259" w:hanging="259"/>
      </w:pPr>
      <w:r>
        <w:rPr>
          <w:rFonts w:ascii="Aptos" w:hAnsi="Aptos" w:eastAsia="Aptos"/>
          <w:b/>
          <w:sz w:val="18"/>
        </w:rPr>
        <w:t xml:space="preserve">[1] </w:t>
      </w:r>
      <w:r>
        <w:rPr>
          <w:rFonts w:ascii="Aptos" w:hAnsi="Aptos" w:eastAsia="Aptos"/>
          <w:sz w:val="18"/>
        </w:rPr>
        <w:t>Wonsik Choi  WRRA-M 0.2 Cross Dimensional Filter Correspondence  2026</w:t>
      </w:r>
    </w:p>
    <w:p>
      <w:pPr>
        <w:keepNext/>
        <w:spacing w:after="80" w:line="240" w:lineRule="auto"/>
        <w:ind w:left="259"/>
      </w:pPr>
      <w:r>
        <w:rPr>
          <w:rFonts w:ascii="Aptos" w:hAnsi="Aptos" w:eastAsia="Aptos"/>
          <w:color w:val="245A83"/>
          <w:sz w:val="18"/>
        </w:rPr>
        <w:t xml:space="preserve">  https://github.com/Wonsik-Choi-janefather/wrra-m-0.1/tree/main/paper</w:t>
      </w:r>
    </w:p>
    <w:p>
      <w:pPr>
        <w:keepNext/>
        <w:spacing w:after="80" w:line="240" w:lineRule="auto"/>
        <w:ind w:left="259" w:hanging="259"/>
      </w:pPr>
      <w:r>
        <w:rPr>
          <w:rFonts w:ascii="Aptos" w:hAnsi="Aptos" w:eastAsia="Aptos"/>
          <w:b/>
          <w:sz w:val="18"/>
        </w:rPr>
        <w:t xml:space="preserve">[2] </w:t>
      </w:r>
      <w:r>
        <w:rPr>
          <w:rFonts w:ascii="Aptos" w:hAnsi="Aptos" w:eastAsia="Aptos"/>
          <w:sz w:val="18"/>
        </w:rPr>
        <w:t>Peter D. Taylor and Leo B. Jonker  Evolutionarily Stable Strategies and Game Dynamics  Mathematical Biosciences 40 1978 145 to 156</w:t>
      </w:r>
    </w:p>
    <w:p>
      <w:pPr>
        <w:keepNext/>
        <w:spacing w:after="80" w:line="240" w:lineRule="auto"/>
        <w:ind w:left="259"/>
      </w:pPr>
      <w:r>
        <w:rPr>
          <w:rFonts w:ascii="Aptos" w:hAnsi="Aptos" w:eastAsia="Aptos"/>
          <w:color w:val="245A83"/>
          <w:sz w:val="18"/>
        </w:rPr>
        <w:t xml:space="preserve">  https://doi.org/10.1016/0025-5564(78)90077-9</w:t>
      </w:r>
    </w:p>
    <w:p>
      <w:pPr>
        <w:keepNext/>
        <w:spacing w:after="80" w:line="240" w:lineRule="auto"/>
        <w:ind w:left="259" w:hanging="259"/>
      </w:pPr>
      <w:r>
        <w:rPr>
          <w:rFonts w:ascii="Aptos" w:hAnsi="Aptos" w:eastAsia="Aptos"/>
          <w:b/>
          <w:sz w:val="18"/>
        </w:rPr>
        <w:t xml:space="preserve">[3] </w:t>
      </w:r>
      <w:r>
        <w:rPr>
          <w:rFonts w:ascii="Aptos" w:hAnsi="Aptos" w:eastAsia="Aptos"/>
          <w:sz w:val="18"/>
        </w:rPr>
        <w:t>Jogesh C. Pati and Abdus Salam  Lepton Number as the Fourth Color  Physical Review D 10 1974 275 to 289</w:t>
      </w:r>
    </w:p>
    <w:p>
      <w:pPr>
        <w:keepNext/>
        <w:spacing w:after="80" w:line="240" w:lineRule="auto"/>
        <w:ind w:left="259"/>
      </w:pPr>
      <w:r>
        <w:rPr>
          <w:rFonts w:ascii="Aptos" w:hAnsi="Aptos" w:eastAsia="Aptos"/>
          <w:color w:val="245A83"/>
          <w:sz w:val="18"/>
        </w:rPr>
        <w:t xml:space="preserve">  https://doi.org/10.1103/PhysRevD.10.275</w:t>
      </w:r>
    </w:p>
    <w:p>
      <w:pPr>
        <w:keepNext/>
        <w:spacing w:after="80" w:line="240" w:lineRule="auto"/>
        <w:ind w:left="259" w:hanging="259"/>
      </w:pPr>
      <w:r>
        <w:rPr>
          <w:rFonts w:ascii="Aptos" w:hAnsi="Aptos" w:eastAsia="Aptos"/>
          <w:b/>
          <w:sz w:val="18"/>
        </w:rPr>
        <w:t xml:space="preserve">[4] </w:t>
      </w:r>
      <w:r>
        <w:rPr>
          <w:rFonts w:ascii="Aptos" w:hAnsi="Aptos" w:eastAsia="Aptos"/>
          <w:sz w:val="18"/>
        </w:rPr>
        <w:t>Harald Fritzsch and Peter Minkowski  Unified Interactions of Leptons and Hadrons  Annals of Physics 93 1975 193 to 266</w:t>
      </w:r>
    </w:p>
    <w:p>
      <w:pPr>
        <w:keepNext w:val="0"/>
        <w:spacing w:after="80" w:line="240" w:lineRule="auto"/>
        <w:ind w:left="259"/>
      </w:pPr>
      <w:r>
        <w:rPr>
          <w:rFonts w:ascii="Aptos" w:hAnsi="Aptos" w:eastAsia="Aptos"/>
          <w:color w:val="245A83"/>
          <w:sz w:val="18"/>
        </w:rPr>
        <w:t xml:space="preserve">  https://doi.org/10.1016/0003-4916(75)90211-0</w:t>
      </w:r>
    </w:p>
    <w:sectPr w:rsidR="00FC693F" w:rsidRPr="0006063C" w:rsidSect="00034616">
      <w:footerReference w:type="default" r:id="rId9"/>
      <w:pgSz w:w="12240" w:h="15840"/>
      <w:pgMar w:top="1037" w:right="1181" w:bottom="1037" w:left="1181" w:header="432" w:footer="432"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Aptos" w:hAnsi="Aptos" w:eastAsia="Aptos"/>
        <w:color w:val="66717C"/>
        <w:sz w:val="17"/>
      </w:rPr>
      <w:fldChar w:fldCharType="begin"/>
      <w:instrText xml:space="preserve"> PAGE </w:instrText>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4" w:lineRule="auto" w:after="120"/>
    </w:pPr>
    <w:rPr>
      <w:rFonts w:ascii="Aptos" w:hAnsi="Aptos" w:eastAsia="Aptos"/>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60" w:after="160"/>
      <w:outlineLvl w:val="0"/>
    </w:pPr>
    <w:rPr>
      <w:rFonts w:asciiTheme="majorHAnsi" w:eastAsiaTheme="majorEastAsia" w:hAnsiTheme="majorHAnsi" w:cstheme="majorBidi" w:ascii="Aptos Display" w:hAnsi="Aptos Display" w:eastAsia="Aptos Display"/>
      <w:b/>
      <w:bCs/>
      <w:color w:val="000000"/>
      <w:sz w:val="32"/>
      <w:szCs w:val="28"/>
    </w:rPr>
  </w:style>
  <w:style w:type="paragraph" w:styleId="Heading2">
    <w:name w:val="heading 2"/>
    <w:basedOn w:val="Normal"/>
    <w:next w:val="Normal"/>
    <w:link w:val="Heading2Char"/>
    <w:uiPriority w:val="9"/>
    <w:unhideWhenUsed/>
    <w:qFormat/>
    <w:rsid w:val="00FC693F"/>
    <w:pPr>
      <w:keepNext/>
      <w:keepLines/>
      <w:spacing w:before="260" w:after="100"/>
      <w:outlineLvl w:val="1"/>
    </w:pPr>
    <w:rPr>
      <w:rFonts w:asciiTheme="majorHAnsi" w:eastAsiaTheme="majorEastAsia" w:hAnsiTheme="majorHAnsi" w:cstheme="majorBidi" w:ascii="Aptos Display" w:hAnsi="Aptos Display" w:eastAsia="Aptos Display"/>
      <w:b/>
      <w:bCs/>
      <w:color w:val="000000"/>
      <w:sz w:val="25"/>
      <w:szCs w:val="26"/>
    </w:rPr>
  </w:style>
  <w:style w:type="paragraph" w:styleId="Heading3">
    <w:name w:val="heading 3"/>
    <w:basedOn w:val="Normal"/>
    <w:next w:val="Normal"/>
    <w:link w:val="Heading3Char"/>
    <w:uiPriority w:val="9"/>
    <w:unhideWhenUsed/>
    <w:qFormat/>
    <w:rsid w:val="00FC693F"/>
    <w:pPr>
      <w:keepNext/>
      <w:keepLines/>
      <w:spacing w:before="200" w:after="80"/>
      <w:outlineLvl w:val="2"/>
    </w:pPr>
    <w:rPr>
      <w:rFonts w:asciiTheme="majorHAnsi" w:eastAsiaTheme="majorEastAsia" w:hAnsiTheme="majorHAnsi" w:cstheme="majorBidi" w:ascii="Aptos Display" w:hAnsi="Aptos Display" w:eastAsia="Aptos Display"/>
      <w:b/>
      <w:bCs/>
      <w:color w:val="000000"/>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spacing w:after="300" w:line="240" w:lineRule="auto"/>
      <w:contextualSpacing/>
    </w:pPr>
    <w:rPr>
      <w:rFonts w:asciiTheme="majorHAnsi" w:eastAsiaTheme="majorEastAsia" w:hAnsiTheme="majorHAnsi" w:cstheme="majorBidi" w:ascii="Aptos Display" w:hAnsi="Aptos Display" w:eastAsia="Aptos Display"/>
      <w:b/>
      <w:color w:val="000000"/>
      <w:spacing w:val="5"/>
      <w:kern w:val="28"/>
      <w:sz w:val="5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CaptionSmall">
    <w:name w:val="Caption Small"/>
    <w:pPr>
      <w:spacing w:after="160"/>
    </w:pPr>
    <w:rPr>
      <w:rFonts w:ascii="Aptos" w:hAnsi="Aptos" w:eastAsia="Aptos"/>
      <w:i/>
      <w:color w:val="66717C"/>
      <w:sz w:val="17"/>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image" Target="media/image1.png"/><Relationship Id="rId11" Type="http://schemas.openxmlformats.org/officeDocument/2006/relationships/image" Target="media/image2.png"/><Relationship Id="rId12" Type="http://schemas.openxmlformats.org/officeDocument/2006/relationships/image" Target="media/image3.png"/><Relationship Id="rId13" Type="http://schemas.openxmlformats.org/officeDocument/2006/relationships/image" Target="media/image4.png"/><Relationship Id="rId14" Type="http://schemas.openxmlformats.org/officeDocument/2006/relationships/image" Target="media/image5.png"/><Relationship Id="rId15" Type="http://schemas.openxmlformats.org/officeDocument/2006/relationships/image" Target="media/image6.png"/><Relationship Id="rId16" Type="http://schemas.openxmlformats.org/officeDocument/2006/relationships/image" Target="media/image7.png"/><Relationship Id="rId17" Type="http://schemas.openxmlformats.org/officeDocument/2006/relationships/image" Target="media/image8.png"/><Relationship Id="rId18" Type="http://schemas.openxmlformats.org/officeDocument/2006/relationships/image" Target="media/image9.png"/><Relationship Id="rId19" Type="http://schemas.openxmlformats.org/officeDocument/2006/relationships/image" Target="media/image10.png"/><Relationship Id="rId20" Type="http://schemas.openxmlformats.org/officeDocument/2006/relationships/image" Target="media/image11.png"/><Relationship Id="rId21" Type="http://schemas.openxmlformats.org/officeDocument/2006/relationships/image" Target="media/image12.png"/><Relationship Id="rId22" Type="http://schemas.openxmlformats.org/officeDocument/2006/relationships/image" Target="media/image1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WRRA-M 0.3 Source Law Filter Selection</dc:title>
  <dc:subject>Existence Uniqueness Convergence and Stability in the Four Filter Sector</dc:subject>
  <dc:creator>Wonsik Choi</dc:creator>
  <cp:keywords>WRRA-M, Source, Law, cross-dimensional filter, selection gap, replicator dynamics, stability</cp:keywords>
  <dc:description>WRRA-M 0.3 conditional selection theorem</dc:description>
  <cp:lastModifiedBy/>
  <cp:revision>1</cp:revision>
  <dcterms:created xsi:type="dcterms:W3CDTF">2013-12-23T23:15:00Z</dcterms:created>
  <dcterms:modified xsi:type="dcterms:W3CDTF">2026-10-01T12:00:00Z</dcterms:modified>
  <cp:category/>
</cp:coreProperties>
</file>