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b4016bae728709ea40c6ade0ed4f9d53bab3d2e"/>
    <w:p>
      <w:pPr>
        <w:pStyle w:val="Title"/>
      </w:pPr>
      <w:r>
        <w:t xml:space="preserve">A Single Measurement in the WRRA M Integrated Model</w:t>
      </w:r>
    </w:p>
    <w:bookmarkStart w:id="20" w:name="X5d1dd159d77a779176b1b67c217144fd74ccc22"/>
    <w:p>
      <w:pPr>
        <w:pStyle w:val="Subtitle"/>
      </w:pPr>
      <w:r>
        <w:t xml:space="preserve">From address preparation to a finite record and homogeneous energy response</w:t>
      </w:r>
    </w:p>
    <w:p>
      <w:pPr>
        <w:pStyle w:val="FirstParagraph"/>
        <w:spacing w:after="80"/>
      </w:pPr>
      <w:r>
        <w:rPr>
          <w:sz w:val="19"/>
        </w:rPr>
        <w:t xml:space="preserve">Wonsik Choi and Jeongin Choi</w:t>
      </w:r>
    </w:p>
    <w:p>
      <w:pPr>
        <w:pStyle w:val="BodyText"/>
        <w:spacing w:after="80"/>
      </w:pPr>
      <w:r>
        <w:rPr>
          <w:sz w:val="19"/>
        </w:rPr>
        <w:t xml:space="preserve">Corresponding author Wonsik Choi · Independent researcher Seoul Republic of Korea</w:t>
      </w:r>
      <w:r>
        <w:rPr>
          <w:sz w:val="19"/>
        </w:rPr>
        <w:br/>
      </w:r>
      <w:r>
        <w:rPr>
          <w:sz w:val="19"/>
        </w:rPr>
        <w:t xml:space="preserve">janefather@gmail.com · ORCID 0009-0001-4263-9772</w:t>
      </w:r>
    </w:p>
    <w:p>
      <w:pPr>
        <w:pStyle w:val="BodyText"/>
        <w:spacing w:after="80"/>
      </w:pPr>
      <w:r>
        <w:rPr>
          <w:sz w:val="19"/>
        </w:rPr>
        <w:t xml:space="preserve">Review case 1.0 · 5 October 2026</w:t>
      </w:r>
      <w:r>
        <w:rPr>
          <w:sz w:val="19"/>
        </w:rPr>
        <w:br/>
      </w:r>
      <w:r>
        <w:rPr>
          <w:sz w:val="19"/>
        </w:rPr>
        <w:t xml:space="preserve">Companion to the integrated manuscript DOI 10.5281/zenodo.23126800 [1]</w:t>
      </w:r>
    </w:p>
    <w:bookmarkEnd w:id="20"/>
    <w:bookmarkEnd w:id="21"/>
    <w:bookmarkStart w:id="22" w:name="purpose-and-assessment"/>
    <w:p>
      <w:pPr>
        <w:pStyle w:val="Heading1"/>
      </w:pPr>
      <w:r>
        <w:t xml:space="preserve">1 Purpose and assessment</w:t>
      </w:r>
    </w:p>
    <w:p>
      <w:pPr>
        <w:pStyle w:val="FirstParagraph"/>
      </w:pPr>
      <w:r>
        <w:t xml:space="preserve">We give reviewers one executable case in the completed WRRA M integrated model. A finite address distribution prepares a proton internal state. An ideal write transfers its state and record costs to the same energy ledger used for homogeneous response.</w:t>
      </w:r>
    </w:p>
    <w:p>
      <w:pPr>
        <w:pStyle w:val="BodyText"/>
      </w:pPr>
      <w:r>
        <w:rPr>
          <w:bCs/>
          <w:b/>
        </w:rPr>
        <w:t xml:space="preserve">Verified inputs.</w:t>
      </w:r>
      <w:r>
        <w:t xml:space="preserve"> </w:t>
      </w:r>
      <w:r>
        <w:t xml:space="preserve">We retain the published address, internal Hamiltonian, constants and inherited energy calibration. The preparation strength, measurement basis, record gap, supply boundary and clock mapping are declared choices.</w:t>
      </w:r>
    </w:p>
    <w:p>
      <w:pPr>
        <w:pStyle w:val="BodyText"/>
      </w:pPr>
      <w:r>
        <w:rPr>
          <w:bCs/>
          <w:b/>
        </w:rPr>
        <w:t xml:space="preserve">WRRA transformation.</w:t>
      </w:r>
      <w:r>
        <w:t xml:space="preserve"> </w:t>
      </w:r>
      <w:r>
        <w:t xml:space="preserve">Address conditioning fixes an excited population. Its energy replaces the reference phenotype allocation. A supplier pays one write; the adopted volume law then gives pressure and deceleration from that energy.</w:t>
      </w:r>
    </w:p>
    <w:p>
      <w:pPr>
        <w:pStyle w:val="BodyText"/>
      </w:pPr>
      <w:r>
        <w:rPr>
          <w:bCs/>
          <w:b/>
        </w:rPr>
        <w:t xml:space="preserve">Outputs and falsifiers.</w:t>
      </w:r>
      <w:r>
        <w:t xml:space="preserve"> </w:t>
      </w:r>
      <w:r>
        <w:t xml:space="preserve">Baseline excitation is 34.4764357391 MeV. The mean supplier transfers 7.0378712840 × 10⁻¹² J and retains a positive balance. A failed state normalization, unmatched energy transfer, pressure derivative or proper-time transition rejects the corresponding connection.</w:t>
      </w:r>
    </w:p>
    <w:p>
      <w:pPr>
        <w:pStyle w:val="BodyText"/>
        <w:keepNext/>
      </w:pPr>
      <w:r>
        <w:rPr>
          <w:i w:val="0"/>
          <w:sz w:val="21"/>
        </w:rPr>
        <w:t xml:space="preserve">Table 1 Fixed case inputs and declared roles</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72"/>
      </w:tblGrid>
      <w:tr>
        <w:trPr>
          <w:tblHeader w:val="true"/>
          <w:cantSplit/>
          <w:tblHeader/>
        </w:trPr>
        <w:tc>
          <w:tcPr>
            <w:tcW w:type="dxa" w:w="2952"/>
            <w:tcMar>
              <w:top w:w="65" w:type="dxa"/>
              <w:bottom w:w="65" w:type="dxa"/>
              <w:left w:w="90" w:type="dxa"/>
              <w:right w:w="90" w:type="dxa"/>
            </w:tcMar>
            <w:shd w:fill="F0F0F0"/>
          </w:tcPr>
          <w:p>
            <w:pPr>
              <w:pStyle w:val="Compact"/>
              <w:spacing w:before="0" w:after="0" w:line="254" w:lineRule="auto"/>
              <w:jc w:val="left"/>
            </w:pPr>
            <w:r>
              <w:rPr>
                <w:b/>
                <w:sz w:val="21"/>
              </w:rPr>
              <w:t xml:space="preserve">Input</w:t>
            </w:r>
          </w:p>
        </w:tc>
        <w:tc>
          <w:tcPr>
            <w:tcW w:type="dxa" w:w="7272"/>
            <w:tcMar>
              <w:top w:w="65" w:type="dxa"/>
              <w:bottom w:w="65" w:type="dxa"/>
              <w:left w:w="90" w:type="dxa"/>
              <w:right w:w="90" w:type="dxa"/>
            </w:tcMar>
            <w:shd w:fill="F0F0F0"/>
          </w:tcPr>
          <w:p>
            <w:pPr>
              <w:pStyle w:val="Compact"/>
              <w:spacing w:before="0" w:after="0" w:line="254" w:lineRule="auto"/>
              <w:jc w:val="left"/>
            </w:pPr>
            <w:r>
              <w:rPr>
                <w:b/>
                <w:sz w:val="21"/>
              </w:rPr>
              <w:t xml:space="preserve">Value and role</w:t>
            </w:r>
          </w:p>
        </w:tc>
      </w:tr>
      <w:tr>
        <w:trPr>
          <w:cantSplit/>
        </w:trPr>
        <w:tc>
          <w:tcPr>
            <w:tcW w:type="dxa" w:w="2952"/>
            <w:tcMar>
              <w:top w:w="65" w:type="dxa"/>
              <w:bottom w:w="65" w:type="dxa"/>
              <w:left w:w="90" w:type="dxa"/>
              <w:right w:w="90" w:type="dxa"/>
            </w:tcMar>
          </w:tcPr>
          <w:p>
            <w:pPr>
              <w:pStyle w:val="Compact"/>
              <w:spacing w:before="0" w:after="0" w:line="254" w:lineRule="auto"/>
              <w:jc w:val="left"/>
            </w:pPr>
            <w:r>
              <w:rPr>
                <w:sz w:val="21"/>
              </w:rPr>
              <w:t xml:space="preserve">Address support</w:t>
            </w:r>
          </w:p>
        </w:tc>
        <w:tc>
          <w:tcPr>
            <w:tcW w:type="dxa" w:w="7272"/>
            <w:tcMar>
              <w:top w:w="65" w:type="dxa"/>
              <w:bottom w:w="65" w:type="dxa"/>
              <w:left w:w="90" w:type="dxa"/>
              <w:right w:w="90" w:type="dxa"/>
            </w:tcMar>
          </w:tcPr>
          <w:p>
            <w:pPr>
              <w:pStyle w:val="Compact"/>
              <w:spacing w:before="0" w:after="0" w:line="254" w:lineRule="auto"/>
              <w:jc w:val="left"/>
            </w:pPr>
            <m:oMath>
              <m:r>
                <m:t>2</m:t>
              </m:r>
              <m:r>
                <m:rPr>
                  <m:nor m:val="1"/>
                </m:rPr>
                <m:t>≤</m:t>
              </m:r>
              <m:r>
                <m:t>n</m:t>
              </m:r>
              <m:r>
                <m:rPr>
                  <m:nor m:val="1"/>
                </m:rPr>
                <m:t>≤</m:t>
              </m:r>
              <m:sSup>
                <m:e>
                  <m:r>
                    <m:t>10</m:t>
                  </m:r>
                </m:e>
                <m:sup>
                  <m:r>
                    <m:t>6</m:t>
                  </m:r>
                </m:sup>
              </m:sSup>
            </m:oMath>
            <w:r>
              <w:rPr>
                <w:sz w:val="21"/>
              </w:rPr>
              <w:t xml:space="preserve">; finite source labels</w:t>
            </w:r>
          </w:p>
        </w:tc>
      </w:tr>
      <w:tr>
        <w:trPr>
          <w:cantSplit/>
        </w:trPr>
        <w:tc>
          <w:tcPr>
            <w:tcW w:type="dxa" w:w="2952"/>
            <w:tcMar>
              <w:top w:w="65" w:type="dxa"/>
              <w:bottom w:w="65" w:type="dxa"/>
              <w:left w:w="90" w:type="dxa"/>
              <w:right w:w="90" w:type="dxa"/>
            </w:tcMar>
          </w:tcPr>
          <w:p>
            <w:pPr>
              <w:pStyle w:val="Compact"/>
              <w:spacing w:before="0" w:after="0" w:line="254" w:lineRule="auto"/>
              <w:jc w:val="left"/>
            </w:pPr>
            <w:r>
              <w:rPr>
                <w:sz w:val="21"/>
              </w:rPr>
              <w:t xml:space="preserve">Address parameters</w:t>
            </w:r>
          </w:p>
        </w:tc>
        <w:tc>
          <w:tcPr>
            <w:tcW w:type="dxa" w:w="7272"/>
            <w:tcMar>
              <w:top w:w="65" w:type="dxa"/>
              <w:bottom w:w="65" w:type="dxa"/>
              <w:left w:w="90" w:type="dxa"/>
              <w:right w:w="90" w:type="dxa"/>
            </w:tcMar>
          </w:tcPr>
          <w:p>
            <w:pPr>
              <w:pStyle w:val="Compact"/>
              <w:spacing w:before="0" w:after="0" w:line="254" w:lineRule="auto"/>
              <w:jc w:val="left"/>
            </w:pPr>
            <m:oMath>
              <m:r>
                <m:t>α</m:t>
              </m:r>
              <m:r>
                <m:rPr>
                  <m:nor m:val="1"/>
                </m:rPr>
                <m:t>=</m:t>
              </m:r>
              <m:r>
                <m:t>1.8996876950554356</m:t>
              </m:r>
            </m:oMath>
            <w:r>
              <w:rPr>
                <w:sz w:val="21"/>
              </w:rPr>
              <w:t xml:space="preserve">,</w:t>
            </w:r>
            <w:r>
              <w:rPr>
                <w:sz w:val="21"/>
              </w:rPr>
              <w:t xml:space="preserve"> </w:t>
            </w:r>
            <m:oMath>
              <m:r>
                <m:t>β</m:t>
              </m:r>
              <m:r>
                <m:rPr>
                  <m:nor m:val="1"/>
                </m:rPr>
                <m:t>=</m:t>
              </m:r>
              <m:r>
                <m:t>0.8654570124136961</m:t>
              </m:r>
            </m:oMath>
          </w:p>
        </w:tc>
      </w:tr>
      <w:tr>
        <w:trPr>
          <w:cantSplit/>
        </w:trPr>
        <w:tc>
          <w:tcPr>
            <w:tcW w:type="dxa" w:w="2952"/>
            <w:tcMar>
              <w:top w:w="65" w:type="dxa"/>
              <w:bottom w:w="65" w:type="dxa"/>
              <w:left w:w="90" w:type="dxa"/>
              <w:right w:w="90" w:type="dxa"/>
            </w:tcMar>
          </w:tcPr>
          <w:p>
            <w:pPr>
              <w:pStyle w:val="Compact"/>
              <w:spacing w:before="0" w:after="0" w:line="254" w:lineRule="auto"/>
              <w:jc w:val="left"/>
            </w:pPr>
            <w:r>
              <w:rPr>
                <w:sz w:val="21"/>
              </w:rPr>
              <w:t xml:space="preserve">Internal support</w:t>
            </w:r>
          </w:p>
        </w:tc>
        <w:tc>
          <w:tcPr>
            <w:tcW w:type="dxa" w:w="7272"/>
            <w:tcMar>
              <w:top w:w="65" w:type="dxa"/>
              <w:bottom w:w="65" w:type="dxa"/>
              <w:left w:w="90" w:type="dxa"/>
              <w:right w:w="90" w:type="dxa"/>
            </w:tcMar>
          </w:tcPr>
          <w:p>
            <w:pPr>
              <w:pStyle w:val="Compact"/>
              <w:spacing w:before="0" w:after="0" w:line="254" w:lineRule="auto"/>
              <w:jc w:val="left"/>
            </w:pPr>
            <w:r>
              <w:rPr>
                <w:sz w:val="21"/>
              </w:rPr>
              <w:t xml:space="preserve">Two inherited modes within the symmetric 95D space</w:t>
            </w:r>
          </w:p>
        </w:tc>
      </w:tr>
      <w:tr>
        <w:trPr>
          <w:cantSplit/>
        </w:trPr>
        <w:tc>
          <w:tcPr>
            <w:tcW w:type="dxa" w:w="2952"/>
            <w:tcMar>
              <w:top w:w="65" w:type="dxa"/>
              <w:bottom w:w="65" w:type="dxa"/>
              <w:left w:w="90" w:type="dxa"/>
              <w:right w:w="90" w:type="dxa"/>
            </w:tcMar>
          </w:tcPr>
          <w:p>
            <w:pPr>
              <w:pStyle w:val="Compact"/>
              <w:spacing w:before="0" w:after="0" w:line="254" w:lineRule="auto"/>
              <w:jc w:val="left"/>
            </w:pPr>
            <w:r>
              <w:rPr>
                <w:sz w:val="21"/>
              </w:rPr>
              <w:t xml:space="preserve">Preparation</w:t>
            </w:r>
          </w:p>
        </w:tc>
        <w:tc>
          <w:tcPr>
            <w:tcW w:type="dxa" w:w="7272"/>
            <w:tcMar>
              <w:top w:w="65" w:type="dxa"/>
              <w:bottom w:w="65" w:type="dxa"/>
              <w:left w:w="90" w:type="dxa"/>
              <w:right w:w="90" w:type="dxa"/>
            </w:tcMar>
          </w:tcPr>
          <w:p>
            <w:pPr>
              <w:pStyle w:val="Compact"/>
              <w:spacing w:before="0" w:after="0" w:line="254" w:lineRule="auto"/>
              <w:jc w:val="left"/>
            </w:pPr>
            <m:oMath>
              <m:sSub>
                <m:e>
                  <m:r>
                    <m:t>a</m:t>
                  </m:r>
                </m:e>
                <m:sub>
                  <m:r>
                    <m:t>p</m:t>
                  </m:r>
                </m:sub>
              </m:sSub>
              <m:r>
                <m:rPr>
                  <m:nor m:val="1"/>
                </m:rPr>
                <m:t>=</m:t>
              </m:r>
              <m:r>
                <m:t>0.2</m:t>
              </m:r>
            </m:oMath>
            <w:r>
              <w:rPr>
                <w:sz w:val="21"/>
              </w:rPr>
              <w:t xml:space="preserve">, selector prime 3, first excited mode</w:t>
            </w:r>
          </w:p>
        </w:tc>
      </w:tr>
      <w:tr>
        <w:trPr>
          <w:cantSplit/>
        </w:trPr>
        <w:tc>
          <w:tcPr>
            <w:tcW w:type="dxa" w:w="2952"/>
            <w:tcMar>
              <w:top w:w="65" w:type="dxa"/>
              <w:bottom w:w="65" w:type="dxa"/>
              <w:left w:w="90" w:type="dxa"/>
              <w:right w:w="90" w:type="dxa"/>
            </w:tcMar>
          </w:tcPr>
          <w:p>
            <w:pPr>
              <w:pStyle w:val="Compact"/>
              <w:spacing w:before="0" w:after="0" w:line="254" w:lineRule="auto"/>
              <w:jc w:val="left"/>
            </w:pPr>
            <w:r>
              <w:rPr>
                <w:sz w:val="21"/>
              </w:rPr>
              <w:t xml:space="preserve">Energy fractions</w:t>
            </w:r>
          </w:p>
        </w:tc>
        <w:tc>
          <w:tcPr>
            <w:tcW w:type="dxa" w:w="7272"/>
            <w:tcMar>
              <w:top w:w="65" w:type="dxa"/>
              <w:bottom w:w="65" w:type="dxa"/>
              <w:left w:w="90" w:type="dxa"/>
              <w:right w:w="90" w:type="dxa"/>
            </w:tcMar>
          </w:tcPr>
          <w:p>
            <w:pPr>
              <w:pStyle w:val="Compact"/>
              <w:spacing w:before="0" w:after="0" w:line="254" w:lineRule="auto"/>
              <w:jc w:val="left"/>
            </w:pPr>
            <m:oMath>
              <m:sSub>
                <m:e>
                  <m:r>
                    <m:t>f</m:t>
                  </m:r>
                </m:e>
                <m:sub>
                  <m:r>
                    <m:t>ϕ</m:t>
                  </m:r>
                </m:sub>
              </m:sSub>
              <m:r>
                <m:rPr>
                  <m:nor m:val="1"/>
                </m:rPr>
                <m:t>=</m:t>
              </m:r>
              <m:r>
                <m:t>0.0493</m:t>
              </m:r>
            </m:oMath>
            <w:r>
              <w:rPr>
                <w:sz w:val="21"/>
              </w:rPr>
              <w:t xml:space="preserve">,</w:t>
            </w:r>
            <w:r>
              <w:rPr>
                <w:sz w:val="21"/>
              </w:rPr>
              <w:t xml:space="preserve"> </w:t>
            </w:r>
            <m:oMath>
              <m:sSub>
                <m:e>
                  <m:r>
                    <m:t>f</m:t>
                  </m:r>
                </m:e>
                <m:sub>
                  <m:r>
                    <m:t>D</m:t>
                  </m:r>
                </m:sub>
              </m:sSub>
              <m:r>
                <m:rPr>
                  <m:nor m:val="1"/>
                </m:rPr>
                <m:t>=</m:t>
              </m:r>
              <m:r>
                <m:t>0.265</m:t>
              </m:r>
            </m:oMath>
            <w:r>
              <w:rPr>
                <w:sz w:val="21"/>
              </w:rPr>
              <w:t xml:space="preserve">,</w:t>
            </w:r>
            <w:r>
              <w:rPr>
                <w:sz w:val="21"/>
              </w:rPr>
              <w:t xml:space="preserve"> </w:t>
            </w:r>
            <m:oMath>
              <m:sSub>
                <m:e>
                  <m:r>
                    <m:t>f</m:t>
                  </m:r>
                </m:e>
                <m:sub>
                  <m:r>
                    <m:t>R</m:t>
                  </m:r>
                </m:sub>
              </m:sSub>
              <m:r>
                <m:rPr>
                  <m:nor m:val="1"/>
                </m:rPr>
                <m:t>=</m:t>
              </m:r>
              <m:r>
                <m:t>0.6857</m:t>
              </m:r>
            </m:oMath>
          </w:p>
        </w:tc>
      </w:tr>
      <w:tr>
        <w:trPr>
          <w:cantSplit/>
        </w:trPr>
        <w:tc>
          <w:tcPr>
            <w:tcW w:type="dxa" w:w="2952"/>
            <w:tcMar>
              <w:top w:w="65" w:type="dxa"/>
              <w:bottom w:w="65" w:type="dxa"/>
              <w:left w:w="90" w:type="dxa"/>
              <w:right w:w="90" w:type="dxa"/>
            </w:tcMar>
          </w:tcPr>
          <w:p>
            <w:pPr>
              <w:pStyle w:val="Compact"/>
              <w:spacing w:before="0" w:after="0" w:line="254" w:lineRule="auto"/>
              <w:jc w:val="left"/>
            </w:pPr>
            <w:r>
              <w:rPr>
                <w:sz w:val="21"/>
              </w:rPr>
              <w:t xml:space="preserve">Reference density and volume</w:t>
            </w:r>
          </w:p>
        </w:tc>
        <w:tc>
          <w:tcPr>
            <w:tcW w:type="dxa" w:w="7272"/>
            <w:tcMar>
              <w:top w:w="65" w:type="dxa"/>
              <w:bottom w:w="65" w:type="dxa"/>
              <w:left w:w="90" w:type="dxa"/>
              <w:right w:w="90" w:type="dxa"/>
            </w:tcMar>
          </w:tcPr>
          <w:p>
            <w:pPr>
              <w:pStyle w:val="Compact"/>
              <w:spacing w:before="0" w:after="0" w:line="254" w:lineRule="auto"/>
              <w:jc w:val="left"/>
            </w:pPr>
            <m:oMath>
              <m:sSub>
                <m:e>
                  <m:r>
                    <m:t>u</m:t>
                  </m:r>
                </m:e>
                <m:sub>
                  <m:r>
                    <m:t>0</m:t>
                  </m:r>
                </m:sub>
              </m:sSub>
              <m:r>
                <m:rPr>
                  <m:nor m:val="1"/>
                </m:rPr>
                <m:t>=</m:t>
              </m:r>
              <m:r>
                <m:t>7.6689477678</m:t>
              </m:r>
              <m:r>
                <m:rPr>
                  <m:nor m:val="1"/>
                </m:rPr>
                <m:t>×</m:t>
              </m:r>
              <m:sSup>
                <m:e>
                  <m:r>
                    <m:t>10</m:t>
                  </m:r>
                </m:e>
                <m:sup>
                  <m:r>
                    <m:rPr>
                      <m:nor m:val="1"/>
                    </m:rPr>
                    <m:t>−</m:t>
                  </m:r>
                  <m:r>
                    <m:t>10</m:t>
                  </m:r>
                </m:sup>
              </m:sSup>
              <m:r>
                <m:t> </m:t>
              </m:r>
              <m:r>
                <m:rPr>
                  <m:nor m:val="1"/>
                </m:rPr>
                <m:t>J</m:t>
              </m:r>
              <m:r>
                <m:rPr>
                  <m:nor m:val="1"/>
                </m:rPr>
                <m:t> </m:t>
              </m:r>
              <m:sSup>
                <m:e>
                  <m:r>
                    <m:rPr>
                      <m:nor m:val="1"/>
                    </m:rPr>
                    <m:t>m</m:t>
                  </m:r>
                </m:e>
                <m:sup>
                  <m:r>
                    <m:rPr>
                      <m:nor m:val="1"/>
                    </m:rPr>
                    <m:t>−</m:t>
                  </m:r>
                  <m:r>
                    <m:rPr>
                      <m:nor m:val="1"/>
                    </m:rPr>
                    <m:t>3</m:t>
                  </m:r>
                </m:sup>
              </m:sSup>
            </m:oMath>
            <w:r>
              <w:rPr>
                <w:sz w:val="21"/>
              </w:rPr>
              <w:t xml:space="preserve">,</w:t>
            </w:r>
            <w:r>
              <w:rPr>
                <w:sz w:val="21"/>
              </w:rPr>
              <w:t xml:space="preserve"> </w:t>
            </w:r>
            <m:oMath>
              <m:sSub>
                <m:e>
                  <m:r>
                    <m:t>V</m:t>
                  </m:r>
                </m:e>
                <m:sub>
                  <m:r>
                    <m:t>0</m:t>
                  </m:r>
                </m:sub>
              </m:sSub>
              <m:r>
                <m:rPr>
                  <m:nor m:val="1"/>
                </m:rPr>
                <m:t>=</m:t>
              </m:r>
              <m:r>
                <m:t>1</m:t>
              </m:r>
              <m:r>
                <m:t> </m:t>
              </m:r>
              <m:sSup>
                <m:e>
                  <m:r>
                    <m:rPr>
                      <m:nor m:val="1"/>
                    </m:rPr>
                    <m:t>m</m:t>
                  </m:r>
                </m:e>
                <m:sup>
                  <m:r>
                    <m:rPr>
                      <m:nor m:val="1"/>
                    </m:rPr>
                    <m:t>3</m:t>
                  </m:r>
                </m:sup>
              </m:sSup>
            </m:oMath>
          </w:p>
        </w:tc>
      </w:tr>
    </w:tbl>
    <w:p>
      <w:pPr>
        <w:pStyle w:val="BodyText"/>
      </w:pPr>
      <w:r>
        <w:t xml:space="preserve">We distinguish the individual write and controller from the expected-occupancy ledger.</w:t>
      </w:r>
      <w:r>
        <w:t xml:space="preserve"> </w:t>
      </w:r>
      <m:oMath>
        <m:r>
          <m:t>D</m:t>
        </m:r>
      </m:oMath>
      <w:r>
        <w:t xml:space="preserve"> </w:t>
      </w:r>
      <w:r>
        <w:t xml:space="preserve">is the nonphenotypic resident sector. Prime-parts assembly rules are not used.</w:t>
      </w:r>
    </w:p>
    <w:p>
      <w:pPr>
        <w:pStyle w:val="BodyText"/>
        <w:spacing w:before="0" w:after="0" w:line="240" w:lineRule="auto"/>
      </w:pPr>
      <w:r>
        <w:br w:type="page"/>
      </w:r>
    </w:p>
    <w:bookmarkEnd w:id="22"/>
    <w:bookmarkStart w:id="23" w:name="Xfd9e681a95eba5d3d09d24894bf1c75f0dee376"/>
    <w:p>
      <w:pPr>
        <w:pStyle w:val="Heading1"/>
      </w:pPr>
      <w:r>
        <w:t xml:space="preserve">2 Address conditioning and reference energy</w:t>
      </w:r>
    </w:p>
    <w:p>
      <w:pPr>
        <w:pStyle w:val="FirstParagraph"/>
      </w:pPr>
      <w:r>
        <w:t xml:space="preserve">Within the admitted phenotype branch, normalize the address weights as</w:t>
      </w:r>
      <w:r>
        <w:t xml:space="preserve"> </w:t>
      </w:r>
      <m:oMath>
        <m:sSub>
          <m:e>
            <m:r>
              <m:t>w</m:t>
            </m:r>
          </m:e>
          <m:sub>
            <m:r>
              <m:t>n</m:t>
            </m:r>
          </m:sub>
        </m:sSub>
        <m:r>
          <m:rPr>
            <m:nor m:val="1"/>
          </m:rPr>
          <m:t>=</m:t>
        </m:r>
        <m:sSup>
          <m:e>
            <m:r>
              <m:rPr>
                <m:nor m:val="1"/>
              </m:rPr>
              <m:t>|</m:t>
            </m:r>
            <m:sSub>
              <m:e>
                <m:r>
                  <m:t>ϕ</m:t>
                </m:r>
              </m:e>
              <m:sub>
                <m:r>
                  <m:t>n</m:t>
                </m:r>
              </m:sub>
            </m:sSub>
            <m:r>
              <m:rPr>
                <m:nor m:val="1"/>
              </m:rPr>
              <m:t>|</m:t>
            </m:r>
          </m:e>
          <m:sup>
            <m:r>
              <m:t>2</m:t>
            </m:r>
          </m:sup>
        </m:sSup>
        <m:r>
          <m:rPr>
            <m:nor m:val="1"/>
          </m:rPr>
          <m:t>/</m:t>
        </m:r>
        <m:nary>
          <m:naryPr>
            <m:chr m:val="∑"/>
            <m:limLoc m:val="undOvr"/>
            <m:subHide m:val="off"/>
            <m:supHide m:val="on"/>
          </m:naryPr>
          <m:sub>
            <m:r>
              <m:t>m</m:t>
            </m:r>
          </m:sub>
          <m:sup>
            <m:r>
              <m:t>​</m:t>
            </m:r>
          </m:sup>
          <m:e>
            <m:sSup>
              <m:e>
                <m:r>
                  <m:rPr>
                    <m:nor m:val="1"/>
                  </m:rPr>
                  <m:t>|</m:t>
                </m:r>
                <m:sSub>
                  <m:e>
                    <m:r>
                      <m:t>ϕ</m:t>
                    </m:r>
                  </m:e>
                  <m:sub>
                    <m:r>
                      <m:t>m</m:t>
                    </m:r>
                  </m:sub>
                </m:sSub>
                <m:r>
                  <m:rPr>
                    <m:nor m:val="1"/>
                  </m:rPr>
                  <m:t>|</m:t>
                </m:r>
              </m:e>
              <m:sup>
                <m:r>
                  <m:t>2</m:t>
                </m:r>
              </m:sup>
            </m:sSup>
          </m:e>
        </m:nary>
      </m:oMath>
      <w:r>
        <w:t xml:space="preserve">. Let</w:t>
      </w:r>
      <w:r>
        <w:t xml:space="preserve"> </w:t>
      </w:r>
      <m:oMath>
        <m:sSub>
          <m:e>
            <m:r>
              <m:t>ν</m:t>
            </m:r>
          </m:e>
          <m:sub>
            <m:r>
              <m:t>3</m:t>
            </m:r>
          </m:sub>
        </m:sSub>
        <m:d>
          <m:dPr>
            <m:begChr m:val="("/>
            <m:endChr m:val=")"/>
            <m:sepChr m:val=""/>
            <m:grow/>
          </m:dPr>
          <m:e>
            <m:r>
              <m:t>n</m:t>
            </m:r>
          </m:e>
        </m:d>
      </m:oMath>
      <w:r>
        <w:t xml:space="preserve"> </w:t>
      </w:r>
      <w:r>
        <w:t xml:space="preserve">count the factors of 3 in address</w:t>
      </w:r>
      <w:r>
        <w:t xml:space="preserve"> </w:t>
      </w:r>
      <m:oMath>
        <m:r>
          <m:t>n</m:t>
        </m:r>
      </m:oMath>
      <w:r>
        <w:t xml:space="preserve">, and let</w:t>
      </w:r>
      <w:r>
        <w:t xml:space="preserve"> </w:t>
      </w:r>
      <m:oMath>
        <m:sSub>
          <m:e>
            <m:r>
              <m:t>χ</m:t>
            </m:r>
          </m:e>
          <m:sub>
            <m:r>
              <m:t>n</m:t>
            </m:r>
          </m:sub>
        </m:sSub>
        <m:r>
          <m:rPr>
            <m:nor m:val="1"/>
          </m:rPr>
          <m:t>=</m:t>
        </m:r>
        <m:r>
          <m:t>1</m:t>
        </m:r>
      </m:oMath>
      <w:r>
        <w:t xml:space="preserve"> </w:t>
      </w:r>
      <w:r>
        <w:t xml:space="preserve">when that count is odd. The original address computation yields</w:t>
      </w:r>
    </w:p>
    <w:p>
      <w:pPr>
        <w:pStyle w:val="BodyText"/>
        <w:spacing w:before="40" w:after="160" w:line="252" w:lineRule="auto"/>
      </w:pPr>
      <m:oMathPara>
        <m:oMathParaPr>
          <m:jc m:val="center"/>
        </m:oMathParaPr>
        <m:oMath>
          <m:sSub>
            <m:e>
              <m:r>
                <m:t>t</m:t>
              </m:r>
            </m:e>
            <m:sub>
              <m:r>
                <m:t>3</m:t>
              </m:r>
            </m:sub>
          </m:sSub>
          <m:r>
            <m:rPr>
              <m:nor m:val="1"/>
            </m:rPr>
            <m:t>=</m:t>
          </m:r>
          <m:nary>
            <m:naryPr>
              <m:chr m:val="∑"/>
              <m:limLoc m:val="undOvr"/>
              <m:subHide m:val="off"/>
              <m:supHide m:val="on"/>
            </m:naryPr>
            <m:sub>
              <m:r>
                <m:t>n</m:t>
              </m:r>
            </m:sub>
            <m:sup>
              <m:r>
                <m:t>​</m:t>
              </m:r>
            </m:sup>
            <m:e>
              <m:sSub>
                <m:e>
                  <m:r>
                    <m:t>w</m:t>
                  </m:r>
                </m:e>
                <m:sub>
                  <m:r>
                    <m:t>n</m:t>
                  </m:r>
                </m:sub>
              </m:sSub>
            </m:e>
          </m:nary>
          <m:sSub>
            <m:e>
              <m:r>
                <m:t>χ</m:t>
              </m:r>
            </m:e>
            <m:sub>
              <m:r>
                <m:t>n</m:t>
              </m:r>
            </m:sub>
          </m:sSub>
          <m:r>
            <m:rPr>
              <m:nor m:val="1"/>
            </m:rPr>
            <m:t>=</m:t>
          </m:r>
          <m:r>
            <m:t>0.3998832725128894</m:t>
          </m:r>
          <m:r>
            <m:rPr>
              <m:nor m:val="1"/>
            </m:rPr>
            <m:t>,</m:t>
          </m:r>
          <m:r>
            <m:t>  </m:t>
          </m:r>
          <m:sSub>
            <m:e>
              <m:r>
                <m:t>p</m:t>
              </m:r>
            </m:e>
            <m:sub>
              <m:r>
                <m:t>e</m:t>
              </m:r>
            </m:sub>
          </m:sSub>
          <m:r>
            <m:rPr>
              <m:nor m:val="1"/>
            </m:rPr>
            <m:t>=</m:t>
          </m:r>
          <m:sSub>
            <m:e>
              <m:r>
                <m:t>a</m:t>
              </m:r>
            </m:e>
            <m:sub>
              <m:r>
                <m:t>p</m:t>
              </m:r>
            </m:sub>
          </m:sSub>
          <m:sSub>
            <m:e>
              <m:r>
                <m:t>t</m:t>
              </m:r>
            </m:e>
            <m:sub>
              <m:r>
                <m:t>3</m:t>
              </m:r>
            </m:sub>
          </m:sSub>
          <m:r>
            <m:rPr>
              <m:nor m:val="1"/>
            </m:rPr>
            <m:t>=</m:t>
          </m:r>
          <m:r>
            <m:t>0.07997665450257789</m:t>
          </m:r>
          <m:r>
            <m:rPr>
              <m:nor m:val="1"/>
            </m:rPr>
            <m:t>.</m:t>
          </m:r>
        </m:oMath>
      </m:oMathPara>
    </w:p>
    <w:p>
      <w:pPr>
        <w:pStyle w:val="FirstParagraph"/>
      </w:pPr>
      <w:r>
        <w:t xml:space="preserve">The two selected modes</w:t>
      </w:r>
      <w:r>
        <w:t xml:space="preserve"> </w:t>
      </w:r>
      <m:oMath>
        <m:r>
          <m:rPr>
            <m:nor m:val="1"/>
          </m:rPr>
          <m:t>|</m:t>
        </m:r>
        <m:r>
          <m:t>g</m:t>
        </m:r>
        <m:r>
          <m:rPr>
            <m:nor m:val="1"/>
          </m:rPr>
          <m:t>⟩</m:t>
        </m:r>
      </m:oMath>
      <w:r>
        <w:t xml:space="preserve"> </w:t>
      </w:r>
      <w:r>
        <w:t xml:space="preserve">and</w:t>
      </w:r>
      <w:r>
        <w:t xml:space="preserve"> </w:t>
      </w:r>
      <m:oMath>
        <m:r>
          <m:rPr>
            <m:nor m:val="1"/>
          </m:rPr>
          <m:t>|</m:t>
        </m:r>
        <m:r>
          <m:t>e</m:t>
        </m:r>
        <m:r>
          <m:rPr>
            <m:nor m:val="1"/>
          </m:rPr>
          <m:t>⟩</m:t>
        </m:r>
      </m:oMath>
      <w:r>
        <w:t xml:space="preserve"> </w:t>
      </w:r>
      <w:r>
        <w:t xml:space="preserve">belong to the same inherited Hamiltonian</w:t>
      </w:r>
      <w:r>
        <w:t xml:space="preserve"> </w:t>
      </w:r>
      <m:oMath>
        <m:r>
          <m:t>H</m:t>
        </m:r>
      </m:oMath>
      <w:r>
        <w:t xml:space="preserve">. We prepare the address-dephased internal mixture</w:t>
      </w:r>
    </w:p>
    <w:p>
      <w:pPr>
        <w:pStyle w:val="BodyText"/>
        <w:spacing w:before="40" w:after="160" w:line="252" w:lineRule="auto"/>
      </w:pPr>
      <m:oMathPara>
        <m:oMathParaPr>
          <m:jc m:val="center"/>
        </m:oMathParaPr>
        <m:oMath>
          <m:sSub>
            <m:e>
              <m:r>
                <m:t>ρ</m:t>
              </m:r>
            </m:e>
            <m:sub>
              <m:r>
                <m:t>0</m:t>
              </m:r>
            </m:sub>
          </m:sSub>
          <m:r>
            <m:rPr>
              <m:nor m:val="1"/>
            </m:rPr>
            <m:t>=</m:t>
          </m:r>
          <m:d>
            <m:dPr>
              <m:begChr m:val="("/>
              <m:endChr m:val=")"/>
              <m:sepChr m:val=""/>
              <m:grow/>
            </m:dPr>
            <m:e>
              <m:r>
                <m:t>1</m:t>
              </m:r>
              <m:r>
                <m:rPr>
                  <m:nor m:val="1"/>
                </m:rPr>
                <m:t>−</m:t>
              </m:r>
              <m:sSub>
                <m:e>
                  <m:r>
                    <m:t>p</m:t>
                  </m:r>
                </m:e>
                <m:sub>
                  <m:r>
                    <m:t>e</m:t>
                  </m:r>
                </m:sub>
              </m:sSub>
            </m:e>
          </m:d>
          <m:r>
            <m:rPr>
              <m:nor m:val="1"/>
            </m:rPr>
            <m:t>|</m:t>
          </m:r>
          <m:r>
            <m:t>g</m:t>
          </m:r>
          <m:r>
            <m:rPr>
              <m:nor m:val="1"/>
            </m:rPr>
            <m:t>⟩</m:t>
          </m:r>
          <m:r>
            <m:rPr>
              <m:nor m:val="1"/>
            </m:rPr>
            <m:t>⟨</m:t>
          </m:r>
          <m:r>
            <m:t>g</m:t>
          </m:r>
          <m:r>
            <m:rPr>
              <m:nor m:val="1"/>
            </m:rPr>
            <m:t>|</m:t>
          </m:r>
          <m:r>
            <m:rPr>
              <m:nor m:val="1"/>
            </m:rPr>
            <m:t>+</m:t>
          </m:r>
          <m:sSub>
            <m:e>
              <m:r>
                <m:t>p</m:t>
              </m:r>
            </m:e>
            <m:sub>
              <m:r>
                <m:t>e</m:t>
              </m:r>
            </m:sub>
          </m:sSub>
          <m:r>
            <m:rPr>
              <m:nor m:val="1"/>
            </m:rPr>
            <m:t>|</m:t>
          </m:r>
          <m:r>
            <m:t>e</m:t>
          </m:r>
          <m:r>
            <m:rPr>
              <m:nor m:val="1"/>
            </m:rPr>
            <m:t>⟩</m:t>
          </m:r>
          <m:r>
            <m:rPr>
              <m:nor m:val="1"/>
            </m:rPr>
            <m:t>⟨</m:t>
          </m:r>
          <m:r>
            <m:t>e</m:t>
          </m:r>
          <m:r>
            <m:rPr>
              <m:nor m:val="1"/>
            </m:rPr>
            <m:t>|</m:t>
          </m:r>
          <m:r>
            <m:rPr>
              <m:nor m:val="1"/>
            </m:rPr>
            <m:t>,</m:t>
          </m:r>
          <m:r>
            <m:t>  </m:t>
          </m:r>
          <m:r>
            <m:t>Δ</m:t>
          </m:r>
          <m:r>
            <m:t>E</m:t>
          </m:r>
          <m:r>
            <m:rPr>
              <m:nor m:val="1"/>
            </m:rPr>
            <m:t>=</m:t>
          </m:r>
          <m:r>
            <m:t>431.0812443150</m:t>
          </m:r>
          <m:r>
            <m:t> </m:t>
          </m:r>
          <m:r>
            <m:rPr>
              <m:nor m:val="1"/>
            </m:rPr>
            <m:t>MeV</m:t>
          </m:r>
          <m:r>
            <m:rPr>
              <m:nor m:val="1"/>
            </m:rPr>
            <m:t>.</m:t>
          </m:r>
        </m:oMath>
      </m:oMathPara>
    </w:p>
    <w:p>
      <w:pPr>
        <w:pStyle w:val="FirstParagraph"/>
      </w:pPr>
      <w:r>
        <w:t xml:space="preserve">Here</w:t>
      </w:r>
      <w:r>
        <w:t xml:space="preserve"> </w:t>
      </w:r>
      <m:oMath>
        <m:r>
          <m:t>Δ</m:t>
        </m:r>
        <m:r>
          <m:t>E</m:t>
        </m:r>
      </m:oMath>
      <w:r>
        <w:t xml:space="preserve"> </w:t>
      </w:r>
      <w:r>
        <w:t xml:space="preserve">is the first selected gap of the full 95D generator. Its two-mode subspace is invariant under that generator; it is not an unrelated replacement Hamiltonian. Thus</w:t>
      </w:r>
      <w:r>
        <w:t xml:space="preserve"> </w:t>
      </w:r>
      <m:oMath>
        <m:r>
          <m:rPr>
            <m:nor m:val="1"/>
          </m:rPr>
          <m:t>Tr</m:t>
        </m:r>
        <m:d>
          <m:dPr>
            <m:begChr m:val="("/>
            <m:endChr m:val=")"/>
            <m:sepChr m:val=""/>
            <m:grow/>
          </m:dPr>
          <m:e>
            <m:sSub>
              <m:e>
                <m:r>
                  <m:t>ρ</m:t>
                </m:r>
              </m:e>
              <m:sub>
                <m:r>
                  <m:t>0</m:t>
                </m:r>
              </m:sub>
            </m:sSub>
            <m:r>
              <m:t>H</m:t>
            </m:r>
          </m:e>
        </m:d>
        <m:r>
          <m:rPr>
            <m:nor m:val="1"/>
          </m:rPr>
          <m:t>−</m:t>
        </m:r>
        <m:sSub>
          <m:e>
            <m:r>
              <m:t>E</m:t>
            </m:r>
          </m:e>
          <m:sub>
            <m:r>
              <m:t>g</m:t>
            </m:r>
          </m:sub>
        </m:sSub>
        <m:r>
          <m:rPr>
            <m:nor m:val="1"/>
          </m:rPr>
          <m:t>=</m:t>
        </m:r>
        <m:sSub>
          <m:e>
            <m:r>
              <m:t>p</m:t>
            </m:r>
          </m:e>
          <m:sub>
            <m:r>
              <m:t>e</m:t>
            </m:r>
          </m:sub>
        </m:sSub>
        <m:r>
          <m:t>Δ</m:t>
        </m:r>
        <m:r>
          <m:t>E</m:t>
        </m:r>
        <m:r>
          <m:rPr>
            <m:nor m:val="1"/>
          </m:rPr>
          <m:t>=</m:t>
        </m:r>
        <m:r>
          <m:t>34.47643573912226</m:t>
        </m:r>
        <m:r>
          <m:t> </m:t>
        </m:r>
        <m:r>
          <m:rPr>
            <m:nor m:val="1"/>
          </m:rPr>
          <m:t>MeV</m:t>
        </m:r>
      </m:oMath>
      <w:r>
        <w:t xml:space="preserve">.</w:t>
      </w:r>
    </w:p>
    <w:p>
      <w:pPr>
        <w:pStyle w:val="BodyText"/>
      </w:pPr>
      <w:r>
        <w:rPr>
          <w:bCs/>
          <w:b/>
        </w:rPr>
        <w:t xml:space="preserve">Reference matching.</w:t>
      </w:r>
      <w:r>
        <w:t xml:space="preserve"> </w:t>
      </w:r>
      <w:r>
        <w:t xml:space="preserve">We adopt the inherited pure-proton illustration at</w:t>
      </w:r>
      <w:r>
        <w:t xml:space="preserve"> </w:t>
      </w:r>
      <m:oMath>
        <m:sSub>
          <m:e>
            <m:r>
              <m:t>V</m:t>
            </m:r>
          </m:e>
          <m:sub>
            <m:r>
              <m:t>0</m:t>
            </m:r>
          </m:sub>
        </m:sSub>
      </m:oMath>
      <w:r>
        <w:t xml:space="preserve">. The exact conversion is</w:t>
      </w:r>
      <w:r>
        <w:t xml:space="preserve"> </w:t>
      </w:r>
      <m:oMath>
        <m:r>
          <m:t>1</m:t>
        </m:r>
        <m:r>
          <m:t> </m:t>
        </m:r>
        <m:r>
          <m:rPr>
            <m:nor m:val="1"/>
          </m:rPr>
          <m:t>MeV</m:t>
        </m:r>
        <m:r>
          <m:rPr>
            <m:nor m:val="1"/>
          </m:rPr>
          <m:t>=</m:t>
        </m:r>
        <m:r>
          <m:t>1.602176634</m:t>
        </m:r>
        <m:r>
          <m:rPr>
            <m:nor m:val="1"/>
          </m:rPr>
          <m:t>×</m:t>
        </m:r>
        <m:sSup>
          <m:e>
            <m:r>
              <m:t>10</m:t>
            </m:r>
          </m:e>
          <m:sup>
            <m:r>
              <m:rPr>
                <m:nor m:val="1"/>
              </m:rPr>
              <m:t>−</m:t>
            </m:r>
            <m:r>
              <m:t>13</m:t>
            </m:r>
          </m:sup>
        </m:sSup>
        <m:r>
          <m:t> </m:t>
        </m:r>
        <m:r>
          <m:rPr>
            <m:nor m:val="1"/>
          </m:rPr>
          <m:t>J</m:t>
        </m:r>
      </m:oMath>
      <w:r>
        <w:t xml:space="preserve">. Set</w:t>
      </w:r>
    </w:p>
    <w:p>
      <w:pPr>
        <w:pStyle w:val="BodyText"/>
        <w:spacing w:before="40" w:after="160" w:line="252" w:lineRule="auto"/>
      </w:pPr>
      <m:oMathPara>
        <m:oMathParaPr>
          <m:jc m:val="center"/>
        </m:oMathParaPr>
        <m:oMath>
          <m:bar>
            <m:barPr>
              <m:pos m:val="top"/>
            </m:barPr>
            <m:e>
              <m:r>
                <m:t>N</m:t>
              </m:r>
            </m:e>
          </m:bar>
          <m:r>
            <m:rPr>
              <m:nor m:val="1"/>
            </m:rPr>
            <m:t>=</m:t>
          </m:r>
          <m:f>
            <m:fPr>
              <m:type m:val="bar"/>
            </m:fPr>
            <m:num>
              <m:sSub>
                <m:e>
                  <m:r>
                    <m:t>E</m:t>
                  </m:r>
                </m:e>
                <m:sub>
                  <m:r>
                    <m:t>ϕ</m:t>
                  </m:r>
                  <m:r>
                    <m:rPr>
                      <m:nor m:val="1"/>
                    </m:rPr>
                    <m:t>,</m:t>
                  </m:r>
                  <m:r>
                    <m:rPr>
                      <m:nor m:val="1"/>
                    </m:rPr>
                    <m:t>ref</m:t>
                  </m:r>
                </m:sub>
              </m:sSub>
            </m:num>
            <m:den>
              <m:sSub>
                <m:e>
                  <m:r>
                    <m:t>E</m:t>
                  </m:r>
                </m:e>
                <m:sub>
                  <m:r>
                    <m:t>p</m:t>
                  </m:r>
                  <m:r>
                    <m:rPr>
                      <m:nor m:val="1"/>
                    </m:rPr>
                    <m:t>,</m:t>
                  </m:r>
                  <m:r>
                    <m:rPr>
                      <m:nor m:val="1"/>
                    </m:rPr>
                    <m:t>rest</m:t>
                  </m:r>
                </m:sub>
              </m:sSub>
              <m:r>
                <m:rPr>
                  <m:nor m:val="1"/>
                </m:rPr>
                <m:t>+</m:t>
              </m:r>
              <m:sSub>
                <m:e>
                  <m:r>
                    <m:t>p</m:t>
                  </m:r>
                </m:e>
                <m:sub>
                  <m:r>
                    <m:t>e</m:t>
                  </m:r>
                </m:sub>
              </m:sSub>
              <m:r>
                <m:t>Δ</m:t>
              </m:r>
              <m:r>
                <m:t>E</m:t>
              </m:r>
            </m:den>
          </m:f>
          <m:r>
            <m:rPr>
              <m:nor m:val="1"/>
            </m:rPr>
            <m:t>=</m:t>
          </m:r>
          <m:r>
            <m:t>0.2425893463937076</m:t>
          </m:r>
          <m:r>
            <m:rPr>
              <m:nor m:val="1"/>
            </m:rPr>
            <m:t>,</m:t>
          </m:r>
          <m:r>
            <m:t>  </m:t>
          </m:r>
          <m:sSub>
            <m:e>
              <m:r>
                <m:t>E</m:t>
              </m:r>
            </m:e>
            <m:sub>
              <m:r>
                <m:t>ϕ</m:t>
              </m:r>
              <m:r>
                <m:rPr>
                  <m:nor m:val="1"/>
                </m:rPr>
                <m:t>,</m:t>
              </m:r>
              <m:r>
                <m:rPr>
                  <m:nor m:val="1"/>
                </m:rPr>
                <m:t>ref</m:t>
              </m:r>
            </m:sub>
          </m:sSub>
          <m:r>
            <m:rPr>
              <m:nor m:val="1"/>
            </m:rPr>
            <m:t>=</m:t>
          </m:r>
          <m:sSub>
            <m:e>
              <m:r>
                <m:t>f</m:t>
              </m:r>
            </m:e>
            <m:sub>
              <m:r>
                <m:t>ϕ</m:t>
              </m:r>
            </m:sub>
          </m:sSub>
          <m:sSub>
            <m:e>
              <m:r>
                <m:t>u</m:t>
              </m:r>
            </m:e>
            <m:sub>
              <m:r>
                <m:t>0</m:t>
              </m:r>
            </m:sub>
          </m:sSub>
          <m:sSub>
            <m:e>
              <m:r>
                <m:t>V</m:t>
              </m:r>
            </m:e>
            <m:sub>
              <m:r>
                <m:t>0</m:t>
              </m:r>
            </m:sub>
          </m:sSub>
          <m:r>
            <m:rPr>
              <m:nor m:val="1"/>
            </m:rPr>
            <m:t>.</m:t>
          </m:r>
        </m:oMath>
      </m:oMathPara>
    </w:p>
    <w:p>
      <w:pPr>
        <w:pStyle w:val="FirstParagraph"/>
      </w:pPr>
      <w:r>
        <w:t xml:space="preserve">Both denominator terms are expressed in J before evaluation.</w:t>
      </w:r>
      <w:r>
        <w:t xml:space="preserve"> </w:t>
      </w:r>
      <m:oMath>
        <m:bar>
          <m:barPr>
            <m:pos m:val="top"/>
          </m:barPr>
          <m:e>
            <m:r>
              <m:t>N</m:t>
            </m:r>
          </m:e>
        </m:bar>
      </m:oMath>
      <w:r>
        <w:t xml:space="preserve"> </w:t>
      </w:r>
      <w:r>
        <w:t xml:space="preserve">is an externally matched expected occupancy. It is neither a derived cosmic proton abundance nor a fractional proton realization. The integer one-proton calculation on the next page has its own controller budget.</w:t>
      </w:r>
    </w:p>
    <w:p>
      <w:pPr>
        <w:pStyle w:val="BodyText"/>
        <w:keepNext/>
      </w:pPr>
      <w:r>
        <w:rPr>
          <w:i w:val="0"/>
          <w:sz w:val="21"/>
        </w:rPr>
        <w:t xml:space="preserve">Table 2 Replacement of the inherited phenotype allocation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760"/>
        <w:gridCol w:w="4464"/>
      </w:tblGrid>
      <w:tr>
        <w:trPr>
          <w:tblHeader w:val="true"/>
          <w:cantSplit/>
          <w:tblHeader/>
        </w:trPr>
        <w:tc>
          <w:tcPr>
            <w:tcW w:type="dxa" w:w="5760"/>
            <w:tcMar>
              <w:top w:w="65" w:type="dxa"/>
              <w:bottom w:w="65" w:type="dxa"/>
              <w:left w:w="90" w:type="dxa"/>
              <w:right w:w="90" w:type="dxa"/>
            </w:tcMar>
            <w:shd w:fill="F0F0F0"/>
          </w:tcPr>
          <w:p>
            <w:pPr>
              <w:pStyle w:val="Compact"/>
              <w:spacing w:before="0" w:after="0" w:line="254" w:lineRule="auto"/>
              <w:jc w:val="left"/>
            </w:pPr>
            <w:r>
              <w:rPr>
                <w:b/>
                <w:sz w:val="21"/>
              </w:rPr>
              <w:t xml:space="preserve">Reference quantity</w:t>
            </w:r>
          </w:p>
        </w:tc>
        <w:tc>
          <w:tcPr>
            <w:tcW w:type="dxa" w:w="4464"/>
            <w:tcMar>
              <w:top w:w="65" w:type="dxa"/>
              <w:bottom w:w="65" w:type="dxa"/>
              <w:left w:w="90" w:type="dxa"/>
              <w:right w:w="90" w:type="dxa"/>
            </w:tcMar>
            <w:shd w:fill="F0F0F0"/>
          </w:tcPr>
          <w:p>
            <w:pPr>
              <w:pStyle w:val="Compact"/>
              <w:spacing w:before="0" w:after="0" w:line="254" w:lineRule="auto"/>
              <w:jc w:val="right"/>
            </w:pPr>
            <w:r>
              <w:rPr>
                <w:b/>
                <w:sz w:val="21"/>
              </w:rPr>
              <w:t xml:space="preserve">Energy in J</w:t>
            </w:r>
          </w:p>
        </w:tc>
      </w:tr>
      <w:tr>
        <w:trPr>
          <w:cantSplit/>
        </w:trPr>
        <w:tc>
          <w:tcPr>
            <w:tcW w:type="dxa" w:w="5760"/>
            <w:tcMar>
              <w:top w:w="65" w:type="dxa"/>
              <w:bottom w:w="65" w:type="dxa"/>
              <w:left w:w="90" w:type="dxa"/>
              <w:right w:w="90" w:type="dxa"/>
            </w:tcMar>
          </w:tcPr>
          <w:p>
            <w:pPr>
              <w:pStyle w:val="Compact"/>
              <w:spacing w:before="0" w:after="0" w:line="254" w:lineRule="auto"/>
              <w:jc w:val="left"/>
            </w:pPr>
            <w:r>
              <w:rPr>
                <w:sz w:val="21"/>
              </w:rPr>
              <w:t xml:space="preserve">Rest energy per proton</w:t>
            </w:r>
          </w:p>
        </w:tc>
        <w:tc>
          <w:tcPr>
            <w:tcW w:type="dxa" w:w="4464"/>
            <w:tcMar>
              <w:top w:w="65" w:type="dxa"/>
              <w:bottom w:w="65" w:type="dxa"/>
              <w:left w:w="90" w:type="dxa"/>
              <w:right w:w="90" w:type="dxa"/>
            </w:tcMar>
          </w:tcPr>
          <w:p>
            <w:pPr>
              <w:pStyle w:val="Compact"/>
              <w:spacing w:before="0" w:after="0" w:line="254" w:lineRule="auto"/>
              <w:jc w:val="right"/>
            </w:pPr>
            <m:oMath>
              <m:r>
                <m:t>1.5032776180</m:t>
              </m:r>
              <m:r>
                <m:rPr>
                  <m:nor m:val="1"/>
                </m:rPr>
                <m:t>×</m:t>
              </m:r>
              <m:sSup>
                <m:e>
                  <m:r>
                    <m:t>10</m:t>
                  </m:r>
                </m:e>
                <m:sup>
                  <m:r>
                    <m:rPr>
                      <m:nor m:val="1"/>
                    </m:rPr>
                    <m:t>−</m:t>
                  </m:r>
                  <m:r>
                    <m:t>10</m:t>
                  </m:r>
                </m:sup>
              </m:sSup>
            </m:oMath>
          </w:p>
        </w:tc>
      </w:tr>
      <w:tr>
        <w:trPr>
          <w:cantSplit/>
        </w:trPr>
        <w:tc>
          <w:tcPr>
            <w:tcW w:type="dxa" w:w="5760"/>
            <w:tcMar>
              <w:top w:w="65" w:type="dxa"/>
              <w:bottom w:w="65" w:type="dxa"/>
              <w:left w:w="90" w:type="dxa"/>
              <w:right w:w="90" w:type="dxa"/>
            </w:tcMar>
          </w:tcPr>
          <w:p>
            <w:pPr>
              <w:pStyle w:val="Compact"/>
              <w:spacing w:before="0" w:after="0" w:line="254" w:lineRule="auto"/>
              <w:jc w:val="left"/>
            </w:pPr>
            <w:r>
              <w:rPr>
                <w:sz w:val="21"/>
              </w:rPr>
              <w:t xml:space="preserve">Expected rest allocation</w:t>
            </w:r>
          </w:p>
        </w:tc>
        <w:tc>
          <w:tcPr>
            <w:tcW w:type="dxa" w:w="4464"/>
            <w:tcMar>
              <w:top w:w="65" w:type="dxa"/>
              <w:bottom w:w="65" w:type="dxa"/>
              <w:left w:w="90" w:type="dxa"/>
              <w:right w:w="90" w:type="dxa"/>
            </w:tcMar>
          </w:tcPr>
          <w:p>
            <w:pPr>
              <w:pStyle w:val="Compact"/>
              <w:spacing w:before="0" w:after="0" w:line="254" w:lineRule="auto"/>
              <w:jc w:val="right"/>
            </w:pPr>
            <m:oMath>
              <m:r>
                <m:t>3.6467913480</m:t>
              </m:r>
              <m:r>
                <m:rPr>
                  <m:nor m:val="1"/>
                </m:rPr>
                <m:t>×</m:t>
              </m:r>
              <m:sSup>
                <m:e>
                  <m:r>
                    <m:t>10</m:t>
                  </m:r>
                </m:e>
                <m:sup>
                  <m:r>
                    <m:rPr>
                      <m:nor m:val="1"/>
                    </m:rPr>
                    <m:t>−</m:t>
                  </m:r>
                  <m:r>
                    <m:t>11</m:t>
                  </m:r>
                </m:sup>
              </m:sSup>
            </m:oMath>
          </w:p>
        </w:tc>
      </w:tr>
      <w:tr>
        <w:trPr>
          <w:cantSplit/>
        </w:trPr>
        <w:tc>
          <w:tcPr>
            <w:tcW w:type="dxa" w:w="5760"/>
            <w:tcMar>
              <w:top w:w="65" w:type="dxa"/>
              <w:bottom w:w="65" w:type="dxa"/>
              <w:left w:w="90" w:type="dxa"/>
              <w:right w:w="90" w:type="dxa"/>
            </w:tcMar>
          </w:tcPr>
          <w:p>
            <w:pPr>
              <w:pStyle w:val="Compact"/>
              <w:spacing w:before="0" w:after="0" w:line="254" w:lineRule="auto"/>
              <w:jc w:val="left"/>
            </w:pPr>
            <w:r>
              <w:rPr>
                <w:sz w:val="21"/>
              </w:rPr>
              <w:t xml:space="preserve">Expected initial excitation</w:t>
            </w:r>
          </w:p>
        </w:tc>
        <w:tc>
          <w:tcPr>
            <w:tcW w:type="dxa" w:w="4464"/>
            <w:tcMar>
              <w:top w:w="65" w:type="dxa"/>
              <w:bottom w:w="65" w:type="dxa"/>
              <w:left w:w="90" w:type="dxa"/>
              <w:right w:w="90" w:type="dxa"/>
            </w:tcMar>
          </w:tcPr>
          <w:p>
            <w:pPr>
              <w:pStyle w:val="Compact"/>
              <w:spacing w:before="0" w:after="0" w:line="254" w:lineRule="auto"/>
              <w:jc w:val="right"/>
            </w:pPr>
            <m:oMath>
              <m:r>
                <m:t>1.3399990150</m:t>
              </m:r>
              <m:r>
                <m:rPr>
                  <m:nor m:val="1"/>
                </m:rPr>
                <m:t>×</m:t>
              </m:r>
              <m:sSup>
                <m:e>
                  <m:r>
                    <m:t>10</m:t>
                  </m:r>
                </m:e>
                <m:sup>
                  <m:r>
                    <m:rPr>
                      <m:nor m:val="1"/>
                    </m:rPr>
                    <m:t>−</m:t>
                  </m:r>
                  <m:r>
                    <m:t>12</m:t>
                  </m:r>
                </m:sup>
              </m:sSup>
            </m:oMath>
          </w:p>
        </w:tc>
      </w:tr>
      <w:tr>
        <w:trPr>
          <w:cantSplit/>
        </w:trPr>
        <w:tc>
          <w:tcPr>
            <w:tcW w:type="dxa" w:w="5760"/>
            <w:tcMar>
              <w:top w:w="65" w:type="dxa"/>
              <w:bottom w:w="65" w:type="dxa"/>
              <w:left w:w="90" w:type="dxa"/>
              <w:right w:w="90" w:type="dxa"/>
            </w:tcMar>
          </w:tcPr>
          <w:p>
            <w:pPr>
              <w:pStyle w:val="Compact"/>
              <w:spacing w:before="0" w:after="0" w:line="254" w:lineRule="auto"/>
              <w:jc w:val="left"/>
            </w:pPr>
            <w:r>
              <w:rPr>
                <w:sz w:val="21"/>
              </w:rPr>
              <w:t xml:space="preserve">Rest plus excitation</w:t>
            </w:r>
          </w:p>
        </w:tc>
        <w:tc>
          <w:tcPr>
            <w:tcW w:type="dxa" w:w="4464"/>
            <w:tcMar>
              <w:top w:w="65" w:type="dxa"/>
              <w:bottom w:w="65" w:type="dxa"/>
              <w:left w:w="90" w:type="dxa"/>
              <w:right w:w="90" w:type="dxa"/>
            </w:tcMar>
          </w:tcPr>
          <w:p>
            <w:pPr>
              <w:pStyle w:val="Compact"/>
              <w:spacing w:before="0" w:after="0" w:line="254" w:lineRule="auto"/>
              <w:jc w:val="right"/>
            </w:pPr>
            <m:oMath>
              <m:r>
                <m:t>3.7807912495</m:t>
              </m:r>
              <m:r>
                <m:rPr>
                  <m:nor m:val="1"/>
                </m:rPr>
                <m:t>×</m:t>
              </m:r>
              <m:sSup>
                <m:e>
                  <m:r>
                    <m:t>10</m:t>
                  </m:r>
                </m:e>
                <m:sup>
                  <m:r>
                    <m:rPr>
                      <m:nor m:val="1"/>
                    </m:rPr>
                    <m:t>−</m:t>
                  </m:r>
                  <m:r>
                    <m:t>11</m:t>
                  </m:r>
                </m:sup>
              </m:sSup>
            </m:oMath>
          </w:p>
        </w:tc>
      </w:tr>
      <w:tr>
        <w:trPr>
          <w:cantSplit/>
        </w:trPr>
        <w:tc>
          <w:tcPr>
            <w:tcW w:type="dxa" w:w="5760"/>
            <w:tcMar>
              <w:top w:w="65" w:type="dxa"/>
              <w:bottom w:w="65" w:type="dxa"/>
              <w:left w:w="90" w:type="dxa"/>
              <w:right w:w="90" w:type="dxa"/>
            </w:tcMar>
          </w:tcPr>
          <w:p>
            <w:pPr>
              <w:pStyle w:val="Compact"/>
              <w:spacing w:before="0" w:after="0" w:line="254" w:lineRule="auto"/>
              <w:jc w:val="left"/>
            </w:pPr>
            <w:r>
              <w:rPr>
                <w:sz w:val="21"/>
              </w:rPr>
              <w:t xml:space="preserve">Original phenotype allocation</w:t>
            </w:r>
          </w:p>
        </w:tc>
        <w:tc>
          <w:tcPr>
            <w:tcW w:type="dxa" w:w="4464"/>
            <w:tcMar>
              <w:top w:w="65" w:type="dxa"/>
              <w:bottom w:w="65" w:type="dxa"/>
              <w:left w:w="90" w:type="dxa"/>
              <w:right w:w="90" w:type="dxa"/>
            </w:tcMar>
          </w:tcPr>
          <w:p>
            <w:pPr>
              <w:pStyle w:val="Compact"/>
              <w:spacing w:before="0" w:after="0" w:line="254" w:lineRule="auto"/>
              <w:jc w:val="right"/>
            </w:pPr>
            <m:oMath>
              <m:r>
                <m:t>3.7807912495</m:t>
              </m:r>
              <m:r>
                <m:rPr>
                  <m:nor m:val="1"/>
                </m:rPr>
                <m:t>×</m:t>
              </m:r>
              <m:sSup>
                <m:e>
                  <m:r>
                    <m:t>10</m:t>
                  </m:r>
                </m:e>
                <m:sup>
                  <m:r>
                    <m:rPr>
                      <m:nor m:val="1"/>
                    </m:rPr>
                    <m:t>−</m:t>
                  </m:r>
                  <m:r>
                    <m:t>11</m:t>
                  </m:r>
                </m:sup>
              </m:sSup>
            </m:oMath>
          </w:p>
        </w:tc>
      </w:tr>
    </w:tbl>
    <w:p>
      <w:pPr>
        <w:pStyle w:val="BodyText"/>
      </w:pPr>
      <w:r>
        <w:t xml:space="preserve">We replace the last row with the preceding split. Adding the split to the original total a second time would duplicate exactly</w:t>
      </w:r>
      <w:r>
        <w:t xml:space="preserve"> </w:t>
      </w:r>
      <m:oMath>
        <m:sSub>
          <m:e>
            <m:r>
              <m:t>E</m:t>
            </m:r>
          </m:e>
          <m:sub>
            <m:r>
              <m:t>ϕ</m:t>
            </m:r>
            <m:r>
              <m:rPr>
                <m:nor m:val="1"/>
              </m:rPr>
              <m:t>,</m:t>
            </m:r>
            <m:r>
              <m:rPr>
                <m:nor m:val="1"/>
              </m:rPr>
              <m:t>ref</m:t>
            </m:r>
          </m:sub>
        </m:sSub>
      </m:oMath>
      <w:r>
        <w:t xml:space="preserve">. The</w:t>
      </w:r>
      <w:r>
        <w:t xml:space="preserve"> </w:t>
      </w:r>
      <m:oMath>
        <m:r>
          <m:t>D</m:t>
        </m:r>
      </m:oMath>
      <w:r>
        <w:t xml:space="preserve"> </w:t>
      </w:r>
      <w:r>
        <w:t xml:space="preserve">and</w:t>
      </w:r>
      <w:r>
        <w:t xml:space="preserve"> </w:t>
      </w:r>
      <m:oMath>
        <m:r>
          <m:t>R</m:t>
        </m:r>
      </m:oMath>
      <w:r>
        <w:t xml:space="preserve"> </w:t>
      </w:r>
      <w:r>
        <w:t xml:space="preserve">allocations retain their inherited energies. Address branch probability 0.05 and energy fraction 0.0493 have different roles and are kept separate.</w:t>
      </w:r>
    </w:p>
    <w:p>
      <w:pPr>
        <w:pStyle w:val="BodyText"/>
        <w:spacing w:before="0" w:after="0" w:line="240" w:lineRule="auto"/>
      </w:pPr>
      <w:r>
        <w:br w:type="page"/>
      </w:r>
    </w:p>
    <w:bookmarkEnd w:id="23"/>
    <w:bookmarkStart w:id="24" w:name="X876c5cb8d9e7f4ca562a81cbdfa73347180a993"/>
    <w:p>
      <w:pPr>
        <w:pStyle w:val="Heading1"/>
      </w:pPr>
      <w:r>
        <w:t xml:space="preserve">3 One write and conditional time prediction</w:t>
      </w:r>
    </w:p>
    <w:p>
      <w:pPr>
        <w:pStyle w:val="FirstParagraph"/>
      </w:pPr>
      <w:r>
        <w:t xml:space="preserve">Choose</w:t>
      </w:r>
      <w:r>
        <w:t xml:space="preserve"> </w:t>
      </w:r>
      <m:oMath>
        <m:r>
          <m:rPr>
            <m:nor m:val="1"/>
          </m:rPr>
          <m:t>|</m:t>
        </m:r>
        <m:r>
          <m:rPr>
            <m:nor m:val="1"/>
          </m:rPr>
          <m:t>±</m:t>
        </m:r>
        <m:r>
          <m:rPr>
            <m:nor m:val="1"/>
          </m:rPr>
          <m:t>⟩</m:t>
        </m:r>
        <m:r>
          <m:rPr>
            <m:nor m:val="1"/>
          </m:rPr>
          <m:t>=</m:t>
        </m:r>
        <m:d>
          <m:dPr>
            <m:begChr m:val="("/>
            <m:endChr m:val=")"/>
            <m:sepChr m:val=""/>
            <m:grow/>
          </m:dPr>
          <m:e>
            <m:r>
              <m:rPr>
                <m:nor m:val="1"/>
              </m:rPr>
              <m:t>|</m:t>
            </m:r>
            <m:r>
              <m:t>g</m:t>
            </m:r>
            <m:r>
              <m:rPr>
                <m:nor m:val="1"/>
              </m:rPr>
              <m:t>⟩</m:t>
            </m:r>
            <m:r>
              <m:rPr>
                <m:nor m:val="1"/>
              </m:rPr>
              <m:t>±</m:t>
            </m:r>
            <m:r>
              <m:rPr>
                <m:nor m:val="1"/>
              </m:rPr>
              <m:t>|</m:t>
            </m:r>
            <m:r>
              <m:t>e</m:t>
            </m:r>
            <m:r>
              <m:rPr>
                <m:nor m:val="1"/>
              </m:rPr>
              <m:t>⟩</m:t>
            </m:r>
          </m:e>
        </m:d>
        <m:r>
          <m:rPr>
            <m:nor m:val="1"/>
          </m:rPr>
          <m:t>/</m:t>
        </m:r>
        <m:rad>
          <m:radPr>
            <m:degHide m:val="on"/>
          </m:radPr>
          <m:deg/>
          <m:e>
            <m:r>
              <m:t>2</m:t>
            </m:r>
          </m:e>
        </m:rad>
      </m:oMath>
      <w:r>
        <w:t xml:space="preserve">, with</w:t>
      </w:r>
      <w:r>
        <w:t xml:space="preserve"> </w:t>
      </w:r>
      <m:oMath>
        <m:sSub>
          <m:e>
            <m:r>
              <m:t>P</m:t>
            </m:r>
          </m:e>
          <m:sub>
            <m:r>
              <m:rPr>
                <m:nor m:val="1"/>
              </m:rPr>
              <m:t>±</m:t>
            </m:r>
          </m:sub>
        </m:sSub>
        <m:r>
          <m:rPr>
            <m:nor m:val="1"/>
          </m:rPr>
          <m:t>=</m:t>
        </m:r>
        <m:r>
          <m:rPr>
            <m:nor m:val="1"/>
          </m:rPr>
          <m:t>|</m:t>
        </m:r>
        <m:r>
          <m:rPr>
            <m:nor m:val="1"/>
          </m:rPr>
          <m:t>±</m:t>
        </m:r>
        <m:r>
          <m:rPr>
            <m:nor m:val="1"/>
          </m:rPr>
          <m:t>⟩</m:t>
        </m:r>
        <m:r>
          <m:rPr>
            <m:nor m:val="1"/>
          </m:rPr>
          <m:t>⟨</m:t>
        </m:r>
        <m:r>
          <m:rPr>
            <m:nor m:val="1"/>
          </m:rPr>
          <m:t>±</m:t>
        </m:r>
        <m:r>
          <m:rPr>
            <m:nor m:val="1"/>
          </m:rPr>
          <m:t>|</m:t>
        </m:r>
      </m:oMath>
      <w:r>
        <w:t xml:space="preserve">. The blank record is</w:t>
      </w:r>
      <w:r>
        <w:t xml:space="preserve"> </w:t>
      </w:r>
      <m:oMath>
        <m:r>
          <m:rPr>
            <m:nor m:val="1"/>
          </m:rPr>
          <m:t>|</m:t>
        </m:r>
        <m:r>
          <m:t>0</m:t>
        </m:r>
        <m:r>
          <m:rPr>
            <m:nor m:val="1"/>
          </m:rPr>
          <m:t>⟩</m:t>
        </m:r>
      </m:oMath>
      <w:r>
        <w:t xml:space="preserve"> </w:t>
      </w:r>
      <w:r>
        <w:t xml:space="preserve">with gap</w:t>
      </w:r>
      <w:r>
        <w:t xml:space="preserve"> </w:t>
      </w:r>
      <m:oMath>
        <m:sSub>
          <m:e>
            <m:r>
              <m:t>ε</m:t>
            </m:r>
          </m:e>
          <m:sub>
            <m:r>
              <m:t>r</m:t>
            </m:r>
          </m:sub>
        </m:sSub>
        <m:r>
          <m:rPr>
            <m:nor m:val="1"/>
          </m:rPr>
          <m:t>=</m:t>
        </m:r>
        <m:r>
          <m:t>3.5596112121</m:t>
        </m:r>
        <m:r>
          <m:rPr>
            <m:nor m:val="1"/>
          </m:rPr>
          <m:t>×</m:t>
        </m:r>
        <m:sSup>
          <m:e>
            <m:r>
              <m:t>10</m:t>
            </m:r>
          </m:e>
          <m:sup>
            <m:r>
              <m:rPr>
                <m:nor m:val="1"/>
              </m:rPr>
              <m:t>−</m:t>
            </m:r>
            <m:r>
              <m:t>15</m:t>
            </m:r>
          </m:sup>
        </m:sSup>
        <m:r>
          <m:t> </m:t>
        </m:r>
        <m:r>
          <m:rPr>
            <m:nor m:val="1"/>
          </m:rPr>
          <m:t>J</m:t>
        </m:r>
      </m:oMath>
      <w:r>
        <w:t xml:space="preserve"> </w:t>
      </w:r>
      <w:r>
        <w:t xml:space="preserve">from the electron-mode energy</w:t>
      </w:r>
      <w:r>
        <w:t xml:space="preserve"> </w:t>
      </w:r>
      <m:oMath>
        <m:r>
          <m:t>μ</m:t>
        </m:r>
      </m:oMath>
      <w:r>
        <w:t xml:space="preserve"> </w:t>
      </w:r>
      <w:r>
        <w:t xml:space="preserve">defined below. The original write coupling is</w:t>
      </w:r>
    </w:p>
    <w:p>
      <w:pPr>
        <w:pStyle w:val="BodyText"/>
        <w:spacing w:before="40" w:after="160" w:line="252" w:lineRule="auto"/>
      </w:pPr>
      <m:oMathPara>
        <m:oMathParaPr>
          <m:jc m:val="center"/>
        </m:oMathParaPr>
        <m:oMath>
          <m:r>
            <m:t>W</m:t>
          </m:r>
          <m:r>
            <m:rPr>
              <m:nor m:val="1"/>
            </m:rPr>
            <m:t>=</m:t>
          </m:r>
          <m:sSub>
            <m:e>
              <m:r>
                <m:t>P</m:t>
              </m:r>
            </m:e>
            <m:sub>
              <m:r>
                <m:rPr>
                  <m:nor m:val="1"/>
                </m:rPr>
                <m:t>+</m:t>
              </m:r>
            </m:sub>
          </m:sSub>
          <m:r>
            <m:rPr>
              <m:nor m:val="1"/>
            </m:rPr>
            <m:t>⊗</m:t>
          </m:r>
          <m:r>
            <m:t>I</m:t>
          </m:r>
          <m:r>
            <m:rPr>
              <m:nor m:val="1"/>
            </m:rPr>
            <m:t>+</m:t>
          </m:r>
          <m:sSub>
            <m:e>
              <m:r>
                <m:t>P</m:t>
              </m:r>
            </m:e>
            <m:sub>
              <m:r>
                <m:rPr>
                  <m:nor m:val="1"/>
                </m:rPr>
                <m:t>−</m:t>
              </m:r>
            </m:sub>
          </m:sSub>
          <m:r>
            <m:rPr>
              <m:nor m:val="1"/>
            </m:rPr>
            <m:t>⊗</m:t>
          </m:r>
          <m:r>
            <m:t>X</m:t>
          </m:r>
          <m:r>
            <m:rPr>
              <m:nor m:val="1"/>
            </m:rPr>
            <m:t>,</m:t>
          </m:r>
          <m:r>
            <m:t>  </m:t>
          </m:r>
          <m:sSub>
            <m:e>
              <m:r>
                <m:t>H</m:t>
              </m:r>
            </m:e>
            <m:sub>
              <m:r>
                <m:t>s</m:t>
              </m:r>
            </m:sub>
          </m:sSub>
          <m:r>
            <m:rPr>
              <m:nor m:val="1"/>
            </m:rPr>
            <m:t>=</m:t>
          </m:r>
          <m:r>
            <m:rPr>
              <m:nor m:val="1"/>
            </m:rPr>
            <m:t>diag</m:t>
          </m:r>
          <m:d>
            <m:dPr>
              <m:begChr m:val="("/>
              <m:endChr m:val=")"/>
              <m:sepChr m:val=""/>
              <m:grow/>
            </m:dPr>
            <m:e>
              <m:r>
                <m:t>0</m:t>
              </m:r>
              <m:r>
                <m:rPr>
                  <m:nor m:val="1"/>
                </m:rPr>
                <m:t>,</m:t>
              </m:r>
              <m:r>
                <m:t>Δ</m:t>
              </m:r>
              <m:r>
                <m:t>E</m:t>
              </m:r>
            </m:e>
          </m:d>
          <m:r>
            <m:rPr>
              <m:nor m:val="1"/>
            </m:rPr>
            <m:t>,</m:t>
          </m:r>
          <m:r>
            <m:t> </m:t>
          </m:r>
          <m:sSub>
            <m:e>
              <m:r>
                <m:t>H</m:t>
              </m:r>
            </m:e>
            <m:sub>
              <m:r>
                <m:t>r</m:t>
              </m:r>
            </m:sub>
          </m:sSub>
          <m:r>
            <m:rPr>
              <m:nor m:val="1"/>
            </m:rPr>
            <m:t>=</m:t>
          </m:r>
          <m:r>
            <m:rPr>
              <m:nor m:val="1"/>
            </m:rPr>
            <m:t>diag</m:t>
          </m:r>
          <m:d>
            <m:dPr>
              <m:begChr m:val="("/>
              <m:endChr m:val=")"/>
              <m:sepChr m:val=""/>
              <m:grow/>
            </m:dPr>
            <m:e>
              <m:r>
                <m:t>0</m:t>
              </m:r>
              <m:r>
                <m:rPr>
                  <m:nor m:val="1"/>
                </m:rPr>
                <m:t>,</m:t>
              </m:r>
              <m:sSub>
                <m:e>
                  <m:r>
                    <m:t>ε</m:t>
                  </m:r>
                </m:e>
                <m:sub>
                  <m:r>
                    <m:t>r</m:t>
                  </m:r>
                </m:sub>
              </m:sSub>
            </m:e>
          </m:d>
          <m:r>
            <m:rPr>
              <m:nor m:val="1"/>
            </m:rPr>
            <m:t>.</m:t>
          </m:r>
        </m:oMath>
      </m:oMathPara>
    </w:p>
    <w:p>
      <w:pPr>
        <w:pStyle w:val="FirstParagraph"/>
      </w:pPr>
      <m:oMath>
        <m:r>
          <m:t>W</m:t>
        </m:r>
      </m:oMath>
      <w:r>
        <w:t xml:space="preserve"> </w:t>
      </w:r>
      <w:r>
        <w:t xml:space="preserve">is unitary, and the pointer maps the two outcomes to bits 0 and 1. Each conditional outcome has probability 1/2. Ignoring the outcome leaves system state</w:t>
      </w:r>
      <w:r>
        <w:t xml:space="preserve"> </w:t>
      </w:r>
      <m:oMath>
        <m:r>
          <m:t>I</m:t>
        </m:r>
        <m:r>
          <m:rPr>
            <m:nor m:val="1"/>
          </m:rPr>
          <m:t>/</m:t>
        </m:r>
        <m:r>
          <m:t>2</m:t>
        </m:r>
      </m:oMath>
      <w:r>
        <w:t xml:space="preserve"> </w:t>
      </w:r>
      <w:r>
        <w:t xml:space="preserve">and mean record energy</w:t>
      </w:r>
      <w:r>
        <w:t xml:space="preserve"> </w:t>
      </w:r>
      <m:oMath>
        <m:sSub>
          <m:e>
            <m:r>
              <m:t>ε</m:t>
            </m:r>
          </m:e>
          <m:sub>
            <m:r>
              <m:t>r</m:t>
            </m:r>
          </m:sub>
        </m:sSub>
        <m:r>
          <m:rPr>
            <m:nor m:val="1"/>
          </m:rPr>
          <m:t>/</m:t>
        </m:r>
        <m:r>
          <m:t>2</m:t>
        </m:r>
      </m:oMath>
      <w:r>
        <w:t xml:space="preserve">. The relative system energy therefore changes from</w:t>
      </w:r>
      <w:r>
        <w:t xml:space="preserve"> </w:t>
      </w:r>
      <m:oMath>
        <m:sSub>
          <m:e>
            <m:r>
              <m:t>p</m:t>
            </m:r>
          </m:e>
          <m:sub>
            <m:r>
              <m:t>e</m:t>
            </m:r>
          </m:sub>
        </m:sSub>
        <m:r>
          <m:t>Δ</m:t>
        </m:r>
        <m:r>
          <m:t>E</m:t>
        </m:r>
      </m:oMath>
      <w:r>
        <w:t xml:space="preserve"> </w:t>
      </w:r>
      <w:r>
        <w:t xml:space="preserve">to</w:t>
      </w:r>
      <w:r>
        <w:t xml:space="preserve"> </w:t>
      </w:r>
      <m:oMath>
        <m:r>
          <m:t>Δ</m:t>
        </m:r>
        <m:r>
          <m:t>E</m:t>
        </m:r>
        <m:r>
          <m:rPr>
            <m:nor m:val="1"/>
          </m:rPr>
          <m:t>/</m:t>
        </m:r>
        <m:r>
          <m:t>2</m:t>
        </m:r>
      </m:oMath>
      <w:r>
        <w:t xml:space="preserve">.</w:t>
      </w:r>
    </w:p>
    <w:p>
      <w:pPr>
        <w:pStyle w:val="BodyText"/>
      </w:pPr>
      <w:r>
        <w:t xml:space="preserve">For</w:t>
      </w:r>
      <w:r>
        <w:t xml:space="preserve"> </w:t>
      </w:r>
      <w:r>
        <w:rPr>
          <w:bCs/>
          <w:b/>
        </w:rPr>
        <w:t xml:space="preserve">one conditioned proton</w:t>
      </w:r>
      <w:r>
        <w:t xml:space="preserve">, the mean write work is</w:t>
      </w:r>
    </w:p>
    <w:p>
      <w:pPr>
        <w:pStyle w:val="BodyText"/>
        <w:spacing w:before="40" w:after="160" w:line="252" w:lineRule="auto"/>
      </w:pPr>
      <m:oMathPara>
        <m:oMathParaPr>
          <m:jc m:val="center"/>
        </m:oMathParaPr>
        <m:oMath>
          <m:sSub>
            <m:e>
              <m:r>
                <m:t>w</m:t>
              </m:r>
            </m:e>
            <m:sub>
              <m:r>
                <m:rPr>
                  <m:nor m:val="1"/>
                </m:rPr>
                <m:t>write</m:t>
              </m:r>
            </m:sub>
          </m:sSub>
          <m:r>
            <m:rPr>
              <m:nor m:val="1"/>
            </m:rPr>
            <m:t>=</m:t>
          </m:r>
          <m:d>
            <m:dPr>
              <m:begChr m:val="("/>
              <m:endChr m:val=")"/>
              <m:sepChr m:val=""/>
              <m:grow/>
            </m:dPr>
            <m:e>
              <m:f>
                <m:fPr>
                  <m:type m:val="lin"/>
                </m:fPr>
                <m:num>
                  <m:r>
                    <m:t>1</m:t>
                  </m:r>
                </m:num>
                <m:den>
                  <m:r>
                    <m:t>2</m:t>
                  </m:r>
                </m:den>
              </m:f>
              <m:r>
                <m:rPr>
                  <m:nor m:val="1"/>
                </m:rPr>
                <m:t>−</m:t>
              </m:r>
              <m:sSub>
                <m:e>
                  <m:r>
                    <m:t>p</m:t>
                  </m:r>
                </m:e>
                <m:sub>
                  <m:r>
                    <m:t>e</m:t>
                  </m:r>
                </m:sub>
              </m:sSub>
            </m:e>
          </m:d>
          <m:r>
            <m:t>Δ</m:t>
          </m:r>
          <m:r>
            <m:t>E</m:t>
          </m:r>
          <m:r>
            <m:rPr>
              <m:nor m:val="1"/>
            </m:rPr>
            <m:t>+</m:t>
          </m:r>
          <m:f>
            <m:fPr>
              <m:type m:val="lin"/>
            </m:fPr>
            <m:num>
              <m:r>
                <m:t>1</m:t>
              </m:r>
            </m:num>
            <m:den>
              <m:r>
                <m:t>2</m:t>
              </m:r>
            </m:den>
          </m:f>
          <m:sSub>
            <m:e>
              <m:r>
                <m:t>ε</m:t>
              </m:r>
            </m:e>
            <m:sub>
              <m:r>
                <m:t>r</m:t>
              </m:r>
            </m:sub>
          </m:sSub>
          <m:r>
            <m:rPr>
              <m:nor m:val="1"/>
            </m:rPr>
            <m:t>=</m:t>
          </m:r>
          <m:r>
            <m:t>2.9011460679</m:t>
          </m:r>
          <m:r>
            <m:rPr>
              <m:nor m:val="1"/>
            </m:rPr>
            <m:t>×</m:t>
          </m:r>
          <m:sSup>
            <m:e>
              <m:r>
                <m:t>10</m:t>
              </m:r>
            </m:e>
            <m:sup>
              <m:r>
                <m:rPr>
                  <m:nor m:val="1"/>
                </m:rPr>
                <m:t>−</m:t>
              </m:r>
              <m:r>
                <m:t>11</m:t>
              </m:r>
            </m:sup>
          </m:sSup>
          <m:r>
            <m:t> </m:t>
          </m:r>
          <m:r>
            <m:rPr>
              <m:nor m:val="1"/>
            </m:rPr>
            <m:t>J</m:t>
          </m:r>
          <m:r>
            <m:rPr>
              <m:nor m:val="1"/>
            </m:rPr>
            <m:t>.</m:t>
          </m:r>
        </m:oMath>
      </m:oMathPara>
    </w:p>
    <w:p>
      <w:pPr>
        <w:pStyle w:val="FirstParagraph"/>
      </w:pPr>
      <w:r>
        <w:t xml:space="preserve">All energies in this equation are evaluated in J. The individual original controller starts with</w:t>
      </w:r>
      <w:r>
        <w:t xml:space="preserve"> </w:t>
      </w:r>
      <m:oMath>
        <m:r>
          <m:t>Δ</m:t>
        </m:r>
        <m:r>
          <m:t>E</m:t>
        </m:r>
        <m:r>
          <m:rPr>
            <m:nor m:val="1"/>
          </m:rPr>
          <m:t>+</m:t>
        </m:r>
        <m:sSub>
          <m:e>
            <m:r>
              <m:t>ε</m:t>
            </m:r>
          </m:e>
          <m:sub>
            <m:r>
              <m:t>r</m:t>
            </m:r>
          </m:sub>
        </m:sSub>
        <m:r>
          <m:rPr>
            <m:nor m:val="1"/>
          </m:rPr>
          <m:t>=</m:t>
        </m:r>
        <m:r>
          <m:t>6.9070389311</m:t>
        </m:r>
        <m:r>
          <m:rPr>
            <m:nor m:val="1"/>
          </m:rPr>
          <m:t>×</m:t>
        </m:r>
        <m:sSup>
          <m:e>
            <m:r>
              <m:t>10</m:t>
            </m:r>
          </m:e>
          <m:sup>
            <m:r>
              <m:rPr>
                <m:nor m:val="1"/>
              </m:rPr>
              <m:t>−</m:t>
            </m:r>
            <m:r>
              <m:t>11</m:t>
            </m:r>
          </m:sup>
        </m:sSup>
        <m:r>
          <m:t> </m:t>
        </m:r>
        <m:r>
          <m:rPr>
            <m:nor m:val="1"/>
          </m:rPr>
          <m:t>J</m:t>
        </m:r>
      </m:oMath>
      <w:r>
        <w:t xml:space="preserve"> </w:t>
      </w:r>
      <w:r>
        <w:t xml:space="preserve">and retains</w:t>
      </w:r>
      <w:r>
        <w:t xml:space="preserve"> </w:t>
      </w:r>
      <m:oMath>
        <m:r>
          <m:t>4.0058928632</m:t>
        </m:r>
        <m:r>
          <m:rPr>
            <m:nor m:val="1"/>
          </m:rPr>
          <m:t>×</m:t>
        </m:r>
        <m:sSup>
          <m:e>
            <m:r>
              <m:t>10</m:t>
            </m:r>
          </m:e>
          <m:sup>
            <m:r>
              <m:rPr>
                <m:nor m:val="1"/>
              </m:rPr>
              <m:t>−</m:t>
            </m:r>
            <m:r>
              <m:t>11</m:t>
            </m:r>
          </m:sup>
        </m:sSup>
        <m:r>
          <m:t> </m:t>
        </m:r>
        <m:r>
          <m:rPr>
            <m:nor m:val="1"/>
          </m:rPr>
          <m:t>J</m:t>
        </m:r>
      </m:oMath>
      <w:r>
        <w:t xml:space="preserve"> </w:t>
      </w:r>
      <w:r>
        <w:t xml:space="preserve">after the mean write. It covers both outcome-dependent costs. This controller is an externally controlled budget; an autonomous energy-conserving apparatus Hamiltonian has not been constructed.</w:t>
      </w:r>
    </w:p>
    <w:p>
      <w:pPr>
        <w:pStyle w:val="BodyText"/>
      </w:pPr>
      <w:r>
        <w:rPr>
          <w:bCs/>
          <w:b/>
        </w:rPr>
        <w:t xml:space="preserve">Complete source routing.</w:t>
      </w:r>
      <w:r>
        <w:t xml:space="preserve"> </w:t>
      </w:r>
      <w:r>
        <w:t xml:space="preserve">Conditional measurement splits only the</w:t>
      </w:r>
      <w:r>
        <w:t xml:space="preserve"> </w:t>
      </w:r>
      <m:oMath>
        <m:r>
          <m:t>ϕ</m:t>
        </m:r>
      </m:oMath>
      <w:r>
        <w:t xml:space="preserve"> </w:t>
      </w:r>
      <w:r>
        <w:t xml:space="preserve">branch. The five probabilities are</w:t>
      </w:r>
      <w:r>
        <w:t xml:space="preserve"> </w:t>
      </w:r>
      <m:oMath>
        <m:r>
          <m:t>0.025</m:t>
        </m:r>
      </m:oMath>
      <w:r>
        <w:t xml:space="preserve">,</w:t>
      </w:r>
      <w:r>
        <w:t xml:space="preserve"> </w:t>
      </w:r>
      <m:oMath>
        <m:r>
          <m:t>0.025</m:t>
        </m:r>
      </m:oMath>
      <w:r>
        <w:t xml:space="preserve">,</w:t>
      </w:r>
      <w:r>
        <w:t xml:space="preserve"> </w:t>
      </w:r>
      <m:oMath>
        <m:r>
          <m:t>0.268</m:t>
        </m:r>
      </m:oMath>
      <w:r>
        <w:t xml:space="preserve">,</w:t>
      </w:r>
      <w:r>
        <w:t xml:space="preserve"> </w:t>
      </w:r>
      <m:oMath>
        <m:r>
          <m:t>0.007772944563</m:t>
        </m:r>
      </m:oMath>
      <w:r>
        <w:t xml:space="preserve">, and</w:t>
      </w:r>
      <w:r>
        <w:t xml:space="preserve"> </w:t>
      </w:r>
      <m:oMath>
        <m:r>
          <m:t>0.674227055437</m:t>
        </m:r>
      </m:oMath>
      <w:r>
        <w:t xml:space="preserve"> </w:t>
      </w:r>
      <w:r>
        <w:t xml:space="preserve">for</w:t>
      </w:r>
      <w:r>
        <w:t xml:space="preserve"> </w:t>
      </w:r>
      <m:oMath>
        <m:sSub>
          <m:e>
            <m:r>
              <m:t>ϕ</m:t>
            </m:r>
          </m:e>
          <m:sub>
            <m:r>
              <m:rPr>
                <m:nor m:val="1"/>
              </m:rPr>
              <m:t>+</m:t>
            </m:r>
          </m:sub>
        </m:sSub>
      </m:oMath>
      <w:r>
        <w:t xml:space="preserve">,</w:t>
      </w:r>
      <w:r>
        <w:t xml:space="preserve"> </w:t>
      </w:r>
      <m:oMath>
        <m:sSub>
          <m:e>
            <m:r>
              <m:t>ϕ</m:t>
            </m:r>
          </m:e>
          <m:sub>
            <m:r>
              <m:rPr>
                <m:nor m:val="1"/>
              </m:rPr>
              <m:t>−</m:t>
            </m:r>
          </m:sub>
        </m:sSub>
      </m:oMath>
      <w:r>
        <w:t xml:space="preserve">,</w:t>
      </w:r>
      <w:r>
        <w:t xml:space="preserve"> </w:t>
      </w:r>
      <m:oMath>
        <m:r>
          <m:t>D</m:t>
        </m:r>
      </m:oMath>
      <w:r>
        <w:t xml:space="preserve">, initial reflection and normal return. They sum to one; residents alone sum to 0.318.</w:t>
      </w:r>
    </w:p>
    <w:p>
      <w:pPr>
        <w:pStyle w:val="BodyText"/>
      </w:pPr>
      <w:r>
        <w:rPr>
          <w:bCs/>
          <w:b/>
        </w:rPr>
        <w:t xml:space="preserve">Proper-time prediction.</w:t>
      </w:r>
      <w:r>
        <w:t xml:space="preserve"> </w:t>
      </w:r>
      <w:r>
        <w:t xml:space="preserve">Adopt</w:t>
      </w:r>
      <w:r>
        <w:t xml:space="preserve"> </w:t>
      </w:r>
      <m:oMath>
        <m:r>
          <m:t>μ</m:t>
        </m:r>
        <m:r>
          <m:rPr>
            <m:nor m:val="1"/>
          </m:rPr>
          <m:t>=</m:t>
        </m:r>
        <m:r>
          <m:t>510998.95069</m:t>
        </m:r>
        <m:r>
          <m:rPr>
            <m:nor m:val="1"/>
          </m:rPr>
          <m:t>/</m:t>
        </m:r>
        <m:r>
          <m:t>23</m:t>
        </m:r>
        <m:r>
          <m:t> </m:t>
        </m:r>
        <m:r>
          <m:rPr>
            <m:nor m:val="1"/>
          </m:rPr>
          <m:t>eV</m:t>
        </m:r>
      </m:oMath>
      <w:r>
        <w:t xml:space="preserve">,</w:t>
      </w:r>
      <w:r>
        <w:t xml:space="preserve"> </w:t>
      </w:r>
      <m:oMath>
        <m:r>
          <m:t>ω</m:t>
        </m:r>
        <m:r>
          <m:rPr>
            <m:nor m:val="1"/>
          </m:rPr>
          <m:t>=</m:t>
        </m:r>
        <m:r>
          <m:t>μ</m:t>
        </m:r>
        <m:r>
          <m:rPr>
            <m:nor m:val="1"/>
          </m:rPr>
          <m:t>/</m:t>
        </m:r>
        <m:r>
          <m:rPr>
            <m:nor m:val="1"/>
          </m:rPr>
          <m:t>ℏ</m:t>
        </m:r>
      </m:oMath>
      <w:r>
        <w:t xml:space="preserve"> </w:t>
      </w:r>
      <w:r>
        <w:t xml:space="preserve">and</w:t>
      </w:r>
      <w:r>
        <w:t xml:space="preserve"> </w:t>
      </w:r>
      <m:oMath>
        <m:r>
          <m:t>δ</m:t>
        </m:r>
        <m:r>
          <m:t>τ</m:t>
        </m:r>
        <m:r>
          <m:rPr>
            <m:nor m:val="1"/>
          </m:rPr>
          <m:t>=</m:t>
        </m:r>
        <m:r>
          <m:t>0.1</m:t>
        </m:r>
        <m:r>
          <m:rPr>
            <m:nor m:val="1"/>
          </m:rPr>
          <m:t>/</m:t>
        </m:r>
        <m:r>
          <m:t>ω</m:t>
        </m:r>
        <m:r>
          <m:rPr>
            <m:nor m:val="1"/>
          </m:rPr>
          <m:t>=</m:t>
        </m:r>
        <m:r>
          <m:t>2.9626039328317383</m:t>
        </m:r>
        <m:r>
          <m:rPr>
            <m:nor m:val="1"/>
          </m:rPr>
          <m:t>×</m:t>
        </m:r>
        <m:sSup>
          <m:e>
            <m:r>
              <m:t>10</m:t>
            </m:r>
          </m:e>
          <m:sup>
            <m:r>
              <m:rPr>
                <m:nor m:val="1"/>
              </m:rPr>
              <m:t>−</m:t>
            </m:r>
            <m:r>
              <m:t>21</m:t>
            </m:r>
          </m:sup>
        </m:sSup>
        <m:r>
          <m:t> </m:t>
        </m:r>
        <m:r>
          <m:rPr>
            <m:nor m:val="1"/>
          </m:rPr>
          <m:t>s</m:t>
        </m:r>
      </m:oMath>
      <w:r>
        <w:t xml:space="preserve">. We convert</w:t>
      </w:r>
      <w:r>
        <w:t xml:space="preserve"> </w:t>
      </w:r>
      <m:oMath>
        <m:r>
          <m:t>μ</m:t>
        </m:r>
      </m:oMath>
      <w:r>
        <w:t xml:space="preserve"> </w:t>
      </w:r>
      <w:r>
        <w:t xml:space="preserve">to J in the rate equation. After a selected first result,</w:t>
      </w:r>
    </w:p>
    <w:p>
      <w:pPr>
        <w:pStyle w:val="BodyText"/>
        <w:spacing w:before="40" w:after="160" w:line="252" w:lineRule="auto"/>
      </w:pPr>
      <m:oMathPara>
        <m:oMathParaPr>
          <m:jc m:val="center"/>
        </m:oMathParaPr>
        <m:oMath>
          <m:r>
            <m:t>U</m:t>
          </m:r>
          <m:d>
            <m:dPr>
              <m:begChr m:val="("/>
              <m:endChr m:val=")"/>
              <m:sepChr m:val=""/>
              <m:grow/>
            </m:dPr>
            <m:e>
              <m:r>
                <m:t>τ</m:t>
              </m:r>
            </m:e>
          </m:d>
          <m:r>
            <m:rPr>
              <m:nor m:val="1"/>
            </m:rPr>
            <m:t>=</m:t>
          </m:r>
          <m:sSup>
            <m:e>
              <m:r>
                <m:t>e</m:t>
              </m:r>
            </m:e>
            <m:sup>
              <m:r>
                <m:rPr>
                  <m:nor m:val="1"/>
                </m:rPr>
                <m:t>−</m:t>
              </m:r>
              <m:r>
                <m:t>i</m:t>
              </m:r>
              <m:sSub>
                <m:e>
                  <m:r>
                    <m:t>H</m:t>
                  </m:r>
                </m:e>
                <m:sub>
                  <m:r>
                    <m:t>s</m:t>
                  </m:r>
                </m:sub>
              </m:sSub>
              <m:r>
                <m:t>τ</m:t>
              </m:r>
              <m:r>
                <m:rPr>
                  <m:nor m:val="1"/>
                </m:rPr>
                <m:t>/</m:t>
              </m:r>
              <m:r>
                <m:rPr>
                  <m:nor m:val="1"/>
                </m:rPr>
                <m:t>ℏ</m:t>
              </m:r>
            </m:sup>
          </m:sSup>
          <m:r>
            <m:rPr>
              <m:nor m:val="1"/>
            </m:rPr>
            <m:t>,</m:t>
          </m:r>
          <m:r>
            <m:t>  </m:t>
          </m:r>
          <m:sSub>
            <m:e>
              <m:r>
                <m:t>P</m:t>
              </m:r>
            </m:e>
            <m:sub>
              <m:r>
                <m:rPr>
                  <m:nor m:val="1"/>
                </m:rPr>
                <m:t>same</m:t>
              </m:r>
            </m:sub>
          </m:sSub>
          <m:d>
            <m:dPr>
              <m:begChr m:val="("/>
              <m:endChr m:val=")"/>
              <m:sepChr m:val=""/>
              <m:grow/>
            </m:dPr>
            <m:e>
              <m:r>
                <m:t>k</m:t>
              </m:r>
            </m:e>
          </m:d>
          <m:r>
            <m:rPr>
              <m:nor m:val="1"/>
            </m:rPr>
            <m:t>=</m:t>
          </m:r>
          <m:sSup>
            <m:e>
              <m:r>
                <m:rPr>
                  <m:nor m:val="1"/>
                </m:rPr>
                <m:t>cos</m:t>
              </m:r>
            </m:e>
            <m:sup>
              <m:r>
                <m:t>2</m:t>
              </m:r>
            </m:sup>
          </m:sSup>
          <m:r>
            <m:t>​</m:t>
          </m:r>
          <m:d>
            <m:dPr>
              <m:begChr m:val="("/>
              <m:endChr m:val=")"/>
              <m:sepChr m:val=""/>
              <m:grow/>
            </m:dPr>
            <m:e>
              <m:f>
                <m:fPr>
                  <m:type m:val="bar"/>
                </m:fPr>
                <m:num>
                  <m:r>
                    <m:t>Δ</m:t>
                  </m:r>
                  <m:r>
                    <m:t>E</m:t>
                  </m:r>
                  <m:r>
                    <m:t> </m:t>
                  </m:r>
                  <m:r>
                    <m:t>k</m:t>
                  </m:r>
                  <m:r>
                    <m:t>δ</m:t>
                  </m:r>
                  <m:r>
                    <m:t>τ</m:t>
                  </m:r>
                </m:num>
                <m:den>
                  <m:r>
                    <m:t>2</m:t>
                  </m:r>
                  <m:r>
                    <m:rPr>
                      <m:nor m:val="1"/>
                    </m:rPr>
                    <m:t>ℏ</m:t>
                  </m:r>
                </m:den>
              </m:f>
            </m:e>
          </m:d>
          <m:r>
            <m:rPr>
              <m:nor m:val="1"/>
            </m:rPr>
            <m:t>.</m:t>
          </m:r>
        </m:oMath>
      </m:oMathPara>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5040"/>
      </w:tblGrid>
      <w:tr>
        <w:trPr>
          <w:tblHeader w:val="true"/>
          <w:cantSplit/>
          <w:tblHeader/>
        </w:trPr>
        <w:tc>
          <w:tcPr>
            <w:tcW w:type="dxa" w:w="5184"/>
            <w:tcMar>
              <w:top w:w="65" w:type="dxa"/>
              <w:bottom w:w="65" w:type="dxa"/>
              <w:left w:w="90" w:type="dxa"/>
              <w:right w:w="90" w:type="dxa"/>
            </w:tcMar>
            <w:shd w:fill="F0F0F0"/>
          </w:tcPr>
          <w:p>
            <w:pPr>
              <w:pStyle w:val="Compact"/>
              <w:spacing w:before="0" w:after="0" w:line="254" w:lineRule="auto"/>
              <w:jc w:val="right"/>
            </w:pPr>
            <w:r>
              <w:rPr>
                <w:b/>
                <w:sz w:val="21"/>
              </w:rPr>
              <w:t xml:space="preserve">Separation in adopted frames</w:t>
            </w:r>
          </w:p>
        </w:tc>
        <w:tc>
          <w:tcPr>
            <w:tcW w:type="dxa" w:w="5040"/>
            <w:tcMar>
              <w:top w:w="65" w:type="dxa"/>
              <w:bottom w:w="65" w:type="dxa"/>
              <w:left w:w="90" w:type="dxa"/>
              <w:right w:w="90" w:type="dxa"/>
            </w:tcMar>
            <w:shd w:fill="F0F0F0"/>
          </w:tcPr>
          <w:p>
            <w:pPr>
              <w:pStyle w:val="Compact"/>
              <w:spacing w:before="0" w:after="0" w:line="254" w:lineRule="auto"/>
              <w:jc w:val="right"/>
            </w:pPr>
            <w:r>
              <w:rPr>
                <w:b/>
                <w:sz w:val="21"/>
              </w:rPr>
              <w:t xml:space="preserve">Same outcome probability</w:t>
            </w:r>
          </w:p>
        </w:tc>
      </w:tr>
      <w:tr>
        <w:trPr>
          <w:cantSplit/>
        </w:trPr>
        <w:tc>
          <w:tcPr>
            <w:tcW w:type="dxa" w:w="5184"/>
            <w:tcMar>
              <w:top w:w="65" w:type="dxa"/>
              <w:bottom w:w="65" w:type="dxa"/>
              <w:left w:w="90" w:type="dxa"/>
              <w:right w:w="90" w:type="dxa"/>
            </w:tcMar>
          </w:tcPr>
          <w:p>
            <w:pPr>
              <w:pStyle w:val="Compact"/>
              <w:spacing w:before="0" w:after="0" w:line="254" w:lineRule="auto"/>
              <w:jc w:val="right"/>
            </w:pPr>
            <w:r>
              <w:rPr>
                <w:sz w:val="21"/>
              </w:rPr>
              <w:t xml:space="preserve">1</w:t>
            </w:r>
          </w:p>
        </w:tc>
        <w:tc>
          <w:tcPr>
            <w:tcW w:type="dxa" w:w="5040"/>
            <w:tcMar>
              <w:top w:w="65" w:type="dxa"/>
              <w:bottom w:w="65" w:type="dxa"/>
              <w:left w:w="90" w:type="dxa"/>
              <w:right w:w="90" w:type="dxa"/>
            </w:tcMar>
          </w:tcPr>
          <w:p>
            <w:pPr>
              <w:pStyle w:val="Compact"/>
              <w:spacing w:before="0" w:after="0" w:line="254" w:lineRule="auto"/>
              <w:jc w:val="right"/>
            </w:pPr>
            <w:r>
              <w:rPr>
                <w:sz w:val="21"/>
              </w:rPr>
              <w:t xml:space="preserve">0.675164206721</w:t>
            </w:r>
          </w:p>
        </w:tc>
      </w:tr>
      <w:tr>
        <w:trPr>
          <w:cantSplit/>
        </w:trPr>
        <w:tc>
          <w:tcPr>
            <w:tcW w:type="dxa" w:w="5184"/>
            <w:tcMar>
              <w:top w:w="65" w:type="dxa"/>
              <w:bottom w:w="65" w:type="dxa"/>
              <w:left w:w="90" w:type="dxa"/>
              <w:right w:w="90" w:type="dxa"/>
            </w:tcMar>
          </w:tcPr>
          <w:p>
            <w:pPr>
              <w:pStyle w:val="Compact"/>
              <w:spacing w:before="0" w:after="0" w:line="254" w:lineRule="auto"/>
              <w:jc w:val="right"/>
            </w:pPr>
            <w:r>
              <w:rPr>
                <w:sz w:val="21"/>
              </w:rPr>
              <w:t xml:space="preserve">2</w:t>
            </w:r>
          </w:p>
        </w:tc>
        <w:tc>
          <w:tcPr>
            <w:tcW w:type="dxa" w:w="5040"/>
            <w:tcMar>
              <w:top w:w="65" w:type="dxa"/>
              <w:bottom w:w="65" w:type="dxa"/>
              <w:left w:w="90" w:type="dxa"/>
              <w:right w:w="90" w:type="dxa"/>
            </w:tcMar>
          </w:tcPr>
          <w:p>
            <w:pPr>
              <w:pStyle w:val="Compact"/>
              <w:spacing w:before="0" w:after="0" w:line="254" w:lineRule="auto"/>
              <w:jc w:val="right"/>
            </w:pPr>
            <w:r>
              <w:rPr>
                <w:sz w:val="21"/>
              </w:rPr>
              <w:t xml:space="preserve">0.122729997265</w:t>
            </w:r>
          </w:p>
        </w:tc>
      </w:tr>
      <w:tr>
        <w:trPr>
          <w:cantSplit/>
        </w:trPr>
        <w:tc>
          <w:tcPr>
            <w:tcW w:type="dxa" w:w="5184"/>
            <w:tcMar>
              <w:top w:w="65" w:type="dxa"/>
              <w:bottom w:w="65" w:type="dxa"/>
              <w:left w:w="90" w:type="dxa"/>
              <w:right w:w="90" w:type="dxa"/>
            </w:tcMar>
          </w:tcPr>
          <w:p>
            <w:pPr>
              <w:pStyle w:val="Compact"/>
              <w:spacing w:before="0" w:after="0" w:line="254" w:lineRule="auto"/>
              <w:jc w:val="right"/>
            </w:pPr>
            <w:r>
              <w:rPr>
                <w:sz w:val="21"/>
              </w:rPr>
              <w:t xml:space="preserve">4</w:t>
            </w:r>
          </w:p>
        </w:tc>
        <w:tc>
          <w:tcPr>
            <w:tcW w:type="dxa" w:w="5040"/>
            <w:tcMar>
              <w:top w:w="65" w:type="dxa"/>
              <w:bottom w:w="65" w:type="dxa"/>
              <w:left w:w="90" w:type="dxa"/>
              <w:right w:w="90" w:type="dxa"/>
            </w:tcMar>
          </w:tcPr>
          <w:p>
            <w:pPr>
              <w:pStyle w:val="Compact"/>
              <w:spacing w:before="0" w:after="0" w:line="254" w:lineRule="auto"/>
              <w:jc w:val="right"/>
            </w:pPr>
            <w:r>
              <w:rPr>
                <w:sz w:val="21"/>
              </w:rPr>
              <w:t xml:space="preserve">0.569330619854</w:t>
            </w:r>
          </w:p>
        </w:tc>
      </w:tr>
    </w:tbl>
    <w:p>
      <w:pPr>
        <w:pStyle w:val="BodyText"/>
      </w:pPr>
      <w:r>
        <w:t xml:space="preserve">The clock mapping is an adopted construction, not an identified physical clock rate. These are conditional transition predictions. They do not include the energy of a repeated write/reset cycle or cumulative storage of all simulated records.</w:t>
      </w:r>
    </w:p>
    <w:p>
      <w:pPr>
        <w:pStyle w:val="BodyText"/>
        <w:spacing w:before="0" w:after="0" w:line="240" w:lineRule="auto"/>
      </w:pPr>
      <w:r>
        <w:br w:type="page"/>
      </w:r>
    </w:p>
    <w:bookmarkEnd w:id="24"/>
    <w:bookmarkStart w:id="25" w:name="X3bcc70d5817e85a314b305290f1ef264ac9f55d"/>
    <w:p>
      <w:pPr>
        <w:pStyle w:val="Heading1"/>
      </w:pPr>
      <w:r>
        <w:t xml:space="preserve">4 The same energy in the homogeneous ledger</w:t>
      </w:r>
    </w:p>
    <w:p>
      <w:pPr>
        <w:pStyle w:val="FirstParagraph"/>
      </w:pPr>
      <w:r>
        <w:t xml:space="preserve">To connect the individual state calculation to the inherited reference volume, multiply its mean increments by</w:t>
      </w:r>
      <w:r>
        <w:t xml:space="preserve"> </w:t>
      </w:r>
      <m:oMath>
        <m:bar>
          <m:barPr>
            <m:pos m:val="top"/>
          </m:barPr>
          <m:e>
            <m:r>
              <m:t>N</m:t>
            </m:r>
          </m:e>
        </m:bar>
      </m:oMath>
      <w:r>
        <w:t xml:space="preserve">. This defines a mean ensemble ledger for one ideal write per occupant. It does not make the small volume budget sufficient to perform one actual proton write; the individual controller on page 3 provides that separate illustration.</w:t>
      </w:r>
    </w:p>
    <w:p>
      <w:pPr>
        <w:pStyle w:val="BodyText"/>
      </w:pPr>
      <w:r>
        <w:t xml:space="preserve">The mean internal increase is</w:t>
      </w:r>
      <w:r>
        <w:t xml:space="preserve"> </w:t>
      </w:r>
      <m:oMath>
        <m:r>
          <m:t>7.0374395222</m:t>
        </m:r>
        <m:r>
          <m:rPr>
            <m:nor m:val="1"/>
          </m:rPr>
          <m:t>×</m:t>
        </m:r>
        <m:sSup>
          <m:e>
            <m:r>
              <m:t>10</m:t>
            </m:r>
          </m:e>
          <m:sup>
            <m:r>
              <m:rPr>
                <m:nor m:val="1"/>
              </m:rPr>
              <m:t>−</m:t>
            </m:r>
            <m:r>
              <m:t>12</m:t>
            </m:r>
          </m:sup>
        </m:sSup>
        <m:r>
          <m:t> </m:t>
        </m:r>
        <m:r>
          <m:rPr>
            <m:nor m:val="1"/>
          </m:rPr>
          <m:t>J</m:t>
        </m:r>
      </m:oMath>
      <w:r>
        <w:t xml:space="preserve"> </w:t>
      </w:r>
      <w:r>
        <w:t xml:space="preserve">and the mean record increase is</w:t>
      </w:r>
      <w:r>
        <w:t xml:space="preserve"> </w:t>
      </w:r>
      <m:oMath>
        <m:r>
          <m:t>4.3176187869</m:t>
        </m:r>
        <m:r>
          <m:rPr>
            <m:nor m:val="1"/>
          </m:rPr>
          <m:t>×</m:t>
        </m:r>
        <m:sSup>
          <m:e>
            <m:r>
              <m:t>10</m:t>
            </m:r>
          </m:e>
          <m:sup>
            <m:r>
              <m:rPr>
                <m:nor m:val="1"/>
              </m:rPr>
              <m:t>−</m:t>
            </m:r>
            <m:r>
              <m:t>16</m:t>
            </m:r>
          </m:sup>
        </m:sSup>
        <m:r>
          <m:t> </m:t>
        </m:r>
        <m:r>
          <m:rPr>
            <m:nor m:val="1"/>
          </m:rPr>
          <m:t>J</m:t>
        </m:r>
      </m:oMath>
      <w:r>
        <w:t xml:space="preserve">. Their sum,</w:t>
      </w:r>
      <w:r>
        <w:t xml:space="preserve"> </w:t>
      </w:r>
      <m:oMath>
        <m:r>
          <m:t>δ</m:t>
        </m:r>
        <m:sSub>
          <m:e>
            <m:r>
              <m:t>E</m:t>
            </m:r>
          </m:e>
          <m:sub>
            <m:r>
              <m:rPr>
                <m:nor m:val="1"/>
              </m:rPr>
              <m:t>write</m:t>
            </m:r>
          </m:sub>
        </m:sSub>
        <m:r>
          <m:rPr>
            <m:nor m:val="1"/>
          </m:rPr>
          <m:t>=</m:t>
        </m:r>
        <m:r>
          <m:t>7.0378712840</m:t>
        </m:r>
        <m:r>
          <m:rPr>
            <m:nor m:val="1"/>
          </m:rPr>
          <m:t>×</m:t>
        </m:r>
        <m:sSup>
          <m:e>
            <m:r>
              <m:t>10</m:t>
            </m:r>
          </m:e>
          <m:sup>
            <m:r>
              <m:rPr>
                <m:nor m:val="1"/>
              </m:rPr>
              <m:t>−</m:t>
            </m:r>
            <m:r>
              <m:t>12</m:t>
            </m:r>
          </m:sup>
        </m:sSup>
        <m:r>
          <m:t> </m:t>
        </m:r>
        <m:r>
          <m:rPr>
            <m:nor m:val="1"/>
          </m:rPr>
          <m:t>J</m:t>
        </m:r>
      </m:oMath>
      <w:r>
        <w:t xml:space="preserve">, is supplied once. The finite mean supplier begins with</w:t>
      </w:r>
      <w:r>
        <w:t xml:space="preserve"> </w:t>
      </w:r>
      <m:oMath>
        <m:r>
          <m:t>7.5615824991</m:t>
        </m:r>
        <m:r>
          <m:rPr>
            <m:nor m:val="1"/>
          </m:rPr>
          <m:t>×</m:t>
        </m:r>
        <m:sSup>
          <m:e>
            <m:r>
              <m:t>10</m:t>
            </m:r>
          </m:e>
          <m:sup>
            <m:r>
              <m:rPr>
                <m:nor m:val="1"/>
              </m:rPr>
              <m:t>−</m:t>
            </m:r>
            <m:r>
              <m:t>12</m:t>
            </m:r>
          </m:sup>
        </m:sSup>
        <m:r>
          <m:t> </m:t>
        </m:r>
        <m:r>
          <m:rPr>
            <m:nor m:val="1"/>
          </m:rPr>
          <m:t>J</m:t>
        </m:r>
      </m:oMath>
      <w:r>
        <w:t xml:space="preserve">.</w:t>
      </w:r>
    </w:p>
    <w:p>
      <w:pPr>
        <w:pStyle w:val="BodyText"/>
        <w:keepNext/>
      </w:pPr>
      <w:r>
        <w:rPr>
          <w:i w:val="0"/>
          <w:sz w:val="21"/>
        </w:rPr>
        <w:t xml:space="preserve">Table 3 Mean energy accounts at the same reference volume</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3204"/>
        <w:gridCol w:w="3204"/>
      </w:tblGrid>
      <w:tr>
        <w:trPr>
          <w:tblHeader w:val="true"/>
          <w:cantSplit/>
          <w:tblHeader/>
        </w:trPr>
        <w:tc>
          <w:tcPr>
            <w:tcW w:type="dxa" w:w="3816"/>
            <w:tcMar>
              <w:top w:w="65" w:type="dxa"/>
              <w:bottom w:w="65" w:type="dxa"/>
              <w:left w:w="90" w:type="dxa"/>
              <w:right w:w="90" w:type="dxa"/>
            </w:tcMar>
            <w:shd w:fill="F0F0F0"/>
          </w:tcPr>
          <w:p>
            <w:pPr>
              <w:pStyle w:val="Compact"/>
              <w:spacing w:before="0" w:after="0" w:line="254" w:lineRule="auto"/>
              <w:jc w:val="left"/>
            </w:pPr>
            <w:r>
              <w:rPr>
                <w:b/>
                <w:sz w:val="21"/>
              </w:rPr>
              <w:t xml:space="preserve">Boundary quantity</w:t>
            </w:r>
          </w:p>
        </w:tc>
        <w:tc>
          <w:tcPr>
            <w:tcW w:type="dxa" w:w="3204"/>
            <w:tcMar>
              <w:top w:w="65" w:type="dxa"/>
              <w:bottom w:w="65" w:type="dxa"/>
              <w:left w:w="90" w:type="dxa"/>
              <w:right w:w="90" w:type="dxa"/>
            </w:tcMar>
            <w:shd w:fill="F0F0F0"/>
          </w:tcPr>
          <w:p>
            <w:pPr>
              <w:pStyle w:val="Compact"/>
              <w:spacing w:before="0" w:after="0" w:line="254" w:lineRule="auto"/>
              <w:jc w:val="right"/>
            </w:pPr>
            <w:r>
              <w:rPr>
                <w:b/>
                <w:sz w:val="21"/>
              </w:rPr>
              <w:t xml:space="preserve">Before</w:t>
            </w:r>
          </w:p>
        </w:tc>
        <w:tc>
          <w:tcPr>
            <w:tcW w:type="dxa" w:w="3204"/>
            <w:tcMar>
              <w:top w:w="65" w:type="dxa"/>
              <w:bottom w:w="65" w:type="dxa"/>
              <w:left w:w="90" w:type="dxa"/>
              <w:right w:w="90" w:type="dxa"/>
            </w:tcMar>
            <w:shd w:fill="F0F0F0"/>
          </w:tcPr>
          <w:p>
            <w:pPr>
              <w:pStyle w:val="Compact"/>
              <w:spacing w:before="0" w:after="0" w:line="254" w:lineRule="auto"/>
              <w:jc w:val="right"/>
            </w:pPr>
            <w:r>
              <w:rPr>
                <w:b/>
                <w:sz w:val="21"/>
              </w:rPr>
              <w:t xml:space="preserve">After</w:t>
            </w:r>
          </w:p>
        </w:tc>
      </w:tr>
      <w:tr>
        <w:trPr>
          <w:cantSplit/>
        </w:trPr>
        <w:tc>
          <w:tcPr>
            <w:tcW w:type="dxa" w:w="3816"/>
            <w:tcMar>
              <w:top w:w="65" w:type="dxa"/>
              <w:bottom w:w="65" w:type="dxa"/>
              <w:left w:w="90" w:type="dxa"/>
              <w:right w:w="90" w:type="dxa"/>
            </w:tcMar>
          </w:tcPr>
          <w:p>
            <w:pPr>
              <w:pStyle w:val="Compact"/>
              <w:spacing w:before="0" w:after="0" w:line="254" w:lineRule="auto"/>
              <w:jc w:val="left"/>
            </w:pPr>
            <w:r>
              <w:rPr>
                <w:sz w:val="21"/>
              </w:rPr>
              <w:t xml:space="preserve">System including record in J</w:t>
            </w:r>
          </w:p>
        </w:tc>
        <w:tc>
          <w:tcPr>
            <w:tcW w:type="dxa" w:w="3204"/>
            <w:tcMar>
              <w:top w:w="65" w:type="dxa"/>
              <w:bottom w:w="65" w:type="dxa"/>
              <w:left w:w="90" w:type="dxa"/>
              <w:right w:w="90" w:type="dxa"/>
            </w:tcMar>
          </w:tcPr>
          <w:p>
            <w:pPr>
              <w:pStyle w:val="Compact"/>
              <w:spacing w:before="0" w:after="0" w:line="254" w:lineRule="auto"/>
              <w:jc w:val="right"/>
            </w:pPr>
            <m:oMath>
              <m:r>
                <m:t>7.6689477678</m:t>
              </m:r>
              <m:r>
                <m:rPr>
                  <m:nor m:val="1"/>
                </m:rPr>
                <m:t>×</m:t>
              </m:r>
              <m:sSup>
                <m:e>
                  <m:r>
                    <m:t>10</m:t>
                  </m:r>
                </m:e>
                <m:sup>
                  <m:r>
                    <m:rPr>
                      <m:nor m:val="1"/>
                    </m:rPr>
                    <m:t>−</m:t>
                  </m:r>
                  <m:r>
                    <m:t>10</m:t>
                  </m:r>
                </m:sup>
              </m:sSup>
            </m:oMath>
          </w:p>
        </w:tc>
        <w:tc>
          <w:tcPr>
            <w:tcW w:type="dxa" w:w="3204"/>
            <w:tcMar>
              <w:top w:w="65" w:type="dxa"/>
              <w:bottom w:w="65" w:type="dxa"/>
              <w:left w:w="90" w:type="dxa"/>
              <w:right w:w="90" w:type="dxa"/>
            </w:tcMar>
          </w:tcPr>
          <w:p>
            <w:pPr>
              <w:pStyle w:val="Compact"/>
              <w:spacing w:before="0" w:after="0" w:line="254" w:lineRule="auto"/>
              <w:jc w:val="right"/>
            </w:pPr>
            <m:oMath>
              <m:r>
                <m:t>7.7393264807</m:t>
              </m:r>
              <m:r>
                <m:rPr>
                  <m:nor m:val="1"/>
                </m:rPr>
                <m:t>×</m:t>
              </m:r>
              <m:sSup>
                <m:e>
                  <m:r>
                    <m:t>10</m:t>
                  </m:r>
                </m:e>
                <m:sup>
                  <m:r>
                    <m:rPr>
                      <m:nor m:val="1"/>
                    </m:rPr>
                    <m:t>−</m:t>
                  </m:r>
                  <m:r>
                    <m:t>10</m:t>
                  </m:r>
                </m:sup>
              </m:sSup>
            </m:oMath>
          </w:p>
        </w:tc>
      </w:tr>
      <w:tr>
        <w:trPr>
          <w:cantSplit/>
        </w:trPr>
        <w:tc>
          <w:tcPr>
            <w:tcW w:type="dxa" w:w="3816"/>
            <w:tcMar>
              <w:top w:w="65" w:type="dxa"/>
              <w:bottom w:w="65" w:type="dxa"/>
              <w:left w:w="90" w:type="dxa"/>
              <w:right w:w="90" w:type="dxa"/>
            </w:tcMar>
          </w:tcPr>
          <w:p>
            <w:pPr>
              <w:pStyle w:val="Compact"/>
              <w:spacing w:before="0" w:after="0" w:line="254" w:lineRule="auto"/>
              <w:jc w:val="left"/>
            </w:pPr>
            <w:r>
              <w:rPr>
                <w:sz w:val="21"/>
              </w:rPr>
              <w:t xml:space="preserve">Supplier in J</w:t>
            </w:r>
          </w:p>
        </w:tc>
        <w:tc>
          <w:tcPr>
            <w:tcW w:type="dxa" w:w="3204"/>
            <w:tcMar>
              <w:top w:w="65" w:type="dxa"/>
              <w:bottom w:w="65" w:type="dxa"/>
              <w:left w:w="90" w:type="dxa"/>
              <w:right w:w="90" w:type="dxa"/>
            </w:tcMar>
          </w:tcPr>
          <w:p>
            <w:pPr>
              <w:pStyle w:val="Compact"/>
              <w:spacing w:before="0" w:after="0" w:line="254" w:lineRule="auto"/>
              <w:jc w:val="right"/>
            </w:pPr>
            <m:oMath>
              <m:r>
                <m:t>7.5615824991</m:t>
              </m:r>
              <m:r>
                <m:rPr>
                  <m:nor m:val="1"/>
                </m:rPr>
                <m:t>×</m:t>
              </m:r>
              <m:sSup>
                <m:e>
                  <m:r>
                    <m:t>10</m:t>
                  </m:r>
                </m:e>
                <m:sup>
                  <m:r>
                    <m:rPr>
                      <m:nor m:val="1"/>
                    </m:rPr>
                    <m:t>−</m:t>
                  </m:r>
                  <m:r>
                    <m:t>12</m:t>
                  </m:r>
                </m:sup>
              </m:sSup>
            </m:oMath>
          </w:p>
        </w:tc>
        <w:tc>
          <w:tcPr>
            <w:tcW w:type="dxa" w:w="3204"/>
            <w:tcMar>
              <w:top w:w="65" w:type="dxa"/>
              <w:bottom w:w="65" w:type="dxa"/>
              <w:left w:w="90" w:type="dxa"/>
              <w:right w:w="90" w:type="dxa"/>
            </w:tcMar>
          </w:tcPr>
          <w:p>
            <w:pPr>
              <w:pStyle w:val="Compact"/>
              <w:spacing w:before="0" w:after="0" w:line="254" w:lineRule="auto"/>
              <w:jc w:val="right"/>
            </w:pPr>
            <m:oMath>
              <m:r>
                <m:t>5.2371121503</m:t>
              </m:r>
              <m:r>
                <m:rPr>
                  <m:nor m:val="1"/>
                </m:rPr>
                <m:t>×</m:t>
              </m:r>
              <m:sSup>
                <m:e>
                  <m:r>
                    <m:t>10</m:t>
                  </m:r>
                </m:e>
                <m:sup>
                  <m:r>
                    <m:rPr>
                      <m:nor m:val="1"/>
                    </m:rPr>
                    <m:t>−</m:t>
                  </m:r>
                  <m:r>
                    <m:t>13</m:t>
                  </m:r>
                </m:sup>
              </m:sSup>
            </m:oMath>
          </w:p>
        </w:tc>
      </w:tr>
      <w:tr>
        <w:trPr>
          <w:cantSplit/>
        </w:trPr>
        <w:tc>
          <w:tcPr>
            <w:tcW w:type="dxa" w:w="3816"/>
            <w:tcMar>
              <w:top w:w="65" w:type="dxa"/>
              <w:bottom w:w="65" w:type="dxa"/>
              <w:left w:w="90" w:type="dxa"/>
              <w:right w:w="90" w:type="dxa"/>
            </w:tcMar>
          </w:tcPr>
          <w:p>
            <w:pPr>
              <w:pStyle w:val="Compact"/>
              <w:spacing w:before="0" w:after="0" w:line="254" w:lineRule="auto"/>
              <w:jc w:val="left"/>
            </w:pPr>
            <w:r>
              <w:rPr>
                <w:sz w:val="21"/>
              </w:rPr>
              <w:t xml:space="preserve">System plus supplier in J</w:t>
            </w:r>
          </w:p>
        </w:tc>
        <w:tc>
          <w:tcPr>
            <w:tcW w:type="dxa" w:w="3204"/>
            <w:tcMar>
              <w:top w:w="65" w:type="dxa"/>
              <w:bottom w:w="65" w:type="dxa"/>
              <w:left w:w="90" w:type="dxa"/>
              <w:right w:w="90" w:type="dxa"/>
            </w:tcMar>
          </w:tcPr>
          <w:p>
            <w:pPr>
              <w:pStyle w:val="Compact"/>
              <w:spacing w:before="0" w:after="0" w:line="254" w:lineRule="auto"/>
              <w:jc w:val="right"/>
            </w:pPr>
            <m:oMath>
              <m:r>
                <m:t>7.7445635928</m:t>
              </m:r>
              <m:r>
                <m:rPr>
                  <m:nor m:val="1"/>
                </m:rPr>
                <m:t>×</m:t>
              </m:r>
              <m:sSup>
                <m:e>
                  <m:r>
                    <m:t>10</m:t>
                  </m:r>
                </m:e>
                <m:sup>
                  <m:r>
                    <m:rPr>
                      <m:nor m:val="1"/>
                    </m:rPr>
                    <m:t>−</m:t>
                  </m:r>
                  <m:r>
                    <m:t>10</m:t>
                  </m:r>
                </m:sup>
              </m:sSup>
            </m:oMath>
          </w:p>
        </w:tc>
        <w:tc>
          <w:tcPr>
            <w:tcW w:type="dxa" w:w="3204"/>
            <w:tcMar>
              <w:top w:w="65" w:type="dxa"/>
              <w:bottom w:w="65" w:type="dxa"/>
              <w:left w:w="90" w:type="dxa"/>
              <w:right w:w="90" w:type="dxa"/>
            </w:tcMar>
          </w:tcPr>
          <w:p>
            <w:pPr>
              <w:pStyle w:val="Compact"/>
              <w:spacing w:before="0" w:after="0" w:line="254" w:lineRule="auto"/>
              <w:jc w:val="right"/>
            </w:pPr>
            <m:oMath>
              <m:r>
                <m:t>7.7445635928</m:t>
              </m:r>
              <m:r>
                <m:rPr>
                  <m:nor m:val="1"/>
                </m:rPr>
                <m:t>×</m:t>
              </m:r>
              <m:sSup>
                <m:e>
                  <m:r>
                    <m:t>10</m:t>
                  </m:r>
                </m:e>
                <m:sup>
                  <m:r>
                    <m:rPr>
                      <m:nor m:val="1"/>
                    </m:rPr>
                    <m:t>−</m:t>
                  </m:r>
                  <m:r>
                    <m:t>10</m:t>
                  </m:r>
                </m:sup>
              </m:sSup>
            </m:oMath>
          </w:p>
        </w:tc>
      </w:tr>
      <w:tr>
        <w:trPr>
          <w:cantSplit/>
        </w:trPr>
        <w:tc>
          <w:tcPr>
            <w:tcW w:type="dxa" w:w="3816"/>
            <w:tcMar>
              <w:top w:w="65" w:type="dxa"/>
              <w:bottom w:w="65" w:type="dxa"/>
              <w:left w:w="90" w:type="dxa"/>
              <w:right w:w="90" w:type="dxa"/>
            </w:tcMar>
          </w:tcPr>
          <w:p>
            <w:pPr>
              <w:pStyle w:val="Compact"/>
              <w:spacing w:before="0" w:after="0" w:line="254" w:lineRule="auto"/>
              <w:jc w:val="left"/>
            </w:pPr>
            <w:r>
              <w:rPr>
                <w:sz w:val="21"/>
              </w:rPr>
              <w:t xml:space="preserve">Pressure in Pa</w:t>
            </w:r>
          </w:p>
        </w:tc>
        <w:tc>
          <w:tcPr>
            <w:tcW w:type="dxa" w:w="3204"/>
            <w:tcMar>
              <w:top w:w="65" w:type="dxa"/>
              <w:bottom w:w="65" w:type="dxa"/>
              <w:left w:w="90" w:type="dxa"/>
              <w:right w:w="90" w:type="dxa"/>
            </w:tcMar>
          </w:tcPr>
          <w:p>
            <w:pPr>
              <w:pStyle w:val="Compact"/>
              <w:spacing w:before="0" w:after="0" w:line="254" w:lineRule="auto"/>
              <w:jc w:val="right"/>
            </w:pPr>
            <m:oMath>
              <m:r>
                <m:rPr>
                  <m:nor m:val="1"/>
                </m:rPr>
                <m:t>−</m:t>
              </m:r>
              <m:r>
                <m:t>5.2585974844</m:t>
              </m:r>
              <m:r>
                <m:rPr>
                  <m:nor m:val="1"/>
                </m:rPr>
                <m:t>×</m:t>
              </m:r>
              <m:sSup>
                <m:e>
                  <m:r>
                    <m:t>10</m:t>
                  </m:r>
                </m:e>
                <m:sup>
                  <m:r>
                    <m:rPr>
                      <m:nor m:val="1"/>
                    </m:rPr>
                    <m:t>−</m:t>
                  </m:r>
                  <m:r>
                    <m:t>10</m:t>
                  </m:r>
                </m:sup>
              </m:sSup>
            </m:oMath>
          </w:p>
        </w:tc>
        <w:tc>
          <w:tcPr>
            <w:tcW w:type="dxa" w:w="3204"/>
            <w:tcMar>
              <w:top w:w="65" w:type="dxa"/>
              <w:bottom w:w="65" w:type="dxa"/>
              <w:left w:w="90" w:type="dxa"/>
              <w:right w:w="90" w:type="dxa"/>
            </w:tcMar>
          </w:tcPr>
          <w:p>
            <w:pPr>
              <w:pStyle w:val="Compact"/>
              <w:spacing w:before="0" w:after="0" w:line="254" w:lineRule="auto"/>
              <w:jc w:val="right"/>
            </w:pPr>
            <m:oMath>
              <m:r>
                <m:rPr>
                  <m:nor m:val="1"/>
                </m:rPr>
                <m:t>−</m:t>
              </m:r>
              <m:r>
                <m:t>5.2585974844</m:t>
              </m:r>
              <m:r>
                <m:rPr>
                  <m:nor m:val="1"/>
                </m:rPr>
                <m:t>×</m:t>
              </m:r>
              <m:sSup>
                <m:e>
                  <m:r>
                    <m:t>10</m:t>
                  </m:r>
                </m:e>
                <m:sup>
                  <m:r>
                    <m:rPr>
                      <m:nor m:val="1"/>
                    </m:rPr>
                    <m:t>−</m:t>
                  </m:r>
                  <m:r>
                    <m:t>10</m:t>
                  </m:r>
                </m:sup>
              </m:sSup>
            </m:oMath>
          </w:p>
        </w:tc>
      </w:tr>
      <w:tr>
        <w:trPr>
          <w:cantSplit/>
        </w:trPr>
        <w:tc>
          <w:tcPr>
            <w:tcW w:type="dxa" w:w="3816"/>
            <w:tcMar>
              <w:top w:w="65" w:type="dxa"/>
              <w:bottom w:w="65" w:type="dxa"/>
              <w:left w:w="90" w:type="dxa"/>
              <w:right w:w="90" w:type="dxa"/>
            </w:tcMar>
          </w:tcPr>
          <w:p>
            <w:pPr>
              <w:pStyle w:val="Compact"/>
              <w:spacing w:before="0" w:after="0" w:line="254" w:lineRule="auto"/>
              <w:jc w:val="left"/>
            </w:pPr>
            <m:oMath>
              <m:r>
                <m:t>q</m:t>
              </m:r>
            </m:oMath>
            <w:r>
              <w:rPr>
                <w:sz w:val="21"/>
              </w:rPr>
              <w:t xml:space="preserve"> </w:t>
            </w:r>
            <w:r>
              <w:rPr>
                <w:sz w:val="21"/>
              </w:rPr>
              <w:t xml:space="preserve">with supplier outside</w:t>
            </w:r>
          </w:p>
        </w:tc>
        <w:tc>
          <w:tcPr>
            <w:tcW w:type="dxa" w:w="3204"/>
            <w:tcMar>
              <w:top w:w="65" w:type="dxa"/>
              <w:bottom w:w="65" w:type="dxa"/>
              <w:left w:w="90" w:type="dxa"/>
              <w:right w:w="90" w:type="dxa"/>
            </w:tcMar>
          </w:tcPr>
          <w:p>
            <w:pPr>
              <w:pStyle w:val="Compact"/>
              <w:spacing w:before="0" w:after="0" w:line="254" w:lineRule="auto"/>
              <w:jc w:val="right"/>
            </w:pPr>
            <w:r>
              <w:rPr>
                <w:sz w:val="21"/>
              </w:rPr>
              <w:t xml:space="preserve">−0.528550000000</w:t>
            </w:r>
          </w:p>
        </w:tc>
        <w:tc>
          <w:tcPr>
            <w:tcW w:type="dxa" w:w="3204"/>
            <w:tcMar>
              <w:top w:w="65" w:type="dxa"/>
              <w:bottom w:w="65" w:type="dxa"/>
              <w:left w:w="90" w:type="dxa"/>
              <w:right w:w="90" w:type="dxa"/>
            </w:tcMar>
          </w:tcPr>
          <w:p>
            <w:pPr>
              <w:pStyle w:val="Compact"/>
              <w:spacing w:before="0" w:after="0" w:line="254" w:lineRule="auto"/>
              <w:jc w:val="right"/>
            </w:pPr>
            <w:r>
              <w:rPr>
                <w:sz w:val="21"/>
              </w:rPr>
              <w:t xml:space="preserve">−0.519196728075</w:t>
            </w:r>
          </w:p>
        </w:tc>
      </w:tr>
      <w:tr>
        <w:trPr>
          <w:cantSplit/>
        </w:trPr>
        <w:tc>
          <w:tcPr>
            <w:tcW w:type="dxa" w:w="3816"/>
            <w:tcMar>
              <w:top w:w="65" w:type="dxa"/>
              <w:bottom w:w="65" w:type="dxa"/>
              <w:left w:w="90" w:type="dxa"/>
              <w:right w:w="90" w:type="dxa"/>
            </w:tcMar>
          </w:tcPr>
          <w:p>
            <w:pPr>
              <w:pStyle w:val="Compact"/>
              <w:spacing w:before="0" w:after="0" w:line="254" w:lineRule="auto"/>
              <w:jc w:val="left"/>
            </w:pPr>
            <m:oMath>
              <m:r>
                <m:t>q</m:t>
              </m:r>
            </m:oMath>
            <w:r>
              <w:rPr>
                <w:sz w:val="21"/>
              </w:rPr>
              <w:t xml:space="preserve"> </w:t>
            </w:r>
            <w:r>
              <w:rPr>
                <w:sz w:val="21"/>
              </w:rPr>
              <w:t xml:space="preserve">with pressureless supplier inside</w:t>
            </w:r>
          </w:p>
        </w:tc>
        <w:tc>
          <w:tcPr>
            <w:tcW w:type="dxa" w:w="3204"/>
            <w:tcMar>
              <w:top w:w="65" w:type="dxa"/>
              <w:bottom w:w="65" w:type="dxa"/>
              <w:left w:w="90" w:type="dxa"/>
              <w:right w:w="90" w:type="dxa"/>
            </w:tcMar>
          </w:tcPr>
          <w:p>
            <w:pPr>
              <w:pStyle w:val="Compact"/>
              <w:spacing w:before="0" w:after="0" w:line="254" w:lineRule="auto"/>
              <w:jc w:val="right"/>
            </w:pPr>
            <w:r>
              <w:rPr>
                <w:sz w:val="21"/>
              </w:rPr>
              <w:t xml:space="preserve">−0.518507515893</w:t>
            </w:r>
          </w:p>
        </w:tc>
        <w:tc>
          <w:tcPr>
            <w:tcW w:type="dxa" w:w="3204"/>
            <w:tcMar>
              <w:top w:w="65" w:type="dxa"/>
              <w:bottom w:w="65" w:type="dxa"/>
              <w:left w:w="90" w:type="dxa"/>
              <w:right w:w="90" w:type="dxa"/>
            </w:tcMar>
          </w:tcPr>
          <w:p>
            <w:pPr>
              <w:pStyle w:val="Compact"/>
              <w:spacing w:before="0" w:after="0" w:line="254" w:lineRule="auto"/>
              <w:jc w:val="right"/>
            </w:pPr>
            <w:r>
              <w:rPr>
                <w:sz w:val="21"/>
              </w:rPr>
              <w:t xml:space="preserve">−0.518507515893</w:t>
            </w:r>
          </w:p>
        </w:tc>
      </w:tr>
    </w:tbl>
    <w:p>
      <w:pPr>
        <w:pStyle w:val="BodyText"/>
      </w:pPr>
      <w:r>
        <w:rPr>
          <w:bCs/>
          <w:b/>
        </w:rPr>
        <w:t xml:space="preserve">Volume law and boundary.</w:t>
      </w:r>
      <w:r>
        <w:t xml:space="preserve"> </w:t>
      </w:r>
      <w:r>
        <w:t xml:space="preserve">At fixed comoving occupancy and fixed state, rest, excitation,</w:t>
      </w:r>
      <w:r>
        <w:t xml:space="preserve"> </w:t>
      </w:r>
      <m:oMath>
        <m:r>
          <m:t>D</m:t>
        </m:r>
      </m:oMath>
      <w:r>
        <w:t xml:space="preserve"> </w:t>
      </w:r>
      <w:r>
        <w:t xml:space="preserve">and the modeled record are volume-independent energies. The</w:t>
      </w:r>
      <w:r>
        <w:t xml:space="preserve"> </w:t>
      </w:r>
      <m:oMath>
        <m:r>
          <m:t>R</m:t>
        </m:r>
      </m:oMath>
      <w:r>
        <w:t xml:space="preserve"> </w:t>
      </w:r>
      <w:r>
        <w:t xml:space="preserve">sector is extensive in volume:</w:t>
      </w:r>
    </w:p>
    <w:p>
      <w:pPr>
        <w:pStyle w:val="BodyText"/>
        <w:spacing w:before="40" w:after="160" w:line="252" w:lineRule="auto"/>
      </w:pPr>
      <m:oMathPara>
        <m:oMathParaPr>
          <m:jc m:val="center"/>
        </m:oMathParaPr>
        <m:oMath>
          <m:sSub>
            <m:e>
              <m:r>
                <m:t>E</m:t>
              </m:r>
            </m:e>
            <m:sub>
              <m:r>
                <m:rPr>
                  <m:nor m:val="1"/>
                </m:rPr>
                <m:t>out</m:t>
              </m:r>
            </m:sub>
          </m:sSub>
          <m:d>
            <m:dPr>
              <m:begChr m:val="("/>
              <m:endChr m:val=")"/>
              <m:sepChr m:val=""/>
              <m:grow/>
            </m:dPr>
            <m:e>
              <m:r>
                <m:t>V</m:t>
              </m:r>
            </m:e>
          </m:d>
          <m:r>
            <m:rPr>
              <m:nor m:val="1"/>
            </m:rPr>
            <m:t>=</m:t>
          </m:r>
          <m:r>
            <m:t>M</m:t>
          </m:r>
          <m:r>
            <m:rPr>
              <m:nor m:val="1"/>
            </m:rPr>
            <m:t>+</m:t>
          </m:r>
          <m:r>
            <m:t>δ</m:t>
          </m:r>
          <m:sSub>
            <m:e>
              <m:r>
                <m:t>E</m:t>
              </m:r>
            </m:e>
            <m:sub>
              <m:r>
                <m:rPr>
                  <m:nor m:val="1"/>
                </m:rPr>
                <m:t>write</m:t>
              </m:r>
            </m:sub>
          </m:sSub>
          <m:r>
            <m:rPr>
              <m:nor m:val="1"/>
            </m:rPr>
            <m:t>+</m:t>
          </m:r>
          <m:r>
            <m:t>L</m:t>
          </m:r>
          <m:r>
            <m:t>V</m:t>
          </m:r>
          <m:r>
            <m:rPr>
              <m:nor m:val="1"/>
            </m:rPr>
            <m:t>,</m:t>
          </m:r>
          <m:r>
            <m:t> </m:t>
          </m:r>
          <m:r>
            <m:t>L</m:t>
          </m:r>
          <m:r>
            <m:rPr>
              <m:nor m:val="1"/>
            </m:rPr>
            <m:t>=</m:t>
          </m:r>
          <m:f>
            <m:fPr>
              <m:type m:val="bar"/>
            </m:fPr>
            <m:num>
              <m:sSub>
                <m:e>
                  <m:r>
                    <m:t>E</m:t>
                  </m:r>
                </m:e>
                <m:sub>
                  <m:r>
                    <m:t>R</m:t>
                  </m:r>
                  <m:r>
                    <m:rPr>
                      <m:nor m:val="1"/>
                    </m:rPr>
                    <m:t>,</m:t>
                  </m:r>
                  <m:r>
                    <m:t>0</m:t>
                  </m:r>
                </m:sub>
              </m:sSub>
            </m:num>
            <m:den>
              <m:sSub>
                <m:e>
                  <m:r>
                    <m:t>V</m:t>
                  </m:r>
                </m:e>
                <m:sub>
                  <m:r>
                    <m:t>0</m:t>
                  </m:r>
                </m:sub>
              </m:sSub>
            </m:den>
          </m:f>
          <m:r>
            <m:rPr>
              <m:nor m:val="1"/>
            </m:rPr>
            <m:t>,</m:t>
          </m:r>
          <m:r>
            <m:t> </m:t>
          </m:r>
          <m:r>
            <m:t>P</m:t>
          </m:r>
          <m:r>
            <m:rPr>
              <m:nor m:val="1"/>
            </m:rPr>
            <m:t>=</m:t>
          </m:r>
          <m:r>
            <m:rPr>
              <m:nor m:val="1"/>
            </m:rPr>
            <m:t>−</m:t>
          </m:r>
          <m:f>
            <m:fPr>
              <m:type m:val="bar"/>
            </m:fPr>
            <m:num>
              <m:r>
                <m:rPr>
                  <m:nor m:val="1"/>
                </m:rPr>
                <m:t>∂</m:t>
              </m:r>
              <m:r>
                <m:t>E</m:t>
              </m:r>
            </m:num>
            <m:den>
              <m:r>
                <m:rPr>
                  <m:nor m:val="1"/>
                </m:rPr>
                <m:t>∂</m:t>
              </m:r>
              <m:r>
                <m:t>V</m:t>
              </m:r>
            </m:den>
          </m:f>
          <m:r>
            <m:rPr>
              <m:nor m:val="1"/>
            </m:rPr>
            <m:t>=</m:t>
          </m:r>
          <m:r>
            <m:rPr>
              <m:nor m:val="1"/>
            </m:rPr>
            <m:t>−</m:t>
          </m:r>
          <m:r>
            <m:t>L</m:t>
          </m:r>
          <m:r>
            <m:rPr>
              <m:nor m:val="1"/>
            </m:rPr>
            <m:t>.</m:t>
          </m:r>
        </m:oMath>
      </m:oMathPara>
    </w:p>
    <w:p>
      <w:pPr>
        <w:pStyle w:val="FirstParagraph"/>
      </w:pPr>
      <m:oMath>
        <m:r>
          <m:t>M</m:t>
        </m:r>
      </m:oMath>
      <w:r>
        <w:t xml:space="preserve"> </w:t>
      </w:r>
      <w:r>
        <w:t xml:space="preserve">contains the pre-write constant energies. Before the write, omit</w:t>
      </w:r>
      <w:r>
        <w:t xml:space="preserve"> </w:t>
      </w:r>
      <m:oMath>
        <m:r>
          <m:t>δ</m:t>
        </m:r>
        <m:sSub>
          <m:e>
            <m:r>
              <m:t>E</m:t>
            </m:r>
          </m:e>
          <m:sub>
            <m:r>
              <m:rPr>
                <m:nor m:val="1"/>
              </m:rPr>
              <m:t>write</m:t>
            </m:r>
          </m:sub>
        </m:sSub>
      </m:oMath>
      <w:r>
        <w:t xml:space="preserve">. With</w:t>
      </w:r>
      <w:r>
        <w:t xml:space="preserve"> </w:t>
      </w:r>
      <m:oMath>
        <m:r>
          <m:t>u</m:t>
        </m:r>
        <m:r>
          <m:rPr>
            <m:nor m:val="1"/>
          </m:rPr>
          <m:t>=</m:t>
        </m:r>
        <m:r>
          <m:t>E</m:t>
        </m:r>
        <m:r>
          <m:rPr>
            <m:nor m:val="1"/>
          </m:rPr>
          <m:t>/</m:t>
        </m:r>
        <m:r>
          <m:t>V</m:t>
        </m:r>
      </m:oMath>
      <w:r>
        <w:t xml:space="preserve">, the adopted homogeneous response is</w:t>
      </w:r>
      <w:r>
        <w:t xml:space="preserve"> </w:t>
      </w:r>
      <m:oMath>
        <m:r>
          <m:t>q</m:t>
        </m:r>
        <m:r>
          <m:rPr>
            <m:nor m:val="1"/>
          </m:rPr>
          <m:t>=</m:t>
        </m:r>
        <m:f>
          <m:fPr>
            <m:type m:val="lin"/>
          </m:fPr>
          <m:num>
            <m:r>
              <m:t>1</m:t>
            </m:r>
          </m:num>
          <m:den>
            <m:r>
              <m:t>2</m:t>
            </m:r>
          </m:den>
        </m:f>
        <m:d>
          <m:dPr>
            <m:begChr m:val="("/>
            <m:endChr m:val=")"/>
            <m:sepChr m:val=""/>
            <m:grow/>
          </m:dPr>
          <m:e>
            <m:r>
              <m:t>1</m:t>
            </m:r>
            <m:r>
              <m:rPr>
                <m:nor m:val="1"/>
              </m:rPr>
              <m:t>+</m:t>
            </m:r>
            <m:r>
              <m:t>3</m:t>
            </m:r>
            <m:r>
              <m:t>P</m:t>
            </m:r>
            <m:r>
              <m:rPr>
                <m:nor m:val="1"/>
              </m:rPr>
              <m:t>/</m:t>
            </m:r>
            <m:r>
              <m:t>u</m:t>
            </m:r>
          </m:e>
        </m:d>
      </m:oMath>
      <w:r>
        <w:t xml:space="preserve">. The derivative and this response use the same energy expression.</w:t>
      </w:r>
    </w:p>
    <w:p>
      <w:pPr>
        <w:pStyle w:val="BodyText"/>
      </w:pPr>
      <w:r>
        <w:t xml:space="preserve">If the supplier is outside, the system gains energy and its</w:t>
      </w:r>
      <w:r>
        <w:t xml:space="preserve"> </w:t>
      </w:r>
      <m:oMath>
        <m:r>
          <m:t>q</m:t>
        </m:r>
      </m:oMath>
      <w:r>
        <w:t xml:space="preserve"> </w:t>
      </w:r>
      <w:r>
        <w:t xml:space="preserve">changes as shown. If a pressureless comoving supplier is included, its loss exactly offsets the system gain, so total energy and</w:t>
      </w:r>
      <w:r>
        <w:t xml:space="preserve"> </w:t>
      </w:r>
      <m:oMath>
        <m:r>
          <m:t>q</m:t>
        </m:r>
      </m:oMath>
      <w:r>
        <w:t xml:space="preserve"> </w:t>
      </w:r>
      <w:r>
        <w:t xml:space="preserve">remain constant. The two initial</w:t>
      </w:r>
      <w:r>
        <w:t xml:space="preserve"> </w:t>
      </w:r>
      <m:oMath>
        <m:r>
          <m:t>q</m:t>
        </m:r>
      </m:oMath>
      <w:r>
        <w:t xml:space="preserve"> </w:t>
      </w:r>
      <w:r>
        <w:t xml:space="preserve">values differ because the two boundaries contain different initial energies. The enlarged boundary includes the write supplier defined here, not an independently added copy of the individual controller budget.</w:t>
      </w:r>
    </w:p>
    <w:p>
      <w:pPr>
        <w:pStyle w:val="BodyText"/>
      </w:pPr>
      <w:r>
        <w:t xml:space="preserve">These values are boundary diagnostics at</w:t>
      </w:r>
      <w:r>
        <w:t xml:space="preserve"> </w:t>
      </w:r>
      <m:oMath>
        <m:sSub>
          <m:e>
            <m:r>
              <m:t>V</m:t>
            </m:r>
          </m:e>
          <m:sub>
            <m:r>
              <m:t>0</m:t>
            </m:r>
          </m:sub>
        </m:sSub>
      </m:oMath>
      <w:r>
        <w:t xml:space="preserve"> </w:t>
      </w:r>
      <w:r>
        <w:t xml:space="preserve">under the stated volume law. They do not constitute a measured expansion change, a time-resolved source</w:t>
      </w:r>
      <w:r>
        <w:t xml:space="preserve"> </w:t>
      </w:r>
      <m:oMath>
        <m:r>
          <m:t>Q</m:t>
        </m:r>
        <m:d>
          <m:dPr>
            <m:begChr m:val="("/>
            <m:endChr m:val=")"/>
            <m:sepChr m:val=""/>
            <m:grow/>
          </m:dPr>
          <m:e>
            <m:r>
              <m:t>τ</m:t>
            </m:r>
          </m:e>
        </m:d>
      </m:oMath>
      <w:r>
        <w:t xml:space="preserve">, or a common SI covariant evolution of an apparatus and the cosmological background.</w:t>
      </w:r>
    </w:p>
    <w:p>
      <w:pPr>
        <w:pStyle w:val="BodyText"/>
        <w:spacing w:before="0" w:after="0" w:line="240" w:lineRule="auto"/>
      </w:pPr>
      <w:r>
        <w:br w:type="page"/>
      </w:r>
    </w:p>
    <w:bookmarkEnd w:id="25"/>
    <w:bookmarkStart w:id="26" w:name="reproduction-and-review-questions"/>
    <w:p>
      <w:pPr>
        <w:pStyle w:val="Heading1"/>
      </w:pPr>
      <w:r>
        <w:t xml:space="preserve">5 Reproduction and review questions</w:t>
      </w:r>
    </w:p>
    <w:p>
      <w:pPr>
        <w:pStyle w:val="FirstParagraph"/>
      </w:pPr>
      <w:r>
        <w:t xml:space="preserve">We replayed unchanged bridge programs 0.2, 0.3, 0.5 and 0.6, forwarding the fresh state and basis. Their 95, 134, 134 and 87 checks pass, including controls beyond this case. The additional 26 contracts test this case’s transfers and predictions. These are software consistency checks, not physical experiments.</w:t>
      </w:r>
    </w:p>
    <w:p>
      <w:pPr>
        <w:pStyle w:val="BodyText"/>
        <w:keepNext/>
      </w:pPr>
      <w:r>
        <w:rPr>
          <w:i w:val="0"/>
          <w:sz w:val="21"/>
        </w:rPr>
        <w:t xml:space="preserve">Table 4 Controls that can reject or distinguish the construction</w:t>
      </w:r>
    </w:p>
    <w:tbl>
      <w:tblPr>
        <w:tblStyle w:val="Table"/>
        <w:tblW w:type="pct" w:w="500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6696"/>
      </w:tblGrid>
      <w:tr>
        <w:trPr>
          <w:tblHeader w:val="true"/>
          <w:cantSplit/>
          <w:tblHeader/>
        </w:trPr>
        <w:tc>
          <w:tcPr>
            <w:tcW w:type="dxa" w:w="3528"/>
            <w:tcMar>
              <w:top w:w="65" w:type="dxa"/>
              <w:bottom w:w="65" w:type="dxa"/>
              <w:left w:w="90" w:type="dxa"/>
              <w:right w:w="90" w:type="dxa"/>
            </w:tcMar>
            <w:shd w:fill="F0F0F0"/>
          </w:tcPr>
          <w:p>
            <w:pPr>
              <w:pStyle w:val="Compact"/>
              <w:spacing w:before="0" w:after="0" w:line="254" w:lineRule="auto"/>
              <w:jc w:val="left"/>
            </w:pPr>
            <w:r>
              <w:rPr>
                <w:b/>
                <w:sz w:val="21"/>
              </w:rPr>
              <w:t xml:space="preserve">Control</w:t>
            </w:r>
          </w:p>
        </w:tc>
        <w:tc>
          <w:tcPr>
            <w:tcW w:type="dxa" w:w="6696"/>
            <w:tcMar>
              <w:top w:w="65" w:type="dxa"/>
              <w:bottom w:w="65" w:type="dxa"/>
              <w:left w:w="90" w:type="dxa"/>
              <w:right w:w="90" w:type="dxa"/>
            </w:tcMar>
            <w:shd w:fill="F0F0F0"/>
          </w:tcPr>
          <w:p>
            <w:pPr>
              <w:pStyle w:val="Compact"/>
              <w:spacing w:before="0" w:after="0" w:line="254" w:lineRule="auto"/>
              <w:jc w:val="left"/>
            </w:pPr>
            <w:r>
              <w:rPr>
                <w:b/>
                <w:sz w:val="21"/>
              </w:rPr>
              <w:t xml:space="preserve">Calculated response or rejection</w:t>
            </w:r>
          </w:p>
        </w:tc>
      </w:tr>
      <w:tr>
        <w:trPr>
          <w:cantSplit/>
        </w:trPr>
        <w:tc>
          <w:tcPr>
            <w:tcW w:type="dxa" w:w="3528"/>
            <w:tcMar>
              <w:top w:w="65" w:type="dxa"/>
              <w:bottom w:w="65" w:type="dxa"/>
              <w:left w:w="90" w:type="dxa"/>
              <w:right w:w="90" w:type="dxa"/>
            </w:tcMar>
          </w:tcPr>
          <w:p>
            <w:pPr>
              <w:pStyle w:val="Compact"/>
              <w:spacing w:before="0" w:after="0" w:line="254" w:lineRule="auto"/>
              <w:jc w:val="left"/>
            </w:pPr>
            <w:r>
              <w:rPr>
                <w:sz w:val="21"/>
              </w:rPr>
              <w:t xml:space="preserve">Change source phase by 0.7 rad</w:t>
            </w:r>
          </w:p>
        </w:tc>
        <w:tc>
          <w:tcPr>
            <w:tcW w:type="dxa" w:w="6696"/>
            <w:tcMar>
              <w:top w:w="65" w:type="dxa"/>
              <w:bottom w:w="65" w:type="dxa"/>
              <w:left w:w="90" w:type="dxa"/>
              <w:right w:w="90" w:type="dxa"/>
            </w:tcMar>
          </w:tcPr>
          <w:p>
            <w:pPr>
              <w:pStyle w:val="Compact"/>
              <w:spacing w:before="0" w:after="0" w:line="254" w:lineRule="auto"/>
              <w:jc w:val="left"/>
            </w:pPr>
            <w:r>
              <w:rPr>
                <w:sz w:val="21"/>
              </w:rPr>
              <w:t xml:space="preserve">Address-dephased excitation unchanged within numerical tolerance</w:t>
            </w:r>
          </w:p>
        </w:tc>
      </w:tr>
      <w:tr>
        <w:trPr>
          <w:cantSplit/>
        </w:trPr>
        <w:tc>
          <w:tcPr>
            <w:tcW w:type="dxa" w:w="3528"/>
            <w:tcMar>
              <w:top w:w="65" w:type="dxa"/>
              <w:bottom w:w="65" w:type="dxa"/>
              <w:left w:w="90" w:type="dxa"/>
              <w:right w:w="90" w:type="dxa"/>
            </w:tcMar>
          </w:tcPr>
          <w:p>
            <w:pPr>
              <w:pStyle w:val="Compact"/>
              <w:spacing w:before="0" w:after="0" w:line="254" w:lineRule="auto"/>
              <w:jc w:val="left"/>
            </w:pPr>
            <w:r>
              <w:rPr>
                <w:sz w:val="21"/>
              </w:rPr>
              <w:t xml:space="preserve">Double adopted frame duration</w:t>
            </w:r>
          </w:p>
        </w:tc>
        <w:tc>
          <w:tcPr>
            <w:tcW w:type="dxa" w:w="6696"/>
            <w:tcMar>
              <w:top w:w="65" w:type="dxa"/>
              <w:bottom w:w="65" w:type="dxa"/>
              <w:left w:w="90" w:type="dxa"/>
              <w:right w:w="90" w:type="dxa"/>
            </w:tcMar>
          </w:tcPr>
          <w:p>
            <w:pPr>
              <w:pStyle w:val="Compact"/>
              <w:spacing w:before="0" w:after="0" w:line="254" w:lineRule="auto"/>
              <w:jc w:val="left"/>
            </w:pPr>
            <w:r>
              <w:rPr>
                <w:sz w:val="21"/>
              </w:rPr>
              <w:t xml:space="preserve">First-repeat probability changes from 0.675164206721 to 0.122729997265</w:t>
            </w:r>
          </w:p>
        </w:tc>
      </w:tr>
      <w:tr>
        <w:trPr>
          <w:cantSplit/>
        </w:trPr>
        <w:tc>
          <w:tcPr>
            <w:tcW w:type="dxa" w:w="3528"/>
            <w:tcMar>
              <w:top w:w="65" w:type="dxa"/>
              <w:bottom w:w="65" w:type="dxa"/>
              <w:left w:w="90" w:type="dxa"/>
              <w:right w:w="90" w:type="dxa"/>
            </w:tcMar>
          </w:tcPr>
          <w:p>
            <w:pPr>
              <w:pStyle w:val="Compact"/>
              <w:spacing w:before="0" w:after="0" w:line="254" w:lineRule="auto"/>
              <w:jc w:val="left"/>
            </w:pPr>
            <w:r>
              <w:rPr>
                <w:sz w:val="21"/>
              </w:rPr>
              <w:t xml:space="preserve">Reduce mean supplier to half the required work</w:t>
            </w:r>
          </w:p>
        </w:tc>
        <w:tc>
          <w:tcPr>
            <w:tcW w:type="dxa" w:w="6696"/>
            <w:tcMar>
              <w:top w:w="65" w:type="dxa"/>
              <w:bottom w:w="65" w:type="dxa"/>
              <w:left w:w="90" w:type="dxa"/>
              <w:right w:w="90" w:type="dxa"/>
            </w:tcMar>
          </w:tcPr>
          <w:p>
            <w:pPr>
              <w:pStyle w:val="Compact"/>
              <w:spacing w:before="0" w:after="0" w:line="254" w:lineRule="auto"/>
              <w:jc w:val="left"/>
            </w:pPr>
            <w:r>
              <w:rPr>
                <w:sz w:val="21"/>
              </w:rPr>
              <w:t xml:space="preserve">Original exchange rule rejects the transfer</w:t>
            </w:r>
          </w:p>
        </w:tc>
      </w:tr>
      <w:tr>
        <w:trPr>
          <w:cantSplit/>
        </w:trPr>
        <w:tc>
          <w:tcPr>
            <w:tcW w:type="dxa" w:w="3528"/>
            <w:tcMar>
              <w:top w:w="65" w:type="dxa"/>
              <w:bottom w:w="65" w:type="dxa"/>
              <w:left w:w="90" w:type="dxa"/>
              <w:right w:w="90" w:type="dxa"/>
            </w:tcMar>
          </w:tcPr>
          <w:p>
            <w:pPr>
              <w:pStyle w:val="Compact"/>
              <w:spacing w:before="0" w:after="0" w:line="254" w:lineRule="auto"/>
              <w:jc w:val="left"/>
            </w:pPr>
            <w:r>
              <w:rPr>
                <w:sz w:val="21"/>
              </w:rPr>
              <w:t xml:space="preserve">Add rest and excitation to the unreplaced phenotype energy</w:t>
            </w:r>
          </w:p>
        </w:tc>
        <w:tc>
          <w:tcPr>
            <w:tcW w:type="dxa" w:w="6696"/>
            <w:tcMar>
              <w:top w:w="65" w:type="dxa"/>
              <w:bottom w:w="65" w:type="dxa"/>
              <w:left w:w="90" w:type="dxa"/>
              <w:right w:w="90" w:type="dxa"/>
            </w:tcMar>
          </w:tcPr>
          <w:p>
            <w:pPr>
              <w:pStyle w:val="Compact"/>
              <w:spacing w:before="0" w:after="0" w:line="254" w:lineRule="auto"/>
              <w:jc w:val="left"/>
            </w:pPr>
            <w:r>
              <w:rPr>
                <w:sz w:val="21"/>
              </w:rPr>
              <w:t xml:space="preserve">Duplicate</w:t>
            </w:r>
            <w:r>
              <w:rPr>
                <w:sz w:val="21"/>
              </w:rPr>
              <w:t xml:space="preserve"> </w:t>
            </w:r>
            <m:oMath>
              <m:r>
                <m:t>3.7807912495</m:t>
              </m:r>
              <m:r>
                <m:rPr>
                  <m:nor m:val="1"/>
                </m:rPr>
                <m:t>×</m:t>
              </m:r>
              <m:sSup>
                <m:e>
                  <m:r>
                    <m:t>10</m:t>
                  </m:r>
                </m:e>
                <m:sup>
                  <m:r>
                    <m:rPr>
                      <m:nor m:val="1"/>
                    </m:rPr>
                    <m:t>−</m:t>
                  </m:r>
                  <m:r>
                    <m:t>11</m:t>
                  </m:r>
                </m:sup>
              </m:sSup>
              <m:r>
                <m:t> </m:t>
              </m:r>
              <m:r>
                <m:rPr>
                  <m:nor m:val="1"/>
                </m:rPr>
                <m:t>J</m:t>
              </m:r>
            </m:oMath>
            <w:r>
              <w:rPr>
                <w:sz w:val="21"/>
              </w:rPr>
              <w:t xml:space="preserve"> </w:t>
            </w:r>
            <w:r>
              <w:rPr>
                <w:sz w:val="21"/>
              </w:rPr>
              <w:t xml:space="preserve">detected</w:t>
            </w:r>
          </w:p>
        </w:tc>
      </w:tr>
      <w:tr>
        <w:trPr>
          <w:cantSplit/>
        </w:trPr>
        <w:tc>
          <w:tcPr>
            <w:tcW w:type="dxa" w:w="3528"/>
            <w:tcMar>
              <w:top w:w="65" w:type="dxa"/>
              <w:bottom w:w="65" w:type="dxa"/>
              <w:left w:w="90" w:type="dxa"/>
              <w:right w:w="90" w:type="dxa"/>
            </w:tcMar>
          </w:tcPr>
          <w:p>
            <w:pPr>
              <w:pStyle w:val="Compact"/>
              <w:spacing w:before="0" w:after="0" w:line="254" w:lineRule="auto"/>
              <w:jc w:val="left"/>
            </w:pPr>
            <w:r>
              <w:rPr>
                <w:sz w:val="21"/>
              </w:rPr>
              <w:t xml:space="preserve">Differentiate energy with respect to volume</w:t>
            </w:r>
          </w:p>
        </w:tc>
        <w:tc>
          <w:tcPr>
            <w:tcW w:type="dxa" w:w="6696"/>
            <w:tcMar>
              <w:top w:w="65" w:type="dxa"/>
              <w:bottom w:w="65" w:type="dxa"/>
              <w:left w:w="90" w:type="dxa"/>
              <w:right w:w="90" w:type="dxa"/>
            </w:tcMar>
          </w:tcPr>
          <w:p>
            <w:pPr>
              <w:pStyle w:val="Compact"/>
              <w:spacing w:before="0" w:after="0" w:line="254" w:lineRule="auto"/>
              <w:jc w:val="left"/>
            </w:pPr>
            <w:r>
              <w:rPr>
                <w:sz w:val="21"/>
              </w:rPr>
              <w:t xml:space="preserve">Finite difference agrees with pressure</w:t>
            </w:r>
            <w:r>
              <w:rPr>
                <w:sz w:val="21"/>
              </w:rPr>
              <w:t xml:space="preserve"> </w:t>
            </w:r>
            <m:oMath>
              <m:r>
                <m:rPr>
                  <m:nor m:val="1"/>
                </m:rPr>
                <m:t>−</m:t>
              </m:r>
              <m:r>
                <m:t>L</m:t>
              </m:r>
            </m:oMath>
          </w:p>
        </w:tc>
      </w:tr>
    </w:tbl>
    <w:p>
      <w:pPr>
        <w:pStyle w:val="BodyText"/>
      </w:pPr>
      <w:r>
        <w:t xml:space="preserve">The package includes frozen source, inputs and hashes, executable code, expected results and CSV ledgers.</w:t>
      </w:r>
      <w:r>
        <w:t xml:space="preserve"> </w:t>
      </w:r>
      <w:r>
        <w:rPr>
          <w:rStyle w:val="VerbatimChar"/>
        </w:rPr>
        <w:t xml:space="preserve">reference_boundary.json</w:t>
      </w:r>
      <w:r>
        <w:t xml:space="preserve"> </w:t>
      </w:r>
      <w:r>
        <w:t xml:space="preserve">retains the published comparison. Word equations are editable.</w:t>
      </w:r>
    </w:p>
    <w:p>
      <w:pPr>
        <w:pStyle w:val="BodyText"/>
      </w:pPr>
      <w:r>
        <w:t xml:space="preserve">With Python and</w:t>
      </w:r>
      <w:r>
        <w:t xml:space="preserve"> </w:t>
      </w:r>
      <w:r>
        <w:rPr>
          <w:rStyle w:val="VerbatimChar"/>
        </w:rPr>
        <w:t xml:space="preserve">requirements.txt</w:t>
      </w:r>
      <w:r>
        <w:t xml:space="preserve">, run</w:t>
      </w:r>
      <w:r>
        <w:t xml:space="preserve"> </w:t>
      </w:r>
      <w:r>
        <w:rPr>
          <w:rStyle w:val="VerbatimChar"/>
        </w:rPr>
        <w:t xml:space="preserve">python reproduce.py --out replay</w:t>
      </w:r>
      <w:r>
        <w:t xml:space="preserve"> </w:t>
      </w:r>
      <w:r>
        <w:t xml:space="preserve">in the unpacked package. It verifies the source hash and writes fresh results and logs. Success means 450 original checks, 26 case contracts and zero failures. Comparisons use declared numerical tolerances; displayed values are rounded.</w:t>
      </w:r>
    </w:p>
    <w:p>
      <w:pPr>
        <w:pStyle w:val="BodyText"/>
      </w:pPr>
      <w:r>
        <w:rPr>
          <w:bCs/>
          <w:b/>
        </w:rPr>
        <w:t xml:space="preserve">Questions for a reviewer</w:t>
      </w:r>
    </w:p>
    <w:p>
      <w:pPr>
        <w:numPr>
          <w:ilvl w:val="0"/>
          <w:numId w:val="1001"/>
        </w:numPr>
        <w:pStyle w:val="Compact"/>
      </w:pPr>
      <w:r>
        <w:t xml:space="preserve">Is the address selector a justified physical preparation of</w:t>
      </w:r>
      <w:r>
        <w:t xml:space="preserve"> </w:t>
      </w:r>
      <m:oMath>
        <m:sSub>
          <m:e>
            <m:r>
              <m:t>ρ</m:t>
            </m:r>
          </m:e>
          <m:sub>
            <m:r>
              <m:t>0</m:t>
            </m:r>
          </m:sub>
        </m:sSub>
      </m:oMath>
      <w:r>
        <w:t xml:space="preserve">, and do connected inputs affect the state as declared?</w:t>
      </w:r>
    </w:p>
    <w:p>
      <w:pPr>
        <w:numPr>
          <w:ilvl w:val="0"/>
          <w:numId w:val="1001"/>
        </w:numPr>
        <w:pStyle w:val="Compact"/>
      </w:pPr>
      <w:r>
        <w:t xml:space="preserve">Are energy replacement and matched</w:t>
      </w:r>
      <w:r>
        <w:t xml:space="preserve"> </w:t>
      </w:r>
      <m:oMath>
        <m:bar>
          <m:barPr>
            <m:pos m:val="top"/>
          </m:barPr>
          <m:e>
            <m:r>
              <m:t>N</m:t>
            </m:r>
          </m:e>
        </m:bar>
      </m:oMath>
      <w:r>
        <w:t xml:space="preserve"> </w:t>
      </w:r>
      <w:r>
        <w:t xml:space="preserve">legitimate mean calibration without implying a derived species abundance?</w:t>
      </w:r>
    </w:p>
    <w:p>
      <w:pPr>
        <w:numPr>
          <w:ilvl w:val="0"/>
          <w:numId w:val="1001"/>
        </w:numPr>
        <w:pStyle w:val="Compact"/>
      </w:pPr>
      <w:r>
        <w:t xml:space="preserve">Do the instrument, supplier boundary and volume law support the calculated work and homogeneous response?</w:t>
      </w:r>
    </w:p>
    <w:p>
      <w:pPr>
        <w:numPr>
          <w:ilvl w:val="0"/>
          <w:numId w:val="1001"/>
        </w:numPr>
        <w:pStyle w:val="Compact"/>
      </w:pPr>
      <w:r>
        <w:t xml:space="preserve">Which preparation, timing and record measurements distinguish these predictions from alternative rules at the same calibration?</w:t>
      </w:r>
    </w:p>
    <w:p>
      <w:pPr>
        <w:pStyle w:val="FirstParagraph"/>
      </w:pPr>
      <w:r>
        <w:rPr>
          <w:bCs/>
          <w:b/>
        </w:rPr>
        <w:t xml:space="preserve">References</w:t>
      </w:r>
    </w:p>
    <w:p>
      <w:pPr>
        <w:pStyle w:val="BodyText"/>
      </w:pPr>
      <w:r>
        <w:t xml:space="preserve">[1] W. Choi and J. Choi.</w:t>
      </w:r>
      <w:r>
        <w:t xml:space="preserve"> </w:t>
      </w:r>
      <w:r>
        <w:rPr>
          <w:iCs/>
          <w:i/>
        </w:rPr>
        <w:t xml:space="preserve">WRRA M Integrated Upstream and Downstream Model</w:t>
      </w:r>
      <w:r>
        <w:t xml:space="preserve">. Integrated 1.0 reviewed r1, 3 October 2026. https://doi.org/10.5281/zenodo.23126800</w:t>
      </w:r>
    </w:p>
    <w:p>
      <w:pPr>
        <w:pStyle w:val="BodyText"/>
      </w:pPr>
      <w:r>
        <w:t xml:space="preserve">[2] W. Choi and J. Choi.</w:t>
      </w:r>
      <w:r>
        <w:t xml:space="preserve"> </w:t>
      </w:r>
      <w:r>
        <w:rPr>
          <w:iCs/>
          <w:i/>
        </w:rPr>
        <w:t xml:space="preserve">WRRA M Bridge 0.5–0.8 Reviewed r1</w:t>
      </w:r>
      <w:r>
        <w:t xml:space="preserve">. Frozen executable source included unchanged in this package. Its source identity and the enclosing integrated package are recorded by SHA256 in</w:t>
      </w:r>
      <w:r>
        <w:t xml:space="preserve"> </w:t>
      </w:r>
      <w:r>
        <w:rPr>
          <w:rStyle w:val="VerbatimChar"/>
        </w:rPr>
        <w:t xml:space="preserve">inputs.json</w:t>
      </w:r>
      <w:r>
        <w:t xml:space="preserve">.</w:t>
      </w:r>
    </w:p>
    <w:bookmarkEnd w:id="26"/>
    <w:sectPr>
      <w:footerReference w:type="default" r:id="rId9"/>
      <w:pgSz w:w="12240" w:h="15840"/>
      <w:pgMar w:top="936" w:bottom="936" w:left="1008" w:right="1008" w:header="360"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WRRA M Integrated Case 1.0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Latin Modern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4" w:lineRule="auto"/>
    </w:pPr>
    <w:rPr>
      <w:rFonts w:ascii="Calibri" w:hAnsi="Calibri" w:eastAsia="Calibri" w:cs="Calibri"/>
      <w:color w:val="000000"/>
      <w:sz w:val="22"/>
    </w:rPr>
  </w:style>
  <w:style w:styleId="BodyText" w:type="paragraph">
    <w:name w:val="Body Text"/>
    <w:basedOn w:val="Normal"/>
    <w:link w:val="BodyTextChar"/>
    <w:pPr>
      <w:spacing w:after="120" w:before="180" w:line="274" w:lineRule="auto"/>
    </w:pPr>
    <w:qFormat/>
    <w:rPr>
      <w:rFonts w:ascii="Calibri" w:hAnsi="Calibri" w:eastAsia="Calibri" w:cs="Calibri"/>
      <w:color w:val="000000"/>
      <w:sz w:val="22"/>
    </w:rPr>
  </w:style>
  <w:style w:customStyle="1" w:styleId="FirstParagraph" w:type="paragraph">
    <w:name w:val="First Paragraph"/>
    <w:basedOn w:val="Normal"/>
    <w:next w:val="BodyText"/>
    <w:qFormat/>
    <w:pPr>
      <w:spacing w:after="120" w:line="274" w:lineRule="auto"/>
    </w:pPr>
    <w:rPr>
      <w:rFonts w:ascii="Calibri" w:hAnsi="Calibri" w:eastAsia="Calibri" w:cs="Calibri"/>
      <w:color w:val="000000"/>
      <w:sz w:val="22"/>
    </w:rPr>
  </w:style>
  <w:style w:customStyle="1" w:styleId="Compact" w:type="paragraph">
    <w:name w:val="Compact"/>
    <w:basedOn w:val="Normal"/>
    <w:qFormat/>
    <w:pPr>
      <w:spacing w:after="120" w:before="36" w:line="274" w:lineRule="auto"/>
    </w:pPr>
    <w:rPr>
      <w:rFonts w:ascii="Calibri" w:hAnsi="Calibri" w:eastAsia="Calibri" w:cs="Calibri"/>
      <w:color w:val="000000"/>
      <w:sz w:val="22"/>
    </w:rPr>
  </w:style>
  <w:style w:styleId="Title" w:type="paragraph">
    <w:name w:val="Title"/>
    <w:basedOn w:val="Normal"/>
    <w:next w:val="BodyText"/>
    <w:qFormat/>
    <w:pPr>
      <w:keepNext/>
      <w:keepLines/>
      <w:spacing w:after="140" w:before="0"/>
      <w:jc w:val="left"/>
    </w:pPr>
    <w:rPr>
      <w:rFonts w:asciiTheme="majorHAnsi" w:cstheme="majorBidi" w:eastAsiaTheme="majorEastAsia" w:hAnsiTheme="majorHAnsi" w:ascii="Calibri" w:hAnsi="Calibri" w:eastAsia="Calibri" w:cs="Calibri"/>
      <w:b w:val="0"/>
      <w:bCs/>
      <w:color w:val="000000"/>
      <w:sz w:val="38"/>
      <w:szCs w:val="36"/>
    </w:rPr>
  </w:style>
  <w:style w:styleId="Subtitle" w:type="paragraph">
    <w:name w:val="Subtitle"/>
    <w:basedOn w:val="Title"/>
    <w:next w:val="BodyText"/>
    <w:qFormat/>
    <w:pPr>
      <w:keepNext/>
      <w:keepLines/>
      <w:spacing w:after="180" w:before="240"/>
      <w:jc w:val="left"/>
    </w:pPr>
    <w:rPr>
      <w:rFonts w:ascii="Calibri" w:hAnsi="Calibri" w:eastAsia="Calibri" w:cs="Calibri"/>
      <w:i w:val="0"/>
      <w:color w:val="000000"/>
      <w:sz w:val="24"/>
      <w:szCs w:val="30"/>
    </w:rPr>
  </w:style>
  <w:style w:customStyle="1" w:styleId="Author" w:type="paragraph">
    <w:name w:val="Author"/>
    <w:next w:val="BodyText"/>
    <w:qFormat/>
    <w:pPr>
      <w:keepNext/>
      <w:keepLines/>
      <w:jc w:val="center"/>
    </w:pPr>
    <w:rPr>
      <w:rFonts w:ascii="Calibri" w:hAnsi="Calibri" w:eastAsia="Calibri" w:cs="Calibri"/>
      <w:color w:val="000000"/>
    </w:rPr>
  </w:style>
  <w:style w:styleId="Date" w:type="paragraph">
    <w:name w:val="Date"/>
    <w:next w:val="BodyText"/>
    <w:qFormat/>
    <w:pPr>
      <w:keepNext/>
      <w:keepLines/>
      <w:jc w:val="center"/>
    </w:pPr>
    <w:rPr>
      <w:rFonts w:ascii="Calibri" w:hAnsi="Calibri" w:eastAsia="Calibri" w:cs="Calibri"/>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Calibri" w:hAnsi="Calibri" w:eastAsia="Calibri" w:cs="Calibri"/>
      <w:b/>
    </w:rPr>
  </w:style>
  <w:style w:customStyle="1" w:styleId="Abstract" w:type="paragraph">
    <w:name w:val="Abstract"/>
    <w:basedOn w:val="Normal"/>
    <w:next w:val="BodyText"/>
    <w:qFormat/>
    <w:pPr>
      <w:keepNext/>
      <w:keepLines/>
      <w:spacing w:after="300" w:before="100"/>
    </w:pPr>
    <w:rPr>
      <w:rFonts w:ascii="Calibri" w:hAnsi="Calibri" w:eastAsia="Calibri" w:cs="Calibri"/>
      <w:color w:val="000000"/>
      <w:sz w:val="20"/>
      <w:szCs w:val="20"/>
    </w:rPr>
  </w:style>
  <w:style w:styleId="Bibliography" w:type="paragraph">
    <w:name w:val="Bibliography"/>
    <w:basedOn w:val="Normal"/>
    <w:next w:val="Bibliography"/>
    <w:qFormat/>
    <w:pPr/>
    <w:rPr>
      <w:rFonts w:ascii="Calibri" w:hAnsi="Calibri" w:eastAsia="Calibri" w:cs="Calibri"/>
      <w:color w:val="000000"/>
    </w:rPr>
  </w:style>
  <w:style w:styleId="Heading1" w:type="paragraph">
    <w:name w:val="Heading 1"/>
    <w:basedOn w:val="Normal"/>
    <w:next w:val="BodyText"/>
    <w:uiPriority w:val="9"/>
    <w:qFormat/>
    <w:pPr>
      <w:keepNext/>
      <w:keepLines/>
      <w:spacing w:after="140" w:before="180"/>
      <w:outlineLvl w:val="0"/>
    </w:pPr>
    <w:rPr>
      <w:rFonts w:asciiTheme="majorHAnsi" w:cstheme="majorBidi" w:eastAsiaTheme="majorEastAsia" w:hAnsiTheme="majorHAnsi" w:ascii="Calibri" w:hAnsi="Calibri" w:eastAsia="Calibri" w:cs="Calibri"/>
      <w:b/>
      <w:bCs/>
      <w:color w:val="000000"/>
      <w:sz w:val="26"/>
      <w:szCs w:val="32"/>
    </w:rPr>
  </w:style>
  <w:style w:styleId="Heading2" w:type="paragraph">
    <w:name w:val="Heading 2"/>
    <w:basedOn w:val="Normal"/>
    <w:next w:val="BodyText"/>
    <w:uiPriority w:val="9"/>
    <w:unhideWhenUsed/>
    <w:qFormat/>
    <w:pPr>
      <w:keepNext/>
      <w:keepLines/>
      <w:spacing w:after="140" w:before="180"/>
      <w:outlineLvl w:val="1"/>
    </w:pPr>
    <w:rPr>
      <w:rFonts w:asciiTheme="majorHAnsi" w:cstheme="majorBidi" w:eastAsiaTheme="majorEastAsia" w:hAnsiTheme="majorHAnsi" w:ascii="Calibri" w:hAnsi="Calibri" w:eastAsia="Calibri" w:cs="Calibri"/>
      <w:b/>
      <w:bCs/>
      <w:color w:val="000000"/>
      <w:sz w:val="24"/>
      <w:szCs w:val="28"/>
    </w:rPr>
  </w:style>
  <w:style w:styleId="Heading3" w:type="paragraph">
    <w:name w:val="Heading 3"/>
    <w:basedOn w:val="Normal"/>
    <w:next w:val="BodyText"/>
    <w:uiPriority w:val="9"/>
    <w:unhideWhenUsed/>
    <w:qFormat/>
    <w:pPr>
      <w:keepNext/>
      <w:keepLines/>
      <w:spacing w:after="140" w:before="180"/>
      <w:outlineLvl w:val="2"/>
    </w:pPr>
    <w:rPr>
      <w:rFonts w:asciiTheme="majorHAnsi" w:cstheme="majorBidi" w:eastAsiaTheme="majorEastAsia" w:hAnsiTheme="majorHAnsi" w:ascii="Calibri" w:hAnsi="Calibri" w:eastAsia="Calibri" w:cs="Calibr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eastAsia="Calibri" w:cs="Calibr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Calibri" w:hAnsi="Calibri" w:eastAsia="Calibri" w:cs="Calibr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Calibri" w:hAnsi="Calibri" w:eastAsia="Calibri" w:cs="Calibr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Calibri" w:hAnsi="Calibri" w:eastAsia="Calibri" w:cs="Calibr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Calibri" w:hAnsi="Calibri" w:eastAsia="Calibri" w:cs="Calibr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Calibri" w:hAnsi="Calibri" w:eastAsia="Calibri" w:cs="Calibr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eastAsia="Calibri" w:cs="Calibri"/>
      <w:color w:val="000000"/>
    </w:rPr>
  </w:style>
  <w:style w:styleId="FootnoteText" w:type="paragraph">
    <w:name w:val="Footnote Text"/>
    <w:basedOn w:val="Normal"/>
    <w:next w:val="FootnoteText"/>
    <w:uiPriority w:val="9"/>
    <w:unhideWhenUsed/>
    <w:qFormat/>
    <w:rPr>
      <w:rFonts w:ascii="Calibri" w:hAnsi="Calibri" w:eastAsia="Calibri" w:cs="Calibri"/>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eastAsia="Calibri" w:cs="Calibri"/>
      <w:b/>
      <w:color w:val="000000"/>
    </w:rPr>
  </w:style>
  <w:style w:customStyle="1" w:styleId="Definition" w:type="paragraph">
    <w:name w:val="Definition"/>
    <w:basedOn w:val="Normal"/>
    <w:rPr>
      <w:rFonts w:ascii="Calibri" w:hAnsi="Calibri" w:eastAsia="Calibri" w:cs="Calibri"/>
      <w:color w:val="000000"/>
    </w:rPr>
  </w:style>
  <w:style w:styleId="Caption" w:type="paragraph">
    <w:name w:val="Caption"/>
    <w:basedOn w:val="Normal"/>
    <w:link w:val="BodyTextChar"/>
    <w:pPr>
      <w:spacing w:after="120" w:before="0"/>
    </w:pPr>
    <w:rPr>
      <w:rFonts w:ascii="Calibri" w:hAnsi="Calibri" w:eastAsia="Calibri" w:cs="Calibri"/>
      <w:i/>
      <w:color w:val="000000"/>
    </w:rPr>
  </w:style>
  <w:style w:customStyle="1" w:styleId="TableCaption" w:type="paragraph">
    <w:name w:val="Table Caption"/>
    <w:basedOn w:val="Caption"/>
    <w:pPr>
      <w:keepNext/>
    </w:pPr>
    <w:rPr>
      <w:rFonts w:ascii="Calibri" w:hAnsi="Calibri" w:eastAsia="Calibri" w:cs="Calibri"/>
      <w:color w:val="000000"/>
    </w:rPr>
  </w:style>
  <w:style w:customStyle="1" w:styleId="ImageCaption" w:type="paragraph">
    <w:name w:val="Image Caption"/>
    <w:basedOn w:val="Caption"/>
    <w:rPr>
      <w:rFonts w:ascii="Calibri" w:hAnsi="Calibri" w:eastAsia="Calibri" w:cs="Calibri"/>
      <w:color w:val="000000"/>
    </w:rPr>
  </w:style>
  <w:style w:customStyle="1" w:styleId="Figure" w:type="paragraph">
    <w:name w:val="Figure"/>
    <w:basedOn w:val="Normal"/>
    <w:rPr>
      <w:rFonts w:ascii="Calibri" w:hAnsi="Calibri" w:eastAsia="Calibri" w:cs="Calibri"/>
      <w:color w:val="000000"/>
    </w:rPr>
  </w:style>
  <w:style w:customStyle="1" w:styleId="CaptionedFigure" w:type="paragraph">
    <w:name w:val="Captioned Figure"/>
    <w:basedOn w:val="Figure"/>
    <w:pPr>
      <w:keepNext/>
    </w:pPr>
    <w:rPr>
      <w:rFonts w:ascii="Calibri" w:hAnsi="Calibri" w:eastAsia="Calibri" w:cs="Calibri"/>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eastAsia="Calibri" w:cs="Calibri"/>
      <w:b w:val="0"/>
      <w:bCs w:val="0"/>
      <w:color w:val="000000"/>
    </w:rPr>
  </w:style>
  <w:style w:type="paragraph" w:customStyle="1" w:styleId="SourceCode">
    <w:name w:val="Source Code"/>
    <w:basedOn w:val="Normal"/>
    <w:link w:val="VerbatimChar"/>
    <w:pPr>
      <w:wordWrap w:val="off"/>
    </w:pPr>
    <w:rPr>
      <w:rFonts w:ascii="Calibri" w:hAnsi="Calibri" w:eastAsia="Calibri" w:cs="Calibri"/>
      <w:color w:val="00000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Single Measurement in the WRRA M Integrated Model</dc:title>
  <dc:creator>Wonsik Choi; Jeongin Choi</dc:creator>
  <cp:keywords/>
  <dcterms:created xsi:type="dcterms:W3CDTF">2026-10-05T01:56:27Z</dcterms:created>
  <dcterms:modified xsi:type="dcterms:W3CDTF">2026-10-05T01:56:27Z</dcterms:modified>
  <dc:subject>Conditional measurement and energy boundary case for review</dc:subject>
</cp:coreProperties>
</file>

<file path=docProps/custom.xml><?xml version="1.0" encoding="utf-8"?>
<Properties xmlns="http://schemas.openxmlformats.org/officeDocument/2006/custom-properties" xmlns:vt="http://schemas.openxmlformats.org/officeDocument/2006/docPropsVTypes"/>
</file>