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상류-주소에서-측정-기록과-팽창-장부까지"/>
    <w:p>
      <w:pPr>
        <w:pStyle w:val="Title"/>
      </w:pPr>
      <w:r>
        <w:t xml:space="preserve">상류 주소에서 측정 기록과 팽창 장부까지</w:t>
      </w:r>
    </w:p>
    <w:bookmarkStart w:id="20" w:name="wrra-m-통합모형의-단일-측정-사례"/>
    <w:p>
      <w:pPr>
        <w:pStyle w:val="Subtitle"/>
      </w:pPr>
      <w:r>
        <w:t xml:space="preserve">WRRA M 통합모형의 단일 측정 사례</w:t>
      </w:r>
    </w:p>
    <w:p>
      <w:pPr>
        <w:pStyle w:val="FirstParagraph"/>
        <w:spacing w:after="80"/>
      </w:pPr>
      <w:r>
        <w:rPr>
          <w:sz w:val="19"/>
        </w:rPr>
        <w:t xml:space="preserve">최원식 Wonsik Choi · 최정인 Jeongin Choi</w:t>
      </w:r>
    </w:p>
    <w:p>
      <w:pPr>
        <w:pStyle w:val="BodyText"/>
        <w:spacing w:after="80"/>
      </w:pPr>
      <w:r>
        <w:rPr>
          <w:sz w:val="19"/>
        </w:rPr>
        <w:t xml:space="preserve">교신저자 최원식 · 독립연구자 서울 대한민국</w:t>
      </w:r>
      <w:r>
        <w:rPr>
          <w:sz w:val="19"/>
        </w:rPr>
        <w:br/>
      </w:r>
      <w:r>
        <w:rPr>
          <w:sz w:val="19"/>
        </w:rPr>
        <w:t xml:space="preserve">janefather@gmail.com · ORCID 0009-0001-4263-9772</w:t>
      </w:r>
    </w:p>
    <w:p>
      <w:pPr>
        <w:pStyle w:val="BodyText"/>
        <w:spacing w:after="80"/>
      </w:pPr>
      <w:r>
        <w:rPr>
          <w:sz w:val="19"/>
        </w:rPr>
        <w:t xml:space="preserve">검토용 사례 1.0 · 2026년 10월 5일</w:t>
      </w:r>
      <w:r>
        <w:rPr>
          <w:sz w:val="19"/>
        </w:rPr>
        <w:br/>
      </w:r>
      <w:r>
        <w:rPr>
          <w:sz w:val="19"/>
        </w:rPr>
        <w:t xml:space="preserve">통합논문 DOI 10.5281/zenodo.23126800의 동반 사례 [1]</w:t>
      </w:r>
    </w:p>
    <w:bookmarkEnd w:id="20"/>
    <w:bookmarkEnd w:id="21"/>
    <w:bookmarkStart w:id="22" w:name="목적과-판정-경로"/>
    <w:p>
      <w:pPr>
        <w:pStyle w:val="Heading1"/>
      </w:pPr>
      <w:r>
        <w:t xml:space="preserve">1 목적과 판정 경로</w:t>
      </w:r>
    </w:p>
    <w:p>
      <w:pPr>
        <w:pStyle w:val="FirstParagraph"/>
      </w:pPr>
      <w:r>
        <w:t xml:space="preserve">완성된 WRRA M 상하류 통합모형에서 검토자가 따라갈 수 있는 사례 하나를 제시한다. 유한 주소분포가 양성자의 내부 상태를 준비하고, 이상적 기록 연산의 상태·기록 비용을 균질 응답에 사용하는 같은 에너지 장부로 넘긴다.</w:t>
      </w:r>
    </w:p>
    <w:p>
      <w:pPr>
        <w:pStyle w:val="BodyText"/>
      </w:pPr>
      <w:r>
        <w:rPr>
          <w:bCs/>
          <w:b/>
        </w:rPr>
        <w:t xml:space="preserve">검증 입력</w:t>
      </w:r>
      <w:r>
        <w:t xml:space="preserve"> </w:t>
      </w:r>
      <w:r>
        <w:t xml:space="preserve">기존에 공개한 주소, 내부 해밀토니언, 상수와 상속 에너지 보정을 유지한다. 준비 강도, 측정 기저, 기록 에너지 간격, 공급 경계와 시계 사상은 명시한 구성 선택이다.</w:t>
      </w:r>
    </w:p>
    <w:p>
      <w:pPr>
        <w:pStyle w:val="BodyText"/>
      </w:pPr>
      <w:r>
        <w:rPr>
          <w:bCs/>
          <w:b/>
        </w:rPr>
        <w:t xml:space="preserve">WRRA 변환</w:t>
      </w:r>
      <w:r>
        <w:t xml:space="preserve"> </w:t>
      </w:r>
      <w:r>
        <w:t xml:space="preserve">주소 조건화로 들뜬 상태의 점유율을 정하고 그 에너지로 기준 표현형 배정량을 대체한다. 공급원이 한 번의 기록 비용을 지불한다. 채택한 부피 법칙으로 같은 에너지의 압력과 감속계수를 계산한다.</w:t>
      </w:r>
    </w:p>
    <w:p>
      <w:pPr>
        <w:pStyle w:val="BodyText"/>
      </w:pPr>
      <w:r>
        <w:rPr>
          <w:bCs/>
          <w:b/>
        </w:rPr>
        <w:t xml:space="preserve">산출값과 반증조건</w:t>
      </w:r>
      <w:r>
        <w:t xml:space="preserve"> </w:t>
      </w:r>
      <w:r>
        <w:t xml:space="preserve">기준 들뜸 에너지는 34.4764357391 MeV이다. 평균 공급원은 7.0378712840 × 10⁻¹² J를 전달하고 양의 잔액을 남긴다. 상태 정규화, 에너지 전달, 압력 미분 또는 고유시간 전이의 불일치는 해당 연결을 기각한다.</w:t>
      </w:r>
    </w:p>
    <w:p>
      <w:pPr>
        <w:pStyle w:val="BodyText"/>
        <w:keepNext/>
      </w:pPr>
      <w:r>
        <w:rPr>
          <w:i w:val="0"/>
          <w:sz w:val="21"/>
        </w:rPr>
        <w:t xml:space="preserve">표 1 고정 입력과 구성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272"/>
      </w:tblGrid>
      <w:tr>
        <w:trPr>
          <w:tblHeader w:val="true"/>
          <w:cantSplit/>
          <w:tblHeader/>
        </w:trPr>
        <w:tc>
          <w:tcPr>
            <w:tcW w:type="dxa" w:w="2952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b/>
                <w:sz w:val="21"/>
              </w:rPr>
              <w:t xml:space="preserve">입력</w:t>
            </w:r>
          </w:p>
        </w:tc>
        <w:tc>
          <w:tcPr>
            <w:tcW w:type="dxa" w:w="7272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b/>
                <w:sz w:val="21"/>
              </w:rPr>
              <w:t xml:space="preserve">값과 역할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주소 지지집합</w:t>
            </w:r>
          </w:p>
        </w:tc>
        <w:tc>
          <w:tcPr>
            <w:tcW w:type="dxa" w:w="72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m:oMath>
              <m:r>
                <m:t>2</m:t>
              </m:r>
              <m:r>
                <m:rPr>
                  <m:nor m:val="1"/>
                </m:rPr>
                <m:t>≤</m:t>
              </m:r>
              <m:r>
                <m:t>n</m:t>
              </m:r>
              <m:r>
                <m:rPr>
                  <m:nor m:val="1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sz w:val="21"/>
              </w:rPr>
              <w:t xml:space="preserve">인 유한 원천 표지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주소 매개변수</w:t>
            </w:r>
          </w:p>
        </w:tc>
        <w:tc>
          <w:tcPr>
            <w:tcW w:type="dxa" w:w="72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m:oMath>
              <m:r>
                <m:t>α</m:t>
              </m:r>
              <m:r>
                <m:rPr>
                  <m:nor m:val="1"/>
                </m:rPr>
                <m:t>=</m:t>
              </m:r>
              <m:r>
                <m:t>1.8996876950554356</m:t>
              </m:r>
            </m:oMath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m:oMath>
              <m:r>
                <m:t>β</m:t>
              </m:r>
              <m:r>
                <m:rPr>
                  <m:nor m:val="1"/>
                </m:rPr>
                <m:t>=</m:t>
              </m:r>
              <m:r>
                <m:t>0.8654570124136961</m:t>
              </m:r>
            </m:oMath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내부 지지공간</w:t>
            </w:r>
          </w:p>
        </w:tc>
        <w:tc>
          <w:tcPr>
            <w:tcW w:type="dxa" w:w="72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대칭 95차원 공간에서 상속한 두 모드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상태 준비</w:t>
            </w:r>
          </w:p>
        </w:tc>
        <w:tc>
          <w:tcPr>
            <w:tcW w:type="dxa" w:w="72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rPr>
                  <m:nor m:val="1"/>
                </m:rPr>
                <m:t>=</m:t>
              </m:r>
              <m:r>
                <m:t>0.2</m:t>
              </m:r>
            </m:oMath>
            <w:r>
              <w:rPr>
                <w:sz w:val="21"/>
              </w:rPr>
              <w:t xml:space="preserve">, 선택 소수 3, 첫 들뜬 모드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에너지 분율</w:t>
            </w:r>
          </w:p>
        </w:tc>
        <w:tc>
          <w:tcPr>
            <w:tcW w:type="dxa" w:w="72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ϕ</m:t>
                  </m:r>
                </m:sub>
              </m:sSub>
              <m:r>
                <m:rPr>
                  <m:nor m:val="1"/>
                </m:rPr>
                <m:t>=</m:t>
              </m:r>
              <m:r>
                <m:t>0.0493</m:t>
              </m:r>
            </m:oMath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  <m:r>
                <m:rPr>
                  <m:nor m:val="1"/>
                </m:rPr>
                <m:t>=</m:t>
              </m:r>
              <m:r>
                <m:t>0.265</m:t>
              </m:r>
            </m:oMath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  <m:r>
                <m:rPr>
                  <m:nor m:val="1"/>
                </m:rPr>
                <m:t>=</m:t>
              </m:r>
              <m:r>
                <m:t>0.6857</m:t>
              </m:r>
            </m:oMath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기준 밀도와 부피</w:t>
            </w:r>
          </w:p>
        </w:tc>
        <w:tc>
          <w:tcPr>
            <w:tcW w:type="dxa" w:w="7272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nor m:val="1"/>
                </m:rPr>
                <m:t>=</m:t>
              </m:r>
              <m:r>
                <m:t>7.6689477678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10</m:t>
                  </m:r>
                </m:sup>
              </m:sSup>
              <m:r>
                <m:t> </m:t>
              </m:r>
              <m:r>
                <m:rPr>
                  <m:nor m:val="1"/>
                </m:rPr>
                <m:t>J</m:t>
              </m:r>
              <m:r>
                <m:rPr>
                  <m:nor m:val="1"/>
                </m:rPr>
                <m:t> </m:t>
              </m:r>
              <m:sSup>
                <m:e>
                  <m:r>
                    <m:rPr>
                      <m:nor m:val="1"/>
                    </m:rPr>
                    <m:t>m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rPr>
                      <m:nor m:val="1"/>
                    </m:rPr>
                    <m:t>3</m:t>
                  </m:r>
                </m:sup>
              </m:sSup>
            </m:oMath>
            <w:r>
              <w:rPr>
                <w:sz w:val="21"/>
              </w:rPr>
              <w:t xml:space="preserve">,</w:t>
            </w:r>
            <w:r>
              <w:rPr>
                <w:sz w:val="21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nor m:val="1"/>
                </m:rPr>
                <m:t>=</m:t>
              </m:r>
              <m:r>
                <m:t>1</m:t>
              </m:r>
              <m:r>
                <m:t> </m:t>
              </m:r>
              <m:sSup>
                <m:e>
                  <m:r>
                    <m:rPr>
                      <m:nor m:val="1"/>
                    </m:rPr>
                    <m:t>m</m:t>
                  </m:r>
                </m:e>
                <m:sup>
                  <m:r>
                    <m:rPr>
                      <m:nor m:val="1"/>
                    </m:rPr>
                    <m:t>3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한 양성자의 기록·제어기 계산과 기대 점유수 장부를 구분한다.</w:t>
      </w:r>
      <w:r>
        <w:t xml:space="preserve"> </w:t>
      </w:r>
      <m:oMath>
        <m:r>
          <m:t>D</m:t>
        </m:r>
      </m:oMath>
      <w:r>
        <w:t xml:space="preserve">는 비표현형 거주 부문이다. 부품 계열의 소수 조립 규칙은 사용하지 않는다.</w:t>
      </w:r>
    </w:p>
    <w:p>
      <w:pPr>
        <w:pStyle w:val="BodyText"/>
        <w:spacing w:before="0" w:after="0" w:line="240" w:lineRule="auto"/>
      </w:pPr>
      <w:r>
        <w:br w:type="page"/>
      </w:r>
    </w:p>
    <w:bookmarkEnd w:id="22"/>
    <w:bookmarkStart w:id="23" w:name="주소-조건화와-기준-에너지"/>
    <w:p>
      <w:pPr>
        <w:pStyle w:val="Heading1"/>
      </w:pPr>
      <w:r>
        <w:t xml:space="preserve">2 주소 조건화와 기준 에너지</w:t>
      </w:r>
    </w:p>
    <w:p>
      <w:pPr>
        <w:pStyle w:val="FirstParagraph"/>
      </w:pPr>
      <w:r>
        <w:t xml:space="preserve">통과한 표현형 가지 안에서 주소 가중치를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nor m:val="1"/>
          </m:rPr>
          <m:t>=</m:t>
        </m:r>
        <m:sSup>
          <m:e>
            <m:r>
              <m:rPr>
                <m:nor m:val="1"/>
              </m:rPr>
              <m:t>|</m:t>
            </m:r>
            <m:sSub>
              <m:e>
                <m:r>
                  <m:t>ϕ</m:t>
                </m:r>
              </m:e>
              <m:sub>
                <m:r>
                  <m:t>n</m:t>
                </m:r>
              </m:sub>
            </m:sSub>
            <m:r>
              <m:rPr>
                <m:nor m:val="1"/>
              </m:rPr>
              <m:t>|</m:t>
            </m:r>
          </m:e>
          <m:sup>
            <m:r>
              <m:t>2</m:t>
            </m:r>
          </m:sup>
        </m:sSup>
        <m:r>
          <m:rPr>
            <m:nor m:val="1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sSup>
              <m:e>
                <m:r>
                  <m:rPr>
                    <m:nor m:val="1"/>
                  </m:rPr>
                  <m:t>|</m:t>
                </m:r>
                <m:sSub>
                  <m:e>
                    <m:r>
                      <m:t>ϕ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nor m:val="1"/>
                  </m:rPr>
                  <m:t>|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로 정규화한다.</w:t>
      </w:r>
      <w:r>
        <w:t xml:space="preserve"> </w:t>
      </w:r>
      <m:oMath>
        <m:sSub>
          <m:e>
            <m:r>
              <m:t>ν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은 주소</w:t>
      </w:r>
      <w:r>
        <w:t xml:space="preserve"> </w:t>
      </w:r>
      <m:oMath>
        <m:r>
          <m:t>n</m:t>
        </m:r>
      </m:oMath>
      <w:r>
        <w:t xml:space="preserve">의 소인수 3의 개수이며, 그 개수가 홀수이면</w:t>
      </w:r>
      <w:r>
        <w:t xml:space="preserve"> </w:t>
      </w:r>
      <m:oMath>
        <m:sSub>
          <m:e>
            <m:r>
              <m:t>χ</m:t>
            </m:r>
          </m:e>
          <m:sub>
            <m:r>
              <m:t>n</m:t>
            </m:r>
          </m:sub>
        </m:sSub>
        <m:r>
          <m:rPr>
            <m:nor m:val="1"/>
          </m:rPr>
          <m:t>=</m:t>
        </m:r>
        <m:r>
          <m:t>1</m:t>
        </m:r>
      </m:oMath>
      <w:r>
        <w:t xml:space="preserve">로 둔다. 원본 주소 계산은 다음 값을 준다.</w:t>
      </w:r>
    </w:p>
    <w:p>
      <w:pPr>
        <w:pStyle w:val="BodyText"/>
        <w:spacing w:before="40" w:after="160" w:line="252" w:lineRule="auto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nor m:val="1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χ</m:t>
              </m:r>
            </m:e>
            <m:sub>
              <m:r>
                <m:t>n</m:t>
              </m:r>
            </m:sub>
          </m:sSub>
          <m:r>
            <m:rPr>
              <m:nor m:val="1"/>
            </m:rPr>
            <m:t>=</m:t>
          </m:r>
          <m:r>
            <m:t>0.3998832725128894</m:t>
          </m:r>
          <m:r>
            <m:rPr>
              <m:nor m:val="1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nor m:val="1"/>
            </m:rPr>
            <m:t>=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nor m:val="1"/>
            </m:rPr>
            <m:t>=</m:t>
          </m:r>
          <m:r>
            <m:t>0.07997665450257789</m:t>
          </m:r>
          <m:r>
            <m:rPr>
              <m:nor m:val="1"/>
            </m:rPr>
            <m:t>.</m:t>
          </m:r>
        </m:oMath>
      </m:oMathPara>
    </w:p>
    <w:p>
      <w:pPr>
        <w:pStyle w:val="FirstParagraph"/>
      </w:pPr>
      <w:r>
        <w:t xml:space="preserve">선택한 두 모드</w:t>
      </w:r>
      <w:r>
        <w:t xml:space="preserve"> </w:t>
      </w:r>
      <m:oMath>
        <m:r>
          <m:rPr>
            <m:nor m:val="1"/>
          </m:rPr>
          <m:t>|</m:t>
        </m:r>
        <m:r>
          <m:t>g</m:t>
        </m:r>
        <m:r>
          <m:rPr>
            <m:nor m:val="1"/>
          </m:rPr>
          <m:t>⟩</m:t>
        </m:r>
      </m:oMath>
      <w:r>
        <w:t xml:space="preserve">,</w:t>
      </w:r>
      <w:r>
        <w:t xml:space="preserve"> </w:t>
      </w:r>
      <m:oMath>
        <m:r>
          <m:rPr>
            <m:nor m:val="1"/>
          </m:rPr>
          <m:t>|</m:t>
        </m:r>
        <m:r>
          <m:t>e</m:t>
        </m:r>
        <m:r>
          <m:rPr>
            <m:nor m:val="1"/>
          </m:rPr>
          <m:t>⟩</m:t>
        </m:r>
      </m:oMath>
      <w:r>
        <w:t xml:space="preserve">는 같은 상속 해밀토니언</w:t>
      </w:r>
      <w:r>
        <w:t xml:space="preserve"> </w:t>
      </w:r>
      <m:oMath>
        <m:r>
          <m:t>H</m:t>
        </m:r>
      </m:oMath>
      <w:r>
        <w:t xml:space="preserve">의 상태이다. 주소를 탈위상한 내부 혼합 상태를 준비한다.</w:t>
      </w:r>
    </w:p>
    <w:p>
      <w:pPr>
        <w:pStyle w:val="BodyText"/>
        <w:spacing w:before="40" w:after="160" w:line="252" w:lineRule="auto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nor m:val="1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nor m:val="1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e>
          </m:d>
          <m:r>
            <m:rPr>
              <m:nor m:val="1"/>
            </m:rPr>
            <m:t>|</m:t>
          </m:r>
          <m:r>
            <m:t>g</m:t>
          </m:r>
          <m:r>
            <m:rPr>
              <m:nor m:val="1"/>
            </m:rPr>
            <m:t>⟩</m:t>
          </m:r>
          <m:r>
            <m:rPr>
              <m:nor m:val="1"/>
            </m:rPr>
            <m:t>⟨</m:t>
          </m:r>
          <m:r>
            <m:t>g</m:t>
          </m:r>
          <m:r>
            <m:rPr>
              <m:nor m:val="1"/>
            </m:rPr>
            <m:t>|</m:t>
          </m:r>
          <m:r>
            <m:rPr>
              <m:nor m:val="1"/>
            </m:rPr>
            <m:t>+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nor m:val="1"/>
            </m:rPr>
            <m:t>|</m:t>
          </m:r>
          <m:r>
            <m:t>e</m:t>
          </m:r>
          <m:r>
            <m:rPr>
              <m:nor m:val="1"/>
            </m:rPr>
            <m:t>⟩</m:t>
          </m:r>
          <m:r>
            <m:rPr>
              <m:nor m:val="1"/>
            </m:rPr>
            <m:t>⟨</m:t>
          </m:r>
          <m:r>
            <m:t>e</m:t>
          </m:r>
          <m:r>
            <m:rPr>
              <m:nor m:val="1"/>
            </m:rPr>
            <m:t>|</m:t>
          </m:r>
          <m:r>
            <m:rPr>
              <m:nor m:val="1"/>
            </m:rPr>
            <m:t>,</m:t>
          </m:r>
          <m:r>
            <m:t>  </m:t>
          </m:r>
          <m:r>
            <m:t>Δ</m:t>
          </m:r>
          <m:r>
            <m:t>E</m:t>
          </m:r>
          <m:r>
            <m:rPr>
              <m:nor m:val="1"/>
            </m:rPr>
            <m:t>=</m:t>
          </m:r>
          <m:r>
            <m:t>431.0812443150</m:t>
          </m:r>
          <m:r>
            <m:t> </m:t>
          </m:r>
          <m:r>
            <m:rPr>
              <m:nor m:val="1"/>
            </m:rPr>
            <m:t>MeV</m:t>
          </m:r>
          <m:r>
            <m:rPr>
              <m:nor m:val="1"/>
            </m:rPr>
            <m:t>.</m:t>
          </m:r>
        </m:oMath>
      </m:oMathPara>
    </w:p>
    <w:p>
      <w:pPr>
        <w:pStyle w:val="FirstParagraph"/>
      </w:pPr>
      <m:oMath>
        <m:r>
          <m:t>Δ</m:t>
        </m:r>
        <m:r>
          <m:t>E</m:t>
        </m:r>
      </m:oMath>
      <w:r>
        <w:t xml:space="preserve">는 전체 95차원 생성자에서 선택한 첫 에너지 간격이다. 두 모드의 지지공간은 그 생성자 아래에서 불변이다. 따라서 별개의 해밀토니언으로 교체하지 않고</w:t>
      </w:r>
      <w:r>
        <w:t xml:space="preserve"> </w:t>
      </w:r>
      <m:oMath>
        <m:r>
          <m:rPr>
            <m:nor m:val="1"/>
          </m:rPr>
          <m:t>Tr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ρ</m:t>
                </m:r>
              </m:e>
              <m:sub>
                <m:r>
                  <m:t>0</m:t>
                </m:r>
              </m:sub>
            </m:sSub>
            <m:r>
              <m:t>H</m:t>
            </m:r>
          </m:e>
        </m:d>
        <m:r>
          <m:rPr>
            <m:nor m:val="1"/>
          </m:rPr>
          <m:t>−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nor m:val="1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  <m:r>
          <m:t>Δ</m:t>
        </m:r>
        <m:r>
          <m:t>E</m:t>
        </m:r>
        <m:r>
          <m:rPr>
            <m:nor m:val="1"/>
          </m:rPr>
          <m:t>=</m:t>
        </m:r>
        <m:r>
          <m:t>34.47643573912226</m:t>
        </m:r>
        <m:r>
          <m:t> </m:t>
        </m:r>
        <m:r>
          <m:rPr>
            <m:nor m:val="1"/>
          </m:rPr>
          <m:t>MeV</m:t>
        </m:r>
      </m:oMath>
      <w:r>
        <w:t xml:space="preserve">를 얻는다.</w:t>
      </w:r>
    </w:p>
    <w:p>
      <w:pPr>
        <w:pStyle w:val="BodyText"/>
      </w:pPr>
      <w:r>
        <w:rPr>
          <w:bCs/>
          <w:b/>
        </w:rPr>
        <w:t xml:space="preserve">기준량 맞춤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에서 상속 보정의 순수 양성자 예시를 채택한다. 정확한 단위 변환은</w:t>
      </w:r>
      <w:r>
        <w:t xml:space="preserve"> </w:t>
      </w:r>
      <m:oMath>
        <m:r>
          <m:t>1</m:t>
        </m:r>
        <m:r>
          <m:t> </m:t>
        </m:r>
        <m:r>
          <m:rPr>
            <m:nor m:val="1"/>
          </m:rPr>
          <m:t>MeV</m:t>
        </m:r>
        <m:r>
          <m:rPr>
            <m:nor m:val="1"/>
          </m:rPr>
          <m:t>=</m:t>
        </m:r>
        <m:r>
          <m:t>1.602176634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13</m:t>
            </m:r>
          </m:sup>
        </m:sSup>
        <m:r>
          <m:t> </m:t>
        </m:r>
        <m:r>
          <m:rPr>
            <m:nor m:val="1"/>
          </m:rPr>
          <m:t>J</m:t>
        </m:r>
      </m:oMath>
      <w:r>
        <w:t xml:space="preserve">이다. 다음과 같이 정한다.</w:t>
      </w:r>
    </w:p>
    <w:p>
      <w:pPr>
        <w:pStyle w:val="BodyText"/>
        <w:spacing w:before="40" w:after="160" w:line="252" w:lineRule="auto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N</m:t>
              </m:r>
            </m:e>
          </m:bar>
          <m:r>
            <m:rPr>
              <m:nor m:val="1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ϕ</m:t>
                  </m:r>
                  <m:r>
                    <m:rPr>
                      <m:nor m:val="1"/>
                    </m:rPr>
                    <m:t>,</m:t>
                  </m:r>
                  <m:r>
                    <m:rPr>
                      <m:nor m:val="1"/>
                    </m:rPr>
                    <m:t>ref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p</m:t>
                  </m:r>
                  <m:r>
                    <m:rPr>
                      <m:nor m:val="1"/>
                    </m:rPr>
                    <m:t>,</m:t>
                  </m:r>
                  <m:r>
                    <m:rPr>
                      <m:nor m:val="1"/>
                    </m:rPr>
                    <m:t>rest</m:t>
                  </m:r>
                </m:sub>
              </m:sSub>
              <m:r>
                <m:rPr>
                  <m:nor m:val="1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Δ</m:t>
              </m:r>
              <m:r>
                <m:t>E</m:t>
              </m:r>
            </m:den>
          </m:f>
          <m:r>
            <m:rPr>
              <m:nor m:val="1"/>
            </m:rPr>
            <m:t>=</m:t>
          </m:r>
          <m:r>
            <m:t>0.2425893463937076</m:t>
          </m:r>
          <m:r>
            <m:rPr>
              <m:nor m:val="1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ϕ</m:t>
              </m:r>
              <m:r>
                <m:rPr>
                  <m:nor m:val="1"/>
                </m:rPr>
                <m:t>,</m:t>
              </m:r>
              <m:r>
                <m:rPr>
                  <m:nor m:val="1"/>
                </m:rPr>
                <m:t>ref</m:t>
              </m:r>
            </m:sub>
          </m:sSub>
          <m:r>
            <m:rPr>
              <m:nor m:val="1"/>
            </m:rPr>
            <m:t>=</m:t>
          </m:r>
          <m:sSub>
            <m:e>
              <m:r>
                <m:t>f</m:t>
              </m:r>
            </m:e>
            <m:sub>
              <m:r>
                <m:t>ϕ</m:t>
              </m:r>
            </m:sub>
          </m:sSub>
          <m:sSub>
            <m:e>
              <m:r>
                <m:t>u</m:t>
              </m:r>
            </m:e>
            <m:sub>
              <m:r>
                <m:t>0</m:t>
              </m:r>
            </m:sub>
          </m:sSub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nor m:val="1"/>
            </m:rPr>
            <m:t>.</m:t>
          </m:r>
        </m:oMath>
      </m:oMathPara>
    </w:p>
    <w:p>
      <w:pPr>
        <w:pStyle w:val="FirstParagraph"/>
      </w:pPr>
      <w:r>
        <w:t xml:space="preserve">계산할 때 분모의 두 에너지를 모두 J로 변환한다.</w:t>
      </w:r>
      <w:r>
        <w:t xml:space="preserve"> </w:t>
      </w:r>
      <m:oMath>
        <m:bar>
          <m:barPr>
            <m:pos m:val="top"/>
          </m:barPr>
          <m:e>
            <m:r>
              <m:t>N</m:t>
            </m:r>
          </m:e>
        </m:bar>
      </m:oMath>
      <w:r>
        <w:t xml:space="preserve">은 외부 기준에 맞춘 기대 점유수이다. 우주의 양성자 수를 유도하거나 양성자 일부를 실제로 측정한 값으로 해석하지 않는다. 다음 쪽의 양성자 한 개 계산에는 별도의 제어기 예산이 있다.</w:t>
      </w:r>
    </w:p>
    <w:p>
      <w:pPr>
        <w:pStyle w:val="BodyText"/>
        <w:keepNext/>
      </w:pPr>
      <w:r>
        <w:rPr>
          <w:i w:val="0"/>
          <w:sz w:val="21"/>
        </w:rPr>
        <w:t xml:space="preserve">표 2 상속 표현형 배정량의 대체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60"/>
        <w:gridCol w:w="4464"/>
      </w:tblGrid>
      <w:tr>
        <w:trPr>
          <w:tblHeader w:val="true"/>
          <w:cantSplit/>
          <w:tblHeader/>
        </w:trPr>
        <w:tc>
          <w:tcPr>
            <w:tcW w:type="dxa" w:w="5760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b/>
                <w:sz w:val="21"/>
              </w:rPr>
              <w:t xml:space="preserve">기준 항목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b/>
                <w:sz w:val="21"/>
              </w:rPr>
              <w:t xml:space="preserve">에너지 J</w:t>
            </w:r>
          </w:p>
        </w:tc>
      </w:tr>
      <w:tr>
        <w:trPr>
          <w:cantSplit/>
        </w:trPr>
        <w:tc>
          <w:tcPr>
            <w:tcW w:type="dxa" w:w="57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양성자 한 개의 정지에너지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1.5032776180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57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기대 정지에너지 배정량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3.6467913480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57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기대 초기 들뜸 에너지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1.3399990150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57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정지에너지와 들뜸의 합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3.7807912495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576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기존 표현형 배정량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3.7807912495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기존 배정량을 바로 위의 분할로 대체한다. 원래 총량에 분할 에너지를 다시 더하면 정확히</w:t>
      </w:r>
      <w:r>
        <w:t xml:space="preserve"> </w:t>
      </w:r>
      <m:oMath>
        <m:sSub>
          <m:e>
            <m:r>
              <m:t>E</m:t>
            </m:r>
          </m:e>
          <m:sub>
            <m:r>
              <m:t>ϕ</m:t>
            </m:r>
            <m:r>
              <m:rPr>
                <m:nor m:val="1"/>
              </m:rPr>
              <m:t>,</m:t>
            </m:r>
            <m:r>
              <m:rPr>
                <m:nor m:val="1"/>
              </m:rPr>
              <m:t>ref</m:t>
            </m:r>
          </m:sub>
        </m:sSub>
      </m:oMath>
      <w:r>
        <w:t xml:space="preserve">가 중복된다.</w:t>
      </w:r>
      <w:r>
        <w:t xml:space="preserve"> </w:t>
      </w:r>
      <m:oMath>
        <m:r>
          <m:t>D</m:t>
        </m:r>
      </m:oMath>
      <w:r>
        <w:t xml:space="preserve">와</w:t>
      </w:r>
      <w:r>
        <w:t xml:space="preserve"> </w:t>
      </w:r>
      <m:oMath>
        <m:r>
          <m:t>R</m:t>
        </m:r>
      </m:oMath>
      <w:r>
        <w:t xml:space="preserve">의 에너지는 상속 값을 유지한다. 주소 가지 확률 0.05와 에너지 분율 0.0493은 서로 다른 역할을 갖는다.</w:t>
      </w:r>
    </w:p>
    <w:p>
      <w:pPr>
        <w:pStyle w:val="BodyText"/>
        <w:spacing w:before="0" w:after="0" w:line="240" w:lineRule="auto"/>
      </w:pPr>
      <w:r>
        <w:br w:type="page"/>
      </w:r>
    </w:p>
    <w:bookmarkEnd w:id="23"/>
    <w:bookmarkStart w:id="24" w:name="한-번의-기록과-조건부-시간-예측"/>
    <w:p>
      <w:pPr>
        <w:pStyle w:val="Heading1"/>
      </w:pPr>
      <w:r>
        <w:t xml:space="preserve">3 한 번의 기록과 조건부 시간 예측</w:t>
      </w:r>
    </w:p>
    <w:p>
      <w:pPr>
        <w:pStyle w:val="FirstParagraph"/>
      </w:pPr>
      <m:oMath>
        <m:r>
          <m:rPr>
            <m:nor m:val="1"/>
          </m:rPr>
          <m:t>|</m:t>
        </m:r>
        <m:r>
          <m:rPr>
            <m:nor m:val="1"/>
          </m:rPr>
          <m:t>±</m:t>
        </m:r>
        <m:r>
          <m:rPr>
            <m:nor m:val="1"/>
          </m:rPr>
          <m:t>⟩</m:t>
        </m:r>
        <m:r>
          <m:rPr>
            <m:nor m:val="1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 m:val="1"/>
              </m:rPr>
              <m:t>|</m:t>
            </m:r>
            <m:r>
              <m:t>g</m:t>
            </m:r>
            <m:r>
              <m:rPr>
                <m:nor m:val="1"/>
              </m:rPr>
              <m:t>⟩</m:t>
            </m:r>
            <m:r>
              <m:rPr>
                <m:nor m:val="1"/>
              </m:rPr>
              <m:t>±</m:t>
            </m:r>
            <m:r>
              <m:rPr>
                <m:nor m:val="1"/>
              </m:rPr>
              <m:t>|</m:t>
            </m:r>
            <m:r>
              <m:t>e</m:t>
            </m:r>
            <m:r>
              <m:rPr>
                <m:nor m:val="1"/>
              </m:rPr>
              <m:t>⟩</m:t>
            </m:r>
          </m:e>
        </m:d>
        <m:r>
          <m:rPr>
            <m:nor m:val="1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와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 m:val="1"/>
              </m:rPr>
              <m:t>±</m:t>
            </m:r>
          </m:sub>
        </m:sSub>
        <m:r>
          <m:rPr>
            <m:nor m:val="1"/>
          </m:rPr>
          <m:t>=</m:t>
        </m:r>
        <m:r>
          <m:rPr>
            <m:nor m:val="1"/>
          </m:rPr>
          <m:t>|</m:t>
        </m:r>
        <m:r>
          <m:rPr>
            <m:nor m:val="1"/>
          </m:rPr>
          <m:t>±</m:t>
        </m:r>
        <m:r>
          <m:rPr>
            <m:nor m:val="1"/>
          </m:rPr>
          <m:t>⟩</m:t>
        </m:r>
        <m:r>
          <m:rPr>
            <m:nor m:val="1"/>
          </m:rPr>
          <m:t>⟨</m:t>
        </m:r>
        <m:r>
          <m:rPr>
            <m:nor m:val="1"/>
          </m:rPr>
          <m:t>±</m:t>
        </m:r>
        <m:r>
          <m:rPr>
            <m:nor m:val="1"/>
          </m:rPr>
          <m:t>|</m:t>
        </m:r>
      </m:oMath>
      <w:r>
        <w:t xml:space="preserve">를 선택한다. 빈 기록은</w:t>
      </w:r>
      <w:r>
        <w:t xml:space="preserve"> </w:t>
      </w:r>
      <m:oMath>
        <m:r>
          <m:rPr>
            <m:nor m:val="1"/>
          </m:rPr>
          <m:t>|</m:t>
        </m:r>
        <m:r>
          <m:t>0</m:t>
        </m:r>
        <m:r>
          <m:rPr>
            <m:nor m:val="1"/>
          </m:rPr>
          <m:t>⟩</m:t>
        </m:r>
      </m:oMath>
      <w:r>
        <w:t xml:space="preserve">이고 기록 간격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nor m:val="1"/>
          </m:rPr>
          <m:t>=</m:t>
        </m:r>
        <m:r>
          <m:t>3.5596112121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15</m:t>
            </m:r>
          </m:sup>
        </m:sSup>
        <m:r>
          <m:t> </m:t>
        </m:r>
        <m:r>
          <m:rPr>
            <m:nor m:val="1"/>
          </m:rPr>
          <m:t>J</m:t>
        </m:r>
      </m:oMath>
      <w:r>
        <w:t xml:space="preserve">는 아래에서 정의하는 전자 모드 에너지</w:t>
      </w:r>
      <w:r>
        <w:t xml:space="preserve"> </w:t>
      </w:r>
      <m:oMath>
        <m:r>
          <m:t>μ</m:t>
        </m:r>
      </m:oMath>
      <w:r>
        <w:t xml:space="preserve">이다. 원본 기록 결합은 다음과 같다.</w:t>
      </w:r>
    </w:p>
    <w:p>
      <w:pPr>
        <w:pStyle w:val="BodyText"/>
        <w:spacing w:before="40" w:after="160" w:line="252" w:lineRule="auto"/>
      </w:pPr>
      <m:oMathPara>
        <m:oMathParaPr>
          <m:jc m:val="center"/>
        </m:oMathParaPr>
        <m:oMath>
          <m:r>
            <m:t>W</m:t>
          </m:r>
          <m:r>
            <m:rPr>
              <m:nor m:val="1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 m:val="1"/>
                </m:rPr>
                <m:t>+</m:t>
              </m:r>
            </m:sub>
          </m:sSub>
          <m:r>
            <m:rPr>
              <m:nor m:val="1"/>
            </m:rPr>
            <m:t>⊗</m:t>
          </m:r>
          <m:r>
            <m:t>I</m:t>
          </m:r>
          <m:r>
            <m:rPr>
              <m:nor m:val="1"/>
            </m:rPr>
            <m:t>+</m:t>
          </m:r>
          <m:sSub>
            <m:e>
              <m:r>
                <m:t>P</m:t>
              </m:r>
            </m:e>
            <m:sub>
              <m:r>
                <m:rPr>
                  <m:nor m:val="1"/>
                </m:rPr>
                <m:t>−</m:t>
              </m:r>
            </m:sub>
          </m:sSub>
          <m:r>
            <m:rPr>
              <m:nor m:val="1"/>
            </m:rPr>
            <m:t>⊗</m:t>
          </m:r>
          <m:r>
            <m:t>X</m:t>
          </m:r>
          <m:r>
            <m:rPr>
              <m:nor m:val="1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s</m:t>
              </m:r>
            </m:sub>
          </m:sSub>
          <m:r>
            <m:rPr>
              <m:nor m:val="1"/>
            </m:rPr>
            <m:t>=</m:t>
          </m:r>
          <m:r>
            <m:rPr>
              <m:nor m:val="1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nor m:val="1"/>
                </m:rPr>
                <m:t>,</m:t>
              </m:r>
              <m:r>
                <m:t>Δ</m:t>
              </m:r>
              <m:r>
                <m:t>E</m:t>
              </m:r>
            </m:e>
          </m:d>
          <m:r>
            <m:rPr>
              <m:nor m:val="1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nor m:val="1"/>
            </m:rPr>
            <m:t>=</m:t>
          </m:r>
          <m:r>
            <m:rPr>
              <m:nor m:val="1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nor m:val="1"/>
                </m:rPr>
                <m:t>,</m:t>
              </m:r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nor m:val="1"/>
            </m:rPr>
            <m:t>.</m:t>
          </m:r>
        </m:oMath>
      </m:oMathPara>
    </w:p>
    <w:p>
      <w:pPr>
        <w:pStyle w:val="FirstParagraph"/>
      </w:pPr>
      <m:oMath>
        <m:r>
          <m:t>W</m:t>
        </m:r>
      </m:oMath>
      <w:r>
        <w:t xml:space="preserve">는 유니터리이며 포인터는 두 결과를 비트 0과 1에 대응시킨다. 각 조건부 결과의 확률은 1/2이다. 결과를 구분하지 않으면 내부 상태는</w:t>
      </w:r>
      <w:r>
        <w:t xml:space="preserve"> </w:t>
      </w:r>
      <m:oMath>
        <m:r>
          <m:t>I</m:t>
        </m:r>
        <m:r>
          <m:rPr>
            <m:nor m:val="1"/>
          </m:rPr>
          <m:t>/</m:t>
        </m:r>
        <m:r>
          <m:t>2</m:t>
        </m:r>
      </m:oMath>
      <w:r>
        <w:t xml:space="preserve">, 평균 기록 에너지는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nor m:val="1"/>
          </m:rPr>
          <m:t>/</m:t>
        </m:r>
        <m:r>
          <m:t>2</m:t>
        </m:r>
      </m:oMath>
      <w:r>
        <w:t xml:space="preserve">가 된다. 상대 내부 에너지는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t>Δ</m:t>
        </m:r>
        <m:r>
          <m:t>E</m:t>
        </m:r>
      </m:oMath>
      <w:r>
        <w:t xml:space="preserve">에서</w:t>
      </w:r>
      <w:r>
        <w:t xml:space="preserve"> </w:t>
      </w:r>
      <m:oMath>
        <m:r>
          <m:t>Δ</m:t>
        </m:r>
        <m:r>
          <m:t>E</m:t>
        </m:r>
        <m:r>
          <m:rPr>
            <m:nor m:val="1"/>
          </m:rPr>
          <m:t>/</m:t>
        </m:r>
        <m:r>
          <m:t>2</m:t>
        </m:r>
      </m:oMath>
      <w:r>
        <w:t xml:space="preserve">로 바뀐다.</w:t>
      </w:r>
    </w:p>
    <w:p>
      <w:pPr>
        <w:pStyle w:val="BodyText"/>
      </w:pPr>
      <w:r>
        <w:rPr>
          <w:bCs/>
          <w:b/>
        </w:rPr>
        <w:t xml:space="preserve">조건부 양성자 한 개</w:t>
      </w:r>
      <w:r>
        <w:t xml:space="preserve">에 대한 평균 기록 일은 다음과 같다.</w:t>
      </w:r>
    </w:p>
    <w:p>
      <w:pPr>
        <w:pStyle w:val="BodyText"/>
        <w:spacing w:before="40" w:after="160" w:line="252" w:lineRule="auto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 m:val="1"/>
                </m:rPr>
                <m:t>write</m:t>
              </m:r>
            </m:sub>
          </m:sSub>
          <m:r>
            <m:rPr>
              <m:nor m:val="1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 m:val="1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e>
          </m:d>
          <m:r>
            <m:t>Δ</m:t>
          </m:r>
          <m:r>
            <m:t>E</m:t>
          </m:r>
          <m:r>
            <m:rPr>
              <m:nor m:val="1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nor m:val="1"/>
            </m:rPr>
            <m:t>=</m:t>
          </m:r>
          <m:r>
            <m:t>2.9011460679</m:t>
          </m:r>
          <m:r>
            <m:rPr>
              <m:nor m:val="1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nor m:val="1"/>
                </m:rPr>
                <m:t>−</m:t>
              </m:r>
              <m:r>
                <m:t>11</m:t>
              </m:r>
            </m:sup>
          </m:sSup>
          <m:r>
            <m:t> </m:t>
          </m:r>
          <m:r>
            <m:rPr>
              <m:nor m:val="1"/>
            </m:rPr>
            <m:t>J</m:t>
          </m:r>
          <m:r>
            <m:rPr>
              <m:nor m:val="1"/>
            </m:rPr>
            <m:t>.</m:t>
          </m:r>
        </m:oMath>
      </m:oMathPara>
    </w:p>
    <w:p>
      <w:pPr>
        <w:pStyle w:val="FirstParagraph"/>
      </w:pPr>
      <w:r>
        <w:t xml:space="preserve">이 식의 에너지는 모두 J로 계산한다. 원본의 개별 제어기는</w:t>
      </w:r>
      <w:r>
        <w:t xml:space="preserve"> </w:t>
      </w:r>
      <m:oMath>
        <m:r>
          <m:t>Δ</m:t>
        </m:r>
        <m:r>
          <m:t>E</m:t>
        </m:r>
        <m:r>
          <m:rPr>
            <m:nor m:val="1"/>
          </m:rPr>
          <m:t>+</m:t>
        </m:r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nor m:val="1"/>
          </m:rPr>
          <m:t>=</m:t>
        </m:r>
        <m:r>
          <m:t>6.9070389311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11</m:t>
            </m:r>
          </m:sup>
        </m:sSup>
        <m:r>
          <m:t> </m:t>
        </m:r>
        <m:r>
          <m:rPr>
            <m:nor m:val="1"/>
          </m:rPr>
          <m:t>J</m:t>
        </m:r>
      </m:oMath>
      <w:r>
        <w:t xml:space="preserve">로 시작하며 평균 기록 후</w:t>
      </w:r>
      <w:r>
        <w:t xml:space="preserve"> </w:t>
      </w:r>
      <m:oMath>
        <m:r>
          <m:t>4.0058928632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11</m:t>
            </m:r>
          </m:sup>
        </m:sSup>
        <m:r>
          <m:t> </m:t>
        </m:r>
        <m:r>
          <m:rPr>
            <m:nor m:val="1"/>
          </m:rPr>
          <m:t>J</m:t>
        </m:r>
      </m:oMath>
      <w:r>
        <w:t xml:space="preserve">를 남긴다. 두 결과 각각의 비용도 감당한다. 이는 외부 제어를 받는 예산이며, 자율적 에너지 보존 장치의 해밀토니언까지 구성한 것은 아니다.</w:t>
      </w:r>
    </w:p>
    <w:p>
      <w:pPr>
        <w:pStyle w:val="BodyText"/>
      </w:pPr>
      <w:r>
        <w:rPr>
          <w:bCs/>
          <w:b/>
        </w:rPr>
        <w:t xml:space="preserve">전체 원천 경로</w:t>
      </w:r>
      <w:r>
        <w:t xml:space="preserve"> </w:t>
      </w:r>
      <w:r>
        <w:t xml:space="preserve">조건부 측정은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가지만 나눈다.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 m:val="1"/>
              </m:rPr>
              <m:t>+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 m:val="1"/>
              </m:rPr>
              <m:t>−</m:t>
            </m:r>
          </m:sub>
        </m:sSub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 초기 반사, 정상 반환의 확률은 각각</w:t>
      </w:r>
      <w:r>
        <w:t xml:space="preserve"> </w:t>
      </w:r>
      <m:oMath>
        <m:r>
          <m:t>0.025</m:t>
        </m:r>
      </m:oMath>
      <w:r>
        <w:t xml:space="preserve">,</w:t>
      </w:r>
      <w:r>
        <w:t xml:space="preserve"> </w:t>
      </w:r>
      <m:oMath>
        <m:r>
          <m:t>0.025</m:t>
        </m:r>
      </m:oMath>
      <w:r>
        <w:t xml:space="preserve">,</w:t>
      </w:r>
      <w:r>
        <w:t xml:space="preserve"> </w:t>
      </w:r>
      <m:oMath>
        <m:r>
          <m:t>0.268</m:t>
        </m:r>
      </m:oMath>
      <w:r>
        <w:t xml:space="preserve">,</w:t>
      </w:r>
      <w:r>
        <w:t xml:space="preserve"> </w:t>
      </w:r>
      <m:oMath>
        <m:r>
          <m:t>0.007772944563</m:t>
        </m:r>
      </m:oMath>
      <w:r>
        <w:t xml:space="preserve">,</w:t>
      </w:r>
      <w:r>
        <w:t xml:space="preserve"> </w:t>
      </w:r>
      <m:oMath>
        <m:r>
          <m:t>0.674227055437</m:t>
        </m:r>
      </m:oMath>
      <w:r>
        <w:t xml:space="preserve">이다. 합은 1이며 거주 부문의 합은 0.318이다.</w:t>
      </w:r>
    </w:p>
    <w:p>
      <w:pPr>
        <w:pStyle w:val="BodyText"/>
      </w:pPr>
      <w:r>
        <w:rPr>
          <w:bCs/>
          <w:b/>
        </w:rPr>
        <w:t xml:space="preserve">고유시간 예측</w:t>
      </w:r>
      <w:r>
        <w:t xml:space="preserve"> </w:t>
      </w:r>
      <m:oMath>
        <m:r>
          <m:t>μ</m:t>
        </m:r>
        <m:r>
          <m:rPr>
            <m:nor m:val="1"/>
          </m:rPr>
          <m:t>=</m:t>
        </m:r>
        <m:r>
          <m:t>510998.95069</m:t>
        </m:r>
        <m:r>
          <m:rPr>
            <m:nor m:val="1"/>
          </m:rPr>
          <m:t>/</m:t>
        </m:r>
        <m:r>
          <m:t>23</m:t>
        </m:r>
        <m:r>
          <m:t> </m:t>
        </m:r>
        <m:r>
          <m:rPr>
            <m:nor m:val="1"/>
          </m:rPr>
          <m:t>eV</m:t>
        </m:r>
      </m:oMath>
      <w:r>
        <w:t xml:space="preserve">,</w:t>
      </w:r>
      <w:r>
        <w:t xml:space="preserve"> </w:t>
      </w:r>
      <m:oMath>
        <m:r>
          <m:t>ω</m:t>
        </m:r>
        <m:r>
          <m:rPr>
            <m:nor m:val="1"/>
          </m:rPr>
          <m:t>=</m:t>
        </m:r>
        <m:r>
          <m:t>μ</m:t>
        </m:r>
        <m:r>
          <m:rPr>
            <m:nor m:val="1"/>
          </m:rPr>
          <m:t>/</m:t>
        </m:r>
        <m:r>
          <m:rPr>
            <m:nor m:val="1"/>
          </m:rPr>
          <m:t>ℏ</m:t>
        </m:r>
      </m:oMath>
      <w:r>
        <w:t xml:space="preserve">,</w:t>
      </w:r>
      <w:r>
        <w:t xml:space="preserve"> </w:t>
      </w:r>
      <m:oMath>
        <m:r>
          <m:t>δ</m:t>
        </m:r>
        <m:r>
          <m:t>τ</m:t>
        </m:r>
        <m:r>
          <m:rPr>
            <m:nor m:val="1"/>
          </m:rPr>
          <m:t>=</m:t>
        </m:r>
        <m:r>
          <m:t>0.1</m:t>
        </m:r>
        <m:r>
          <m:rPr>
            <m:nor m:val="1"/>
          </m:rPr>
          <m:t>/</m:t>
        </m:r>
        <m:r>
          <m:t>ω</m:t>
        </m:r>
        <m:r>
          <m:rPr>
            <m:nor m:val="1"/>
          </m:rPr>
          <m:t>=</m:t>
        </m:r>
        <m:r>
          <m:t>2.9626039328317383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21</m:t>
            </m:r>
          </m:sup>
        </m:sSup>
        <m:r>
          <m:t> </m:t>
        </m:r>
        <m:r>
          <m:rPr>
            <m:nor m:val="1"/>
          </m:rPr>
          <m:t>s</m:t>
        </m:r>
      </m:oMath>
      <w:r>
        <w:t xml:space="preserve">를 채택한다. 각속도 식에서는</w:t>
      </w:r>
      <w:r>
        <w:t xml:space="preserve"> </w:t>
      </w:r>
      <m:oMath>
        <m:r>
          <m:t>μ</m:t>
        </m:r>
      </m:oMath>
      <w:r>
        <w:t xml:space="preserve">를 J로 변환한다. 첫 결과를 선택한 뒤 다음을 계산한다.</w:t>
      </w:r>
    </w:p>
    <w:p>
      <w:pPr>
        <w:pStyle w:val="BodyText"/>
        <w:spacing w:before="40" w:after="160" w:line="252" w:lineRule="auto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nor m:val="1"/>
            </m:rPr>
            <m:t>=</m:t>
          </m:r>
          <m:sSup>
            <m:e>
              <m:r>
                <m:t>e</m:t>
              </m:r>
            </m:e>
            <m:sup>
              <m:r>
                <m:rPr>
                  <m:nor m:val="1"/>
                </m:rPr>
                <m:t>−</m:t>
              </m:r>
              <m:r>
                <m:t>i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r>
                <m:t>τ</m:t>
              </m:r>
              <m:r>
                <m:rPr>
                  <m:nor m:val="1"/>
                </m:rPr>
                <m:t>/</m:t>
              </m:r>
              <m:r>
                <m:rPr>
                  <m:nor m:val="1"/>
                </m:rPr>
                <m:t>ℏ</m:t>
              </m:r>
            </m:sup>
          </m:sSup>
          <m:r>
            <m:rPr>
              <m:nor m:val="1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nor m:val="1"/>
                </m:rPr>
                <m:t>same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nor m:val="1"/>
            </m:rPr>
            <m:t>=</m:t>
          </m:r>
          <m:sSup>
            <m:e>
              <m:r>
                <m:rPr>
                  <m:nor m:val="1"/>
                </m:rPr>
                <m:t>cos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Δ</m:t>
                  </m:r>
                  <m:r>
                    <m:t>E</m:t>
                  </m:r>
                  <m:r>
                    <m:t> </m:t>
                  </m:r>
                  <m:r>
                    <m:t>k</m:t>
                  </m:r>
                  <m:r>
                    <m:t>δ</m:t>
                  </m:r>
                  <m:r>
                    <m:t>τ</m:t>
                  </m:r>
                </m:num>
                <m:den>
                  <m:r>
                    <m:t>2</m:t>
                  </m:r>
                  <m:r>
                    <m:rPr>
                      <m:nor m:val="1"/>
                    </m:rPr>
                    <m:t>ℏ</m:t>
                  </m:r>
                </m:den>
              </m:f>
            </m:e>
          </m:d>
          <m:r>
            <m:rPr>
              <m:nor m:val="1"/>
            </m:rPr>
            <m:t>.</m:t>
          </m:r>
        </m:oMath>
      </m:oMathPara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84"/>
        <w:gridCol w:w="5040"/>
      </w:tblGrid>
      <w:tr>
        <w:trPr>
          <w:tblHeader w:val="true"/>
          <w:cantSplit/>
          <w:tblHeader/>
        </w:trPr>
        <w:tc>
          <w:tcPr>
            <w:tcW w:type="dxa" w:w="5184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b/>
                <w:sz w:val="21"/>
              </w:rPr>
              <w:t xml:space="preserve">채택한 프레임 간격</w:t>
            </w:r>
          </w:p>
        </w:tc>
        <w:tc>
          <w:tcPr>
            <w:tcW w:type="dxa" w:w="5040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b/>
                <w:sz w:val="21"/>
              </w:rPr>
              <w:t xml:space="preserve">같은 결과가 나올 확률</w:t>
            </w:r>
          </w:p>
        </w:tc>
      </w:tr>
      <w:tr>
        <w:trPr>
          <w:cantSplit/>
        </w:trPr>
        <w:tc>
          <w:tcPr>
            <w:tcW w:type="dxa" w:w="51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1</w:t>
            </w:r>
          </w:p>
        </w:tc>
        <w:tc>
          <w:tcPr>
            <w:tcW w:type="dxa" w:w="50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0.675164206721</w:t>
            </w:r>
          </w:p>
        </w:tc>
      </w:tr>
      <w:tr>
        <w:trPr>
          <w:cantSplit/>
        </w:trPr>
        <w:tc>
          <w:tcPr>
            <w:tcW w:type="dxa" w:w="51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2</w:t>
            </w:r>
          </w:p>
        </w:tc>
        <w:tc>
          <w:tcPr>
            <w:tcW w:type="dxa" w:w="50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0.122729997265</w:t>
            </w:r>
          </w:p>
        </w:tc>
      </w:tr>
      <w:tr>
        <w:trPr>
          <w:cantSplit/>
        </w:trPr>
        <w:tc>
          <w:tcPr>
            <w:tcW w:type="dxa" w:w="518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5040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0.569330619854</w:t>
            </w:r>
          </w:p>
        </w:tc>
      </w:tr>
    </w:tbl>
    <w:p>
      <w:pPr>
        <w:pStyle w:val="BodyText"/>
      </w:pPr>
      <w:r>
        <w:t xml:space="preserve">시계 사상은 채택한 구성이며 실제 시계 속도를 식별한 값은 아니다. 표는 조건부 전이 예측이다. 반복 기록·초기화 주기의 에너지와 모든 모의 기록을 누적 저장하는 에너지는 포함하지 않는다.</w:t>
      </w:r>
    </w:p>
    <w:p>
      <w:pPr>
        <w:pStyle w:val="BodyText"/>
        <w:spacing w:before="0" w:after="0" w:line="240" w:lineRule="auto"/>
      </w:pPr>
      <w:r>
        <w:br w:type="page"/>
      </w:r>
    </w:p>
    <w:bookmarkEnd w:id="24"/>
    <w:bookmarkStart w:id="25" w:name="같은-에너지의-균질-장부"/>
    <w:p>
      <w:pPr>
        <w:pStyle w:val="Heading1"/>
      </w:pPr>
      <w:r>
        <w:t xml:space="preserve">4 같은 에너지의 균질 장부</w:t>
      </w:r>
    </w:p>
    <w:p>
      <w:pPr>
        <w:pStyle w:val="FirstParagraph"/>
      </w:pPr>
      <w:r>
        <w:t xml:space="preserve">개별 상태 계산을 상속 기준 부피에 연결하기 위해 평균 증가량에</w:t>
      </w:r>
      <w:r>
        <w:t xml:space="preserve"> </w:t>
      </w:r>
      <m:oMath>
        <m:bar>
          <m:barPr>
            <m:pos m:val="top"/>
          </m:barPr>
          <m:e>
            <m:r>
              <m:t>N</m:t>
            </m:r>
          </m:e>
        </m:bar>
      </m:oMath>
      <w:r>
        <w:t xml:space="preserve">을 곱한다. 이는 점유자마다 한 번의 이상적 기록을 적용하는 평균 앙상블 장부이다. 이 작은 부피의 예산으로 실제 양성자 한 개의 기록을 지불한다고 해석하지 않는다. 3쪽의 개별 제어기가 그 별도 계산을 제공한다.</w:t>
      </w:r>
    </w:p>
    <w:p>
      <w:pPr>
        <w:pStyle w:val="BodyText"/>
      </w:pPr>
      <w:r>
        <w:t xml:space="preserve">평균 내부 증가량은</w:t>
      </w:r>
      <w:r>
        <w:t xml:space="preserve"> </w:t>
      </w:r>
      <m:oMath>
        <m:r>
          <m:t>7.0374395222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12</m:t>
            </m:r>
          </m:sup>
        </m:sSup>
        <m:r>
          <m:t> </m:t>
        </m:r>
        <m:r>
          <m:rPr>
            <m:nor m:val="1"/>
          </m:rPr>
          <m:t>J</m:t>
        </m:r>
      </m:oMath>
      <w:r>
        <w:t xml:space="preserve">, 평균 기록 증가량은</w:t>
      </w:r>
      <w:r>
        <w:t xml:space="preserve"> </w:t>
      </w:r>
      <m:oMath>
        <m:r>
          <m:t>4.3176187869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16</m:t>
            </m:r>
          </m:sup>
        </m:sSup>
        <m:r>
          <m:t> </m:t>
        </m:r>
        <m:r>
          <m:rPr>
            <m:nor m:val="1"/>
          </m:rPr>
          <m:t>J</m:t>
        </m:r>
      </m:oMath>
      <w:r>
        <w:t xml:space="preserve">이다. 합계</w:t>
      </w:r>
      <w:r>
        <w:t xml:space="preserve"> </w:t>
      </w:r>
      <m:oMath>
        <m:r>
          <m:t>δ</m:t>
        </m:r>
        <m:sSub>
          <m:e>
            <m:r>
              <m:t>E</m:t>
            </m:r>
          </m:e>
          <m:sub>
            <m:r>
              <m:rPr>
                <m:nor m:val="1"/>
              </m:rPr>
              <m:t>write</m:t>
            </m:r>
          </m:sub>
        </m:sSub>
        <m:r>
          <m:rPr>
            <m:nor m:val="1"/>
          </m:rPr>
          <m:t>=</m:t>
        </m:r>
        <m:r>
          <m:t>7.0378712840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12</m:t>
            </m:r>
          </m:sup>
        </m:sSup>
        <m:r>
          <m:t> </m:t>
        </m:r>
        <m:r>
          <m:rPr>
            <m:nor m:val="1"/>
          </m:rPr>
          <m:t>J</m:t>
        </m:r>
      </m:oMath>
      <w:r>
        <w:t xml:space="preserve">를 한 번만 공급한다. 평균 공급원의 초기 예산은</w:t>
      </w:r>
      <w:r>
        <w:t xml:space="preserve"> </w:t>
      </w:r>
      <m:oMath>
        <m:r>
          <m:t>7.5615824991</m:t>
        </m:r>
        <m:r>
          <m:rPr>
            <m:nor m:val="1"/>
          </m:rPr>
          <m:t>×</m:t>
        </m:r>
        <m:sSup>
          <m:e>
            <m:r>
              <m:t>10</m:t>
            </m:r>
          </m:e>
          <m:sup>
            <m:r>
              <m:rPr>
                <m:nor m:val="1"/>
              </m:rPr>
              <m:t>−</m:t>
            </m:r>
            <m:r>
              <m:t>12</m:t>
            </m:r>
          </m:sup>
        </m:sSup>
        <m:r>
          <m:t> </m:t>
        </m:r>
        <m:r>
          <m:rPr>
            <m:nor m:val="1"/>
          </m:rPr>
          <m:t>J</m:t>
        </m:r>
      </m:oMath>
      <w:r>
        <w:t xml:space="preserve">이다.</w:t>
      </w:r>
    </w:p>
    <w:p>
      <w:pPr>
        <w:pStyle w:val="BodyText"/>
        <w:keepNext/>
      </w:pPr>
      <w:r>
        <w:rPr>
          <w:i w:val="0"/>
          <w:sz w:val="21"/>
        </w:rPr>
        <w:t xml:space="preserve">표 3 같은 기준 부피에서의 평균 에너지 장부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3204"/>
        <w:gridCol w:w="3204"/>
      </w:tblGrid>
      <w:tr>
        <w:trPr>
          <w:tblHeader w:val="true"/>
          <w:cantSplit/>
          <w:tblHeader/>
        </w:trPr>
        <w:tc>
          <w:tcPr>
            <w:tcW w:type="dxa" w:w="3816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b/>
                <w:sz w:val="21"/>
              </w:rPr>
              <w:t xml:space="preserve">경계 항목</w:t>
            </w:r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b/>
                <w:sz w:val="21"/>
              </w:rPr>
              <w:t xml:space="preserve">이전</w:t>
            </w:r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b/>
                <w:sz w:val="21"/>
              </w:rPr>
              <w:t xml:space="preserve">이후</w:t>
            </w:r>
          </w:p>
        </w:tc>
      </w:tr>
      <w:tr>
        <w:trPr>
          <w:cantSplit/>
        </w:trPr>
        <w:tc>
          <w:tcPr>
            <w:tcW w:type="dxa" w:w="38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기록 포함 계의 에너지 J</w:t>
            </w:r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7.6689477678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7.7393264807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38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공급원 에너지 J</w:t>
            </w:r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7.5615824991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5.2371121503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38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계와 공급원의 합 J</w:t>
            </w:r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7.7445635928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t>7.7445635928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38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압력 Pa</w:t>
            </w:r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rPr>
                  <m:nor m:val="1"/>
                </m:rPr>
                <m:t>−</m:t>
              </m:r>
              <m:r>
                <m:t>5.2585974844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m:oMath>
              <m:r>
                <m:rPr>
                  <m:nor m:val="1"/>
                </m:rPr>
                <m:t>−</m:t>
              </m:r>
              <m:r>
                <m:t>5.2585974844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38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공급원을 밖에 둔</w:t>
            </w:r>
            <w:r>
              <w:rPr>
                <w:sz w:val="21"/>
              </w:rPr>
              <w:t xml:space="preserve"> </w:t>
            </w:r>
            <m:oMath>
              <m:r>
                <m:t>q</m:t>
              </m:r>
            </m:oMath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−0.528550000000</w:t>
            </w:r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−0.519196728075</w:t>
            </w:r>
          </w:p>
        </w:tc>
      </w:tr>
      <w:tr>
        <w:trPr>
          <w:cantSplit/>
        </w:trPr>
        <w:tc>
          <w:tcPr>
            <w:tcW w:type="dxa" w:w="381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무압력 공급원을 포함한</w:t>
            </w:r>
            <w:r>
              <w:rPr>
                <w:sz w:val="21"/>
              </w:rPr>
              <w:t xml:space="preserve"> </w:t>
            </w:r>
            <m:oMath>
              <m:r>
                <m:t>q</m:t>
              </m:r>
            </m:oMath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−0.518507515893</w:t>
            </w:r>
          </w:p>
        </w:tc>
        <w:tc>
          <w:tcPr>
            <w:tcW w:type="dxa" w:w="3204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right"/>
            </w:pPr>
            <w:r>
              <w:rPr>
                <w:sz w:val="21"/>
              </w:rPr>
              <w:t xml:space="preserve">−0.518507515893</w:t>
            </w:r>
          </w:p>
        </w:tc>
      </w:tr>
    </w:tbl>
    <w:p>
      <w:pPr>
        <w:pStyle w:val="BodyText"/>
      </w:pPr>
      <w:r>
        <w:rPr>
          <w:bCs/>
          <w:b/>
        </w:rPr>
        <w:t xml:space="preserve">부피 법칙과 경계</w:t>
      </w:r>
      <w:r>
        <w:t xml:space="preserve"> </w:t>
      </w:r>
      <w:r>
        <w:t xml:space="preserve">공이동 점유수와 상태를 고정하면 정지에너지, 들뜸,</w:t>
      </w:r>
      <w:r>
        <w:t xml:space="preserve"> </w:t>
      </w:r>
      <m:oMath>
        <m:r>
          <m:t>D</m:t>
        </m:r>
      </m:oMath>
      <w:r>
        <w:t xml:space="preserve">, 모형 기록은 부피에 무관한 에너지이다.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부문의 에너지는 부피에 비례한다.</w:t>
      </w:r>
    </w:p>
    <w:p>
      <w:pPr>
        <w:pStyle w:val="BodyText"/>
        <w:spacing w:before="40" w:after="160" w:line="252" w:lineRule="auto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 m:val="1"/>
                </m:rPr>
                <m:t>out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nor m:val="1"/>
            </m:rPr>
            <m:t>=</m:t>
          </m:r>
          <m:r>
            <m:t>M</m:t>
          </m:r>
          <m:r>
            <m:rPr>
              <m:nor m:val="1"/>
            </m:rPr>
            <m:t>+</m:t>
          </m:r>
          <m:r>
            <m:t>δ</m:t>
          </m:r>
          <m:sSub>
            <m:e>
              <m:r>
                <m:t>E</m:t>
              </m:r>
            </m:e>
            <m:sub>
              <m:r>
                <m:rPr>
                  <m:nor m:val="1"/>
                </m:rPr>
                <m:t>write</m:t>
              </m:r>
            </m:sub>
          </m:sSub>
          <m:r>
            <m:rPr>
              <m:nor m:val="1"/>
            </m:rPr>
            <m:t>+</m:t>
          </m:r>
          <m:r>
            <m:t>L</m:t>
          </m:r>
          <m:r>
            <m:t>V</m:t>
          </m:r>
          <m:r>
            <m:rPr>
              <m:nor m:val="1"/>
            </m:rPr>
            <m:t>,</m:t>
          </m:r>
          <m:r>
            <m:t> </m:t>
          </m:r>
          <m:r>
            <m:t>L</m:t>
          </m:r>
          <m:r>
            <m:rPr>
              <m:nor m:val="1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R</m:t>
                  </m:r>
                  <m:r>
                    <m:rPr>
                      <m:nor m:val="1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nor m:val="1"/>
            </m:rPr>
            <m:t>,</m:t>
          </m:r>
          <m:r>
            <m:t> </m:t>
          </m:r>
          <m:r>
            <m:t>P</m:t>
          </m:r>
          <m:r>
            <m:rPr>
              <m:nor m:val="1"/>
            </m:rPr>
            <m:t>=</m:t>
          </m:r>
          <m:r>
            <m:rPr>
              <m:nor m:val="1"/>
            </m:rPr>
            <m:t>−</m:t>
          </m:r>
          <m:f>
            <m:fPr>
              <m:type m:val="bar"/>
            </m:fPr>
            <m:num>
              <m:r>
                <m:rPr>
                  <m:nor m:val="1"/>
                </m:rPr>
                <m:t>∂</m:t>
              </m:r>
              <m:r>
                <m:t>E</m:t>
              </m:r>
            </m:num>
            <m:den>
              <m:r>
                <m:rPr>
                  <m:nor m:val="1"/>
                </m:rPr>
                <m:t>∂</m:t>
              </m:r>
              <m:r>
                <m:t>V</m:t>
              </m:r>
            </m:den>
          </m:f>
          <m:r>
            <m:rPr>
              <m:nor m:val="1"/>
            </m:rPr>
            <m:t>=</m:t>
          </m:r>
          <m:r>
            <m:rPr>
              <m:nor m:val="1"/>
            </m:rPr>
            <m:t>−</m:t>
          </m:r>
          <m:r>
            <m:t>L</m:t>
          </m:r>
          <m:r>
            <m:rPr>
              <m:nor m:val="1"/>
            </m:rPr>
            <m:t>.</m:t>
          </m:r>
        </m:oMath>
      </m:oMathPara>
    </w:p>
    <w:p>
      <w:pPr>
        <w:pStyle w:val="FirstParagraph"/>
      </w:pPr>
      <m:oMath>
        <m:r>
          <m:t>M</m:t>
        </m:r>
      </m:oMath>
      <w:r>
        <w:t xml:space="preserve">은 기록 이전의 상수 에너지들을 포함한다. 기록 이전에는</w:t>
      </w:r>
      <w:r>
        <w:t xml:space="preserve"> </w:t>
      </w:r>
      <m:oMath>
        <m:r>
          <m:t>δ</m:t>
        </m:r>
        <m:sSub>
          <m:e>
            <m:r>
              <m:t>E</m:t>
            </m:r>
          </m:e>
          <m:sub>
            <m:r>
              <m:rPr>
                <m:nor m:val="1"/>
              </m:rPr>
              <m:t>write</m:t>
            </m:r>
          </m:sub>
        </m:sSub>
      </m:oMath>
      <w:r>
        <w:t xml:space="preserve">를 뺀다.</w:t>
      </w:r>
      <w:r>
        <w:t xml:space="preserve"> </w:t>
      </w:r>
      <m:oMath>
        <m:r>
          <m:t>u</m:t>
        </m:r>
        <m:r>
          <m:rPr>
            <m:nor m:val="1"/>
          </m:rPr>
          <m:t>=</m:t>
        </m:r>
        <m:r>
          <m:t>E</m:t>
        </m:r>
        <m:r>
          <m:rPr>
            <m:nor m:val="1"/>
          </m:rPr>
          <m:t>/</m:t>
        </m:r>
        <m:r>
          <m:t>V</m:t>
        </m:r>
      </m:oMath>
      <w:r>
        <w:t xml:space="preserve">로 두면 채택한 균질 응답은</w:t>
      </w:r>
      <w:r>
        <w:t xml:space="preserve"> </w:t>
      </w:r>
      <m:oMath>
        <m:r>
          <m:t>q</m:t>
        </m:r>
        <m:r>
          <m:rPr>
            <m:nor m:val="1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nor m:val="1"/>
              </m:rPr>
              <m:t>+</m:t>
            </m:r>
            <m:r>
              <m:t>3</m:t>
            </m:r>
            <m:r>
              <m:t>P</m:t>
            </m:r>
            <m:r>
              <m:rPr>
                <m:nor m:val="1"/>
              </m:rPr>
              <m:t>/</m:t>
            </m:r>
            <m:r>
              <m:t>u</m:t>
            </m:r>
          </m:e>
        </m:d>
      </m:oMath>
      <w:r>
        <w:t xml:space="preserve">이다. 미분과 응답이 같은 에너지 식을 사용한다.</w:t>
      </w:r>
    </w:p>
    <w:p>
      <w:pPr>
        <w:pStyle w:val="BodyText"/>
      </w:pPr>
      <w:r>
        <w:t xml:space="preserve">공급원을 경계 밖에 두면 계의 에너지가 늘어나 표와 같이</w:t>
      </w:r>
      <w:r>
        <w:t xml:space="preserve"> </w:t>
      </w:r>
      <m:oMath>
        <m:r>
          <m:t>q</m:t>
        </m:r>
      </m:oMath>
      <w:r>
        <w:t xml:space="preserve">가 바뀐다. 무압력 공이동 공급원을 포함하면 그 감소량이 계의 증가량을 정확히 상쇄하여 총에너지와</w:t>
      </w:r>
      <w:r>
        <w:t xml:space="preserve"> </w:t>
      </w:r>
      <m:oMath>
        <m:r>
          <m:t>q</m:t>
        </m:r>
      </m:oMath>
      <w:r>
        <w:t xml:space="preserve">가 일정하다. 두 초기</w:t>
      </w:r>
      <w:r>
        <w:t xml:space="preserve"> </w:t>
      </w:r>
      <m:oMath>
        <m:r>
          <m:t>q</m:t>
        </m:r>
      </m:oMath>
      <w:r>
        <w:t xml:space="preserve">가 다른 이유는 두 경계의 초기 에너지가 다르기 때문이다. 확대 경계에는 여기서 정의한 기록 공급원만 포함하며 개별 제어기의 예산을 별도 사본으로 더하지 않는다.</w:t>
      </w:r>
    </w:p>
    <w:p>
      <w:pPr>
        <w:pStyle w:val="BodyText"/>
      </w:pPr>
      <w:r>
        <w:t xml:space="preserve">이 값들은 명시한 부피 법칙 아래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에서의 경계 진단이다. 실제 팽창 변화의 측정, 시간에 따른 공급항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  <w:r>
        <w:t xml:space="preserve"> </w:t>
      </w:r>
      <w:r>
        <w:t xml:space="preserve">또는 장치와 우주 배경을 함께 진화시키는 SI 공변 계산까지 수행한 결과는 아니다.</w:t>
      </w:r>
    </w:p>
    <w:p>
      <w:pPr>
        <w:pStyle w:val="BodyText"/>
        <w:spacing w:before="0" w:after="0" w:line="240" w:lineRule="auto"/>
      </w:pPr>
      <w:r>
        <w:br w:type="page"/>
      </w:r>
    </w:p>
    <w:bookmarkEnd w:id="25"/>
    <w:bookmarkStart w:id="26" w:name="재현과-검토-질문"/>
    <w:p>
      <w:pPr>
        <w:pStyle w:val="Heading1"/>
      </w:pPr>
      <w:r>
        <w:t xml:space="preserve">5 재현과 검토 질문</w:t>
      </w:r>
    </w:p>
    <w:p>
      <w:pPr>
        <w:pStyle w:val="FirstParagraph"/>
      </w:pPr>
      <w:r>
        <w:t xml:space="preserve">원본 브리지 0.2, 0.3, 0.5, 0.6을 그대로 재실행하고 새 상태와 기저를 전달했다. 이 사례 밖의 대조를 포함한 점검 95, 134, 134, 87개가 통과한다. 추가 점검 26개는 사례의 전달과 예측을 검사한다. 모두 소프트웨어 일관성 점검이며 물리 실험 횟수는 아니다.</w:t>
      </w:r>
    </w:p>
    <w:p>
      <w:pPr>
        <w:pStyle w:val="BodyText"/>
        <w:keepNext/>
      </w:pPr>
      <w:r>
        <w:rPr>
          <w:i w:val="0"/>
          <w:sz w:val="21"/>
        </w:rPr>
        <w:t xml:space="preserve">표 4 구성을 구별하거나 기각하는 대조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696"/>
      </w:tblGrid>
      <w:tr>
        <w:trPr>
          <w:tblHeader w:val="true"/>
          <w:cantSplit/>
          <w:tblHeader/>
        </w:trPr>
        <w:tc>
          <w:tcPr>
            <w:tcW w:type="dxa" w:w="3528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b/>
                <w:sz w:val="21"/>
              </w:rPr>
              <w:t xml:space="preserve">대조</w:t>
            </w:r>
          </w:p>
        </w:tc>
        <w:tc>
          <w:tcPr>
            <w:tcW w:type="dxa" w:w="6696"/>
            <w:tcMar>
              <w:top w:w="65" w:type="dxa"/>
              <w:bottom w:w="65" w:type="dxa"/>
              <w:left w:w="90" w:type="dxa"/>
              <w:right w:w="90" w:type="dxa"/>
            </w:tcMar>
            <w:shd w:fill="F0F0F0"/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b/>
                <w:sz w:val="21"/>
              </w:rPr>
              <w:t xml:space="preserve">계산 응답 또는 거부</w:t>
            </w:r>
          </w:p>
        </w:tc>
      </w:tr>
      <w:tr>
        <w:trPr>
          <w:cantSplit/>
        </w:trPr>
        <w:tc>
          <w:tcPr>
            <w:tcW w:type="dxa" w:w="352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원천 위상을 0.7 rad 바꿈</w:t>
            </w:r>
          </w:p>
        </w:tc>
        <w:tc>
          <w:tcPr>
            <w:tcW w:type="dxa" w:w="66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주소 탈위상 들뜸 에너지는 수치 허용오차 안에서 동일</w:t>
            </w:r>
          </w:p>
        </w:tc>
      </w:tr>
      <w:tr>
        <w:trPr>
          <w:cantSplit/>
        </w:trPr>
        <w:tc>
          <w:tcPr>
            <w:tcW w:type="dxa" w:w="352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채택한 프레임 시간을 두 배로 함</w:t>
            </w:r>
          </w:p>
        </w:tc>
        <w:tc>
          <w:tcPr>
            <w:tcW w:type="dxa" w:w="66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첫 반복 확률이 0.675164206721에서 0.122729997265로 변함</w:t>
            </w:r>
          </w:p>
        </w:tc>
      </w:tr>
      <w:tr>
        <w:trPr>
          <w:cantSplit/>
        </w:trPr>
        <w:tc>
          <w:tcPr>
            <w:tcW w:type="dxa" w:w="352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평균 공급을 필요 일의 절반으로 축소</w:t>
            </w:r>
          </w:p>
        </w:tc>
        <w:tc>
          <w:tcPr>
            <w:tcW w:type="dxa" w:w="66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원본 교환 규칙이 전달을 거부</w:t>
            </w:r>
          </w:p>
        </w:tc>
      </w:tr>
      <w:tr>
        <w:trPr>
          <w:cantSplit/>
        </w:trPr>
        <w:tc>
          <w:tcPr>
            <w:tcW w:type="dxa" w:w="352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대체하지 않은 표현형 에너지에 정지·들뜸을 추가</w:t>
            </w:r>
          </w:p>
        </w:tc>
        <w:tc>
          <w:tcPr>
            <w:tcW w:type="dxa" w:w="66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m:oMath>
              <m:r>
                <m:t>3.7807912495</m:t>
              </m:r>
              <m:r>
                <m:rPr>
                  <m:nor m:val="1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nor m:val="1"/>
                    </m:rPr>
                    <m:t>−</m:t>
                  </m:r>
                  <m:r>
                    <m:t>11</m:t>
                  </m:r>
                </m:sup>
              </m:sSup>
              <m:r>
                <m:t> </m:t>
              </m:r>
              <m:r>
                <m:rPr>
                  <m:nor m:val="1"/>
                </m:rPr>
                <m:t>J</m:t>
              </m:r>
            </m:oMath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중복 검출</w:t>
            </w:r>
          </w:p>
        </w:tc>
      </w:tr>
      <w:tr>
        <w:trPr>
          <w:cantSplit/>
        </w:trPr>
        <w:tc>
          <w:tcPr>
            <w:tcW w:type="dxa" w:w="3528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에너지를 부피로 미분</w:t>
            </w:r>
          </w:p>
        </w:tc>
        <w:tc>
          <w:tcPr>
            <w:tcW w:type="dxa" w:w="6696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pStyle w:val="Compact"/>
              <w:spacing w:before="0" w:after="0" w:line="254" w:lineRule="auto"/>
              <w:jc w:val="left"/>
            </w:pPr>
            <w:r>
              <w:rPr>
                <w:sz w:val="21"/>
              </w:rPr>
              <w:t xml:space="preserve">유한 차분이 압력</w:t>
            </w:r>
            <w:r>
              <w:rPr>
                <w:sz w:val="21"/>
              </w:rPr>
              <w:t xml:space="preserve"> </w:t>
            </w:r>
            <m:oMath>
              <m:r>
                <m:rPr>
                  <m:nor m:val="1"/>
                </m:rPr>
                <m:t>−</m:t>
              </m:r>
              <m:r>
                <m:t>L</m:t>
              </m:r>
            </m:oMath>
            <w:r>
              <w:rPr>
                <w:sz w:val="21"/>
              </w:rPr>
              <w:t xml:space="preserve">과 일치</w:t>
            </w:r>
          </w:p>
        </w:tc>
      </w:tr>
    </w:tbl>
    <w:p>
      <w:pPr>
        <w:pStyle w:val="BodyText"/>
      </w:pPr>
      <w:r>
        <w:t xml:space="preserve">패키지에는 고정 소스, 입력과 해시, 실행 코드, 기대 결과와 CSV 장부가 있다.</w:t>
      </w:r>
      <w:r>
        <w:t xml:space="preserve"> </w:t>
      </w:r>
      <w:r>
        <w:rPr>
          <w:rStyle w:val="VerbatimChar"/>
        </w:rPr>
        <w:t xml:space="preserve">reference_boundary.json</w:t>
      </w:r>
      <w:r>
        <w:t xml:space="preserve">은 기존 공개 비교값이다. Word 수식은 편집할 수 있다.</w:t>
      </w:r>
    </w:p>
    <w:p>
      <w:pPr>
        <w:pStyle w:val="BodyText"/>
      </w:pPr>
      <w:r>
        <w:t xml:space="preserve">Python과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를 준비하고 압축을 푼 폴더에서</w:t>
      </w:r>
      <w:r>
        <w:t xml:space="preserve"> </w:t>
      </w:r>
      <w:r>
        <w:rPr>
          <w:rStyle w:val="VerbatimChar"/>
        </w:rPr>
        <w:t xml:space="preserve">python reproduce.py --out replay</w:t>
      </w:r>
      <w:r>
        <w:t xml:space="preserve">를 실행한다. 소스 해시를 검사하고 새 결과와 로그를 만든다. 정상 결과는 원본 점검 450개, 사례 점검 26개, 실패 0개이다. 명시한 수치 허용오차로 비교하며 본문 값은 반올림했다.</w:t>
      </w:r>
    </w:p>
    <w:p>
      <w:pPr>
        <w:pStyle w:val="BodyText"/>
      </w:pPr>
      <w:r>
        <w:rPr>
          <w:bCs/>
          <w:b/>
        </w:rPr>
        <w:t xml:space="preserve">검토자에게 요청하는 질문</w:t>
      </w:r>
    </w:p>
    <w:p>
      <w:pPr>
        <w:numPr>
          <w:ilvl w:val="0"/>
          <w:numId w:val="1001"/>
        </w:numPr>
        <w:pStyle w:val="Compact"/>
      </w:pPr>
      <w:r>
        <w:t xml:space="preserve">주소 선택자가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의 물리적 준비를 충분히 설명하는가? 연결된 입력이 선언대로 상태에 영향을 주는가?</w:t>
      </w:r>
    </w:p>
    <w:p>
      <w:pPr>
        <w:numPr>
          <w:ilvl w:val="0"/>
          <w:numId w:val="1001"/>
        </w:numPr>
        <w:pStyle w:val="Compact"/>
      </w:pPr>
      <w:r>
        <w:t xml:space="preserve">에너지 대체와 맞춘</w:t>
      </w:r>
      <w:r>
        <w:t xml:space="preserve"> </w:t>
      </w:r>
      <m:oMath>
        <m:bar>
          <m:barPr>
            <m:pos m:val="top"/>
          </m:barPr>
          <m:e>
            <m:r>
              <m:t>N</m:t>
            </m:r>
          </m:e>
        </m:bar>
      </m:oMath>
      <w:r>
        <w:t xml:space="preserve">이 종별 존재량 유도를 주장하지 않는 평균 보정으로 적절한가?</w:t>
      </w:r>
    </w:p>
    <w:p>
      <w:pPr>
        <w:numPr>
          <w:ilvl w:val="0"/>
          <w:numId w:val="1001"/>
        </w:numPr>
        <w:pStyle w:val="Compact"/>
      </w:pPr>
      <w:r>
        <w:t xml:space="preserve">측정, 공급 경계와 부피 법칙이 계산한 일과 균질 응답을 지지하는가?</w:t>
      </w:r>
    </w:p>
    <w:p>
      <w:pPr>
        <w:numPr>
          <w:ilvl w:val="0"/>
          <w:numId w:val="1001"/>
        </w:numPr>
        <w:pStyle w:val="Compact"/>
      </w:pPr>
      <w:r>
        <w:t xml:space="preserve">같은 보정의 다른 규칙과 예측을 구별할 상태 준비, 시간 설정과 기록 측정은 무엇인가?</w:t>
      </w:r>
    </w:p>
    <w:p>
      <w:pPr>
        <w:pStyle w:val="FirstParagraph"/>
      </w:pPr>
      <w:r>
        <w:rPr>
          <w:bCs/>
          <w:b/>
        </w:rPr>
        <w:t xml:space="preserve">참고문헌</w:t>
      </w:r>
    </w:p>
    <w:p>
      <w:pPr>
        <w:pStyle w:val="BodyText"/>
      </w:pPr>
      <w:r>
        <w:t xml:space="preserve">[1] W. Choi and J. Choi.</w:t>
      </w:r>
      <w:r>
        <w:t xml:space="preserve"> </w:t>
      </w:r>
      <w:r>
        <w:rPr>
          <w:iCs/>
          <w:i/>
        </w:rPr>
        <w:t xml:space="preserve">WRRA M Integrated Upstream and Downstream Model</w:t>
      </w:r>
      <w:r>
        <w:t xml:space="preserve">. Integrated 1.0 reviewed r1, 2026년 10월 3일. https://doi.org/10.5281/zenodo.23126800</w:t>
      </w:r>
    </w:p>
    <w:p>
      <w:pPr>
        <w:pStyle w:val="BodyText"/>
      </w:pPr>
      <w:r>
        <w:t xml:space="preserve">[2] W. Choi and J. Choi.</w:t>
      </w:r>
      <w:r>
        <w:t xml:space="preserve"> </w:t>
      </w:r>
      <w:r>
        <w:rPr>
          <w:iCs/>
          <w:i/>
        </w:rPr>
        <w:t xml:space="preserve">WRRA M Bridge 0.5–0.8 Reviewed r1</w:t>
      </w:r>
      <w:r>
        <w:t xml:space="preserve">. 이 패키지에 원본 실행 소스를 변경 없이 포함했다. 소스와 이를 담은 통합 패키지의 SHA256은</w:t>
      </w:r>
      <w:r>
        <w:t xml:space="preserve"> </w:t>
      </w:r>
      <w:r>
        <w:rPr>
          <w:rStyle w:val="VerbatimChar"/>
        </w:rPr>
        <w:t xml:space="preserve">inputs.json</w:t>
      </w:r>
      <w:r>
        <w:t xml:space="preserve">에 기록했다.</w:t>
      </w:r>
    </w:p>
    <w:bookmarkEnd w:id="26"/>
    <w:sectPr>
      <w:footerReference w:type="default" r:id="rId9"/>
      <w:pgSz w:w="12240" w:h="15840"/>
      <w:pgMar w:top="936" w:bottom="936" w:left="1008" w:right="1008" w:header="360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WRRA M Integrated Case 1.0 |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atin Modern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4" w:lineRule="auto"/>
    </w:pPr>
    <w:rPr>
      <w:rFonts w:ascii="NanumGothic" w:hAnsi="NanumGothic" w:eastAsia="NanumGothic" w:cs="NanumGothic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 w:line="274" w:lineRule="auto"/>
    </w:pPr>
    <w:qFormat/>
    <w:rPr>
      <w:rFonts w:ascii="NanumGothic" w:hAnsi="NanumGothic" w:eastAsia="NanumGothic" w:cs="NanumGothic"/>
      <w:color w:val="000000"/>
      <w:sz w:val="22"/>
    </w:rPr>
  </w:style>
  <w:style w:customStyle="1" w:styleId="FirstParagraph" w:type="paragraph">
    <w:name w:val="First Paragraph"/>
    <w:basedOn w:val="Normal"/>
    <w:next w:val="BodyText"/>
    <w:qFormat/>
    <w:pPr>
      <w:spacing w:after="120" w:line="274" w:lineRule="auto"/>
    </w:pPr>
    <w:rPr>
      <w:rFonts w:ascii="NanumGothic" w:hAnsi="NanumGothic" w:eastAsia="NanumGothic" w:cs="NanumGothic"/>
      <w:color w:val="000000"/>
      <w:sz w:val="22"/>
    </w:rPr>
  </w:style>
  <w:style w:customStyle="1" w:styleId="Compact" w:type="paragraph">
    <w:name w:val="Compact"/>
    <w:basedOn w:val="Normal"/>
    <w:qFormat/>
    <w:pPr>
      <w:spacing w:after="120" w:before="36" w:line="274" w:lineRule="auto"/>
    </w:pPr>
    <w:rPr>
      <w:rFonts w:ascii="NanumGothic" w:hAnsi="NanumGothic" w:eastAsia="NanumGothic" w:cs="NanumGothic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40" w:before="0"/>
      <w:jc w:val="left"/>
    </w:pPr>
    <w:rPr>
      <w:rFonts w:asciiTheme="majorHAnsi" w:cstheme="majorBidi" w:eastAsiaTheme="majorEastAsia" w:hAnsiTheme="majorHAnsi" w:ascii="NanumGothic" w:hAnsi="NanumGothic" w:eastAsia="NanumGothic" w:cs="NanumGothic"/>
      <w:b w:val="0"/>
      <w:bCs/>
      <w:color w:val="000000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80" w:before="240"/>
      <w:jc w:val="left"/>
    </w:pPr>
    <w:rPr>
      <w:rFonts w:ascii="NanumGothic" w:hAnsi="NanumGothic" w:eastAsia="NanumGothic" w:cs="NanumGothic"/>
      <w:i w:val="0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NanumGothic" w:hAnsi="NanumGothic" w:eastAsia="NanumGothic" w:cs="NanumGothic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NanumGothic" w:hAnsi="NanumGothic" w:eastAsia="NanumGothic" w:cs="NanumGothic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NanumGothic" w:hAnsi="NanumGothic" w:eastAsia="NanumGothic" w:cs="NanumGothic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NanumGothic" w:hAnsi="NanumGothic" w:eastAsia="NanumGothic" w:cs="NanumGothic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NanumGothic" w:hAnsi="NanumGothic" w:eastAsia="NanumGothic" w:cs="NanumGothic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180"/>
      <w:outlineLvl w:val="0"/>
    </w:pPr>
    <w:rPr>
      <w:rFonts w:asciiTheme="majorHAnsi" w:cstheme="majorBidi" w:eastAsiaTheme="majorEastAsia" w:hAnsiTheme="majorHAnsi" w:ascii="NanumGothic" w:hAnsi="NanumGothic" w:eastAsia="NanumGothic" w:cs="NanumGothic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180"/>
      <w:outlineLvl w:val="1"/>
    </w:pPr>
    <w:rPr>
      <w:rFonts w:asciiTheme="majorHAnsi" w:cstheme="majorBidi" w:eastAsiaTheme="majorEastAsia" w:hAnsiTheme="majorHAnsi" w:ascii="NanumGothic" w:hAnsi="NanumGothic" w:eastAsia="NanumGothic" w:cs="NanumGothic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180"/>
      <w:outlineLvl w:val="2"/>
    </w:pPr>
    <w:rPr>
      <w:rFonts w:asciiTheme="majorHAnsi" w:cstheme="majorBidi" w:eastAsiaTheme="majorEastAsia" w:hAnsiTheme="majorHAnsi" w:ascii="NanumGothic" w:hAnsi="NanumGothic" w:eastAsia="NanumGothic" w:cs="NanumGothic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NanumGothic" w:hAnsi="NanumGothic" w:eastAsia="NanumGothic" w:cs="NanumGothic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NanumGothic" w:hAnsi="NanumGothic" w:eastAsia="NanumGothic" w:cs="NanumGothic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NanumGothic" w:hAnsi="NanumGothic" w:eastAsia="NanumGothic" w:cs="NanumGothic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NanumGothic" w:hAnsi="NanumGothic" w:eastAsia="NanumGothic" w:cs="NanumGothic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NanumGothic" w:hAnsi="NanumGothic" w:eastAsia="NanumGothic" w:cs="NanumGothic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NanumGothic" w:hAnsi="NanumGothic" w:eastAsia="NanumGothic" w:cs="NanumGothic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anumGothic" w:hAnsi="NanumGothic" w:eastAsia="NanumGothic" w:cs="NanumGothic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anumGothic" w:hAnsi="NanumGothic" w:eastAsia="NanumGothic" w:cs="NanumGothic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NanumGothic" w:hAnsi="NanumGothic" w:eastAsia="NanumGothic" w:cs="NanumGothic"/>
      <w:b/>
      <w:color w:val="000000"/>
    </w:rPr>
  </w:style>
  <w:style w:customStyle="1" w:styleId="Definition" w:type="paragraph">
    <w:name w:val="Definition"/>
    <w:basedOn w:val="Normal"/>
    <w:rPr>
      <w:rFonts w:ascii="NanumGothic" w:hAnsi="NanumGothic" w:eastAsia="NanumGothic" w:cs="NanumGothic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NanumGothic" w:hAnsi="NanumGothic" w:eastAsia="NanumGothic" w:cs="NanumGothic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NanumGothic" w:hAnsi="NanumGothic" w:eastAsia="NanumGothic" w:cs="NanumGothic"/>
      <w:color w:val="000000"/>
    </w:rPr>
  </w:style>
  <w:style w:customStyle="1" w:styleId="ImageCaption" w:type="paragraph">
    <w:name w:val="Image Caption"/>
    <w:basedOn w:val="Caption"/>
    <w:rPr>
      <w:rFonts w:ascii="NanumGothic" w:hAnsi="NanumGothic" w:eastAsia="NanumGothic" w:cs="NanumGothic"/>
      <w:color w:val="000000"/>
    </w:rPr>
  </w:style>
  <w:style w:customStyle="1" w:styleId="Figure" w:type="paragraph">
    <w:name w:val="Figure"/>
    <w:basedOn w:val="Normal"/>
    <w:rPr>
      <w:rFonts w:ascii="NanumGothic" w:hAnsi="NanumGothic" w:eastAsia="NanumGothic" w:cs="NanumGothic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NanumGothic" w:hAnsi="NanumGothic" w:eastAsia="NanumGothic" w:cs="NanumGothic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NanumGothic" w:hAnsi="NanumGothic" w:eastAsia="NanumGothic" w:cs="NanumGothic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anumGothic" w:hAnsi="NanumGothic" w:eastAsia="NanumGothic" w:cs="NanumGothic"/>
      <w:color w:val="00000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상류 주소에서 측정 기록과 팽창 장부까지</dc:title>
  <dc:creator>Wonsik Choi; Jeongin Choi</dc:creator>
  <cp:keywords/>
  <dcterms:created xsi:type="dcterms:W3CDTF">2026-10-05T01:56:26Z</dcterms:created>
  <dcterms:modified xsi:type="dcterms:W3CDTF">2026-10-05T01:56:26Z</dcterms:modified>
  <dc:subject>Conditional measurement and energy boundary case for review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