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wrra-m-0-5-질량-양자화와-연속-중력의-뒤틀림-계산"/>
    <w:p>
      <w:pPr>
        <w:pStyle w:val="Title"/>
        <w:ind w:firstLine="0"/>
        <w:jc w:val="left"/>
      </w:pPr>
      <w:r>
        <w:t xml:space="preserve">WRRA M 0 5 질량 양자화와 연속 중력의 뒤틀림 계산</w:t>
      </w:r>
    </w:p>
    <w:p>
      <w:pPr>
        <w:pStyle w:val="FirstParagraph"/>
        <w:ind w:firstLine="0"/>
        <w:jc w:val="left"/>
      </w:pPr>
      <w:r>
        <w:t xml:space="preserve">팽창과 뒤틀림이 공존하는 우주에서 표현형 이전 응력의 유한 계산</w:t>
      </w:r>
    </w:p>
    <w:p>
      <w:pPr>
        <w:pStyle w:val="BodyText"/>
        <w:ind w:firstLine="0"/>
        <w:jc w:val="left"/>
      </w:pPr>
      <w:r>
        <w:t xml:space="preserve">최원식 Wonsik Choi</w:t>
      </w:r>
      <w:r>
        <w:br/>
      </w:r>
      <w:r>
        <w:t xml:space="preserve">WRRA-M 0.5 | 2026년 10월 1일</w:t>
      </w:r>
      <w:r>
        <w:br/>
      </w:r>
      <w:r>
        <w:t xml:space="preserve">Independent Researcher Seoul Republic of Korea</w:t>
      </w:r>
      <w:r>
        <w:br/>
      </w:r>
      <w:r>
        <w:t xml:space="preserve">ORCID 0009-0001-4263-9772 | janefather@gmail.com</w:t>
      </w:r>
    </w:p>
    <w:bookmarkStart w:id="20" w:name="검증-입력에서-반증조건까지"/>
    <w:p>
      <w:pPr>
        <w:pStyle w:val="Heading2"/>
        <w:ind w:firstLine="0"/>
        <w:jc w:val="left"/>
      </w:pPr>
      <w:r>
        <w:t xml:space="preserve">검증 입력에서 반증조건까지</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10"/>
      </w:tblGrid>
      <w:tr>
        <w:trPr>
          <w:tblHeader w:val="true"/>
          <w:tblHeader/>
        </w:trPr>
        <w:tc>
          <w:tcPr>
            <w:vAlign w:val="center"/>
            <w:tcW w:type="dxa" w:w="1584"/>
            <w:shd w:fill="E5EBF0"/>
            <w:tcMar>
              <w:top w:w="90" w:type="dxa"/>
              <w:left w:w="90" w:type="dxa"/>
              <w:bottom w:w="90" w:type="dxa"/>
              <w:right w:w="90" w:type="dxa"/>
            </w:tcMar>
          </w:tcPr>
          <w:p>
            <w:pPr>
              <w:pStyle w:val="Compact"/>
              <w:spacing w:after="60" w:before="60" w:line="264" w:lineRule="auto"/>
              <w:jc w:val="left"/>
            </w:pPr>
            <w:r>
              <w:rPr>
                <w:b/>
                <w:sz w:val="19"/>
              </w:rPr>
              <w:t xml:space="preserve">단계</w:t>
            </w:r>
          </w:p>
        </w:tc>
        <w:tc>
          <w:tcPr>
            <w:vAlign w:val="center"/>
            <w:tcW w:type="dxa" w:w="8410"/>
            <w:shd w:fill="E5EBF0"/>
            <w:tcMar>
              <w:top w:w="90" w:type="dxa"/>
              <w:left w:w="90" w:type="dxa"/>
              <w:bottom w:w="90" w:type="dxa"/>
              <w:right w:w="90" w:type="dxa"/>
            </w:tcMar>
          </w:tcPr>
          <w:p>
            <w:pPr>
              <w:pStyle w:val="Compact"/>
              <w:spacing w:after="60" w:before="60" w:line="264" w:lineRule="auto"/>
              <w:jc w:val="center"/>
            </w:pPr>
            <w:r>
              <w:rPr>
                <w:b/>
                <w:sz w:val="19"/>
              </w:rPr>
              <w:t xml:space="preserve">이번 계산의 내용</w:t>
            </w:r>
          </w:p>
        </w:tc>
      </w:tr>
      <w:tr>
        <w:trPr/>
        <w:tc>
          <w:tcPr>
            <w:vAlign w:val="center"/>
            <w:tcW w:type="dxa" w:w="1584"/>
            <w:shd w:fill="FFFFFF"/>
            <w:tcMar>
              <w:top w:w="90" w:type="dxa"/>
              <w:left w:w="90" w:type="dxa"/>
              <w:bottom w:w="90" w:type="dxa"/>
              <w:right w:w="90" w:type="dxa"/>
            </w:tcMar>
          </w:tcPr>
          <w:p>
            <w:pPr>
              <w:pStyle w:val="Compact"/>
              <w:spacing w:after="60" w:before="60" w:line="264" w:lineRule="auto"/>
              <w:jc w:val="left"/>
            </w:pPr>
            <w:r>
              <w:rPr>
                <w:b w:val="0"/>
                <w:sz w:val="19"/>
              </w:rPr>
              <w:t xml:space="preserve">검증 입력</w:t>
            </w:r>
          </w:p>
        </w:tc>
        <w:tc>
          <w:tcPr>
            <w:vAlign w:val="center"/>
            <w:tcW w:type="dxa" w:w="8410"/>
            <w:shd w:fill="FFFFFF"/>
            <w:tcMar>
              <w:top w:w="90" w:type="dxa"/>
              <w:left w:w="90" w:type="dxa"/>
              <w:bottom w:w="90" w:type="dxa"/>
              <w:right w:w="90" w:type="dxa"/>
            </w:tcMar>
          </w:tcPr>
          <w:p>
            <w:pPr>
              <w:pStyle w:val="Compact"/>
              <w:spacing w:after="60" w:before="60" w:line="264" w:lineRule="auto"/>
              <w:jc w:val="center"/>
            </w:pPr>
            <w:r>
              <w:rPr>
                <w:b w:val="0"/>
                <w:sz w:val="19"/>
              </w:rPr>
              <w:t xml:space="preserve">최소계산우주론 2.3.2의 질량 모드, WRRA-M 0.4의 전달자 조건, 개별 뒤틀림 논문의 구성응답과 보정값</w:t>
            </w:r>
          </w:p>
        </w:tc>
      </w:tr>
      <w:tr>
        <w:trPr/>
        <w:tc>
          <w:tcPr>
            <w:vAlign w:val="center"/>
            <w:tcW w:type="dxa" w:w="1584"/>
            <w:shd w:fill="F7F8FA"/>
            <w:tcMar>
              <w:top w:w="90" w:type="dxa"/>
              <w:left w:w="90" w:type="dxa"/>
              <w:bottom w:w="90" w:type="dxa"/>
              <w:right w:w="90" w:type="dxa"/>
            </w:tcMar>
          </w:tcPr>
          <w:p>
            <w:pPr>
              <w:pStyle w:val="Compact"/>
              <w:spacing w:after="60" w:before="60" w:line="264" w:lineRule="auto"/>
              <w:jc w:val="left"/>
            </w:pPr>
            <w:r>
              <w:rPr>
                <w:b w:val="0"/>
                <w:sz w:val="19"/>
              </w:rPr>
              <w:t xml:space="preserve">WRRA 고유 변환</w:t>
            </w:r>
          </w:p>
        </w:tc>
        <w:tc>
          <w:tcPr>
            <w:vAlign w:val="center"/>
            <w:tcW w:type="dxa" w:w="8410"/>
            <w:shd w:fill="F7F8FA"/>
            <w:tcMar>
              <w:top w:w="90" w:type="dxa"/>
              <w:left w:w="90" w:type="dxa"/>
              <w:bottom w:w="90" w:type="dxa"/>
              <w:right w:w="90" w:type="dxa"/>
            </w:tcMar>
          </w:tcPr>
          <w:p>
            <w:pPr>
              <w:pStyle w:val="Compact"/>
              <w:spacing w:after="60" w:before="60" w:line="264" w:lineRule="auto"/>
              <w:jc w:val="center"/>
            </w:pPr>
            <w:r>
              <w:rPr>
                <w:b w:val="0"/>
                <w:sz w:val="19"/>
              </w:rPr>
              <w:t xml:space="preserve">이산 질량 출력과 연속 기하 출력을 구분하고, 고정한 응력 응답으로 추가 중력과 유효 질량 및 광선 편향을 계산</w:t>
            </w:r>
          </w:p>
        </w:tc>
      </w:tr>
      <w:tr>
        <w:trPr/>
        <w:tc>
          <w:tcPr>
            <w:vAlign w:val="center"/>
            <w:tcW w:type="dxa" w:w="1584"/>
            <w:shd w:fill="FFFFFF"/>
            <w:tcMar>
              <w:top w:w="90" w:type="dxa"/>
              <w:left w:w="90" w:type="dxa"/>
              <w:bottom w:w="90" w:type="dxa"/>
              <w:right w:w="90" w:type="dxa"/>
            </w:tcMar>
          </w:tcPr>
          <w:p>
            <w:pPr>
              <w:pStyle w:val="Compact"/>
              <w:spacing w:after="60" w:before="60" w:line="264" w:lineRule="auto"/>
              <w:jc w:val="left"/>
            </w:pPr>
            <w:r>
              <w:rPr>
                <w:b w:val="0"/>
                <w:sz w:val="19"/>
              </w:rPr>
              <w:t xml:space="preserve">산출값</w:t>
            </w:r>
          </w:p>
        </w:tc>
        <w:tc>
          <w:tcPr>
            <w:vAlign w:val="center"/>
            <w:tcW w:type="dxa" w:w="8410"/>
            <w:shd w:fill="FFFFFF"/>
            <w:tcMar>
              <w:top w:w="90" w:type="dxa"/>
              <w:left w:w="90" w:type="dxa"/>
              <w:bottom w:w="90" w:type="dxa"/>
              <w:right w:w="90" w:type="dxa"/>
            </w:tcMar>
          </w:tcPr>
          <w:p>
            <w:pPr>
              <w:pStyle w:val="Compact"/>
              <w:spacing w:after="60" w:before="60" w:line="264" w:lineRule="auto"/>
              <w:jc w:val="center"/>
            </w:pPr>
            <w:r>
              <w:rPr>
                <w:b w:val="0"/>
                <w:sz w:val="19"/>
              </w:rPr>
              <w:t xml:space="preserve">질량 모드, 16채널 수송 응답, 필터 격차, 유한 구형 회전장과 렌즈 편향, 기존 우리 은하 계산의 재현</w:t>
            </w:r>
          </w:p>
        </w:tc>
      </w:tr>
      <w:tr>
        <w:trPr/>
        <w:tc>
          <w:tcPr>
            <w:vAlign w:val="center"/>
            <w:tcW w:type="dxa" w:w="1584"/>
            <w:shd w:fill="F7F8FA"/>
            <w:tcMar>
              <w:top w:w="90" w:type="dxa"/>
              <w:left w:w="90" w:type="dxa"/>
              <w:bottom w:w="90" w:type="dxa"/>
              <w:right w:w="90" w:type="dxa"/>
            </w:tcMar>
          </w:tcPr>
          <w:p>
            <w:pPr>
              <w:pStyle w:val="Compact"/>
              <w:spacing w:after="60" w:before="60" w:line="264" w:lineRule="auto"/>
              <w:jc w:val="left"/>
            </w:pPr>
            <w:r>
              <w:rPr>
                <w:b w:val="0"/>
                <w:sz w:val="19"/>
              </w:rPr>
              <w:t xml:space="preserve">반증조건</w:t>
            </w:r>
          </w:p>
        </w:tc>
        <w:tc>
          <w:tcPr>
            <w:vAlign w:val="center"/>
            <w:tcW w:type="dxa" w:w="8410"/>
            <w:shd w:fill="F7F8FA"/>
            <w:tcMar>
              <w:top w:w="90" w:type="dxa"/>
              <w:left w:w="90" w:type="dxa"/>
              <w:bottom w:w="90" w:type="dxa"/>
              <w:right w:w="90" w:type="dxa"/>
            </w:tcMar>
          </w:tcPr>
          <w:p>
            <w:pPr>
              <w:pStyle w:val="Compact"/>
              <w:spacing w:after="60" w:before="60" w:line="264" w:lineRule="auto"/>
              <w:jc w:val="center"/>
            </w:pPr>
            <w:r>
              <w:rPr>
                <w:b w:val="0"/>
                <w:sz w:val="19"/>
              </w:rPr>
              <w:t xml:space="preserve">전달자 조건 실패, 선택 격차 미성립, 응력 구성식의 정적 불안정, 같은 기하의 운동과 렌즈 출력 불일치</w:t>
            </w:r>
          </w:p>
        </w:tc>
      </w:tr>
    </w:tbl>
    <w:bookmarkEnd w:id="20"/>
    <w:bookmarkStart w:id="21" w:name="연구-결정과-결과"/>
    <w:p>
      <w:pPr>
        <w:pStyle w:val="Heading2"/>
        <w:ind w:firstLine="0"/>
        <w:jc w:val="left"/>
      </w:pPr>
      <w:r>
        <w:t xml:space="preserve">연구 결정과 결과</w:t>
      </w:r>
    </w:p>
    <w:p>
      <w:pPr>
        <w:pStyle w:val="FirstParagraph"/>
        <w:ind w:firstLine="0"/>
        <w:jc w:val="left"/>
      </w:pPr>
      <w:r>
        <w:t xml:space="preserve">이번 버전은 질량은 표현형이므로 양자화될 수 있고 중력 자체는 표현형 이전이므로 근본 양자 자유도를 갖지 않는다는 B_C 가지를 선택한다. 중력의 측정 출력인 계량과 궤도는 계산하지만, 중력 자체의 독립 힐베르트 공간이나 중력자를 이 모형에 도입하지 않는다. 이 선택은 0.5의 모형 전제다. 질량 모드의 이산성은 지정된 내부 모형에서 계산하며, 중력의 보편적 양자화 불가능성을 실험이나 일반 정리로 증명했다고 분류하지 않는다.</w:t>
      </w:r>
    </w:p>
    <w:p>
      <w:pPr>
        <w:pStyle w:val="BodyText"/>
        <w:ind w:firstLine="0"/>
        <w:jc w:val="left"/>
      </w:pPr>
      <w:r>
        <w:t xml:space="preserve">전체 우주 그림에는 팽창과 뒤틀림을 동시에 둔다. 이번 0.5는 국소 뒤틀림 응력 계산을 먼저 마무리한다. 팽창의 원인과 전역 시간발전은 이번 정적 계산의 결론으로 확정하지 않는다. 한 응력의 전역 효과와 국소 효과를 연결하는 과제는 남겨 둔다.</w:t>
      </w:r>
    </w:p>
    <w:p>
      <w:pPr>
        <w:pStyle w:val="BodyText"/>
        <w:ind w:firstLine="0"/>
        <w:jc w:val="left"/>
      </w:pPr>
      <w:r>
        <w:t xml:space="preserve">계산은 세 결과를 낸다. 첫째, 기존 보정값으로 전환 가속도 1.191812669×10⁻¹⁰ m/s²를 재현한다. 둘째, 동일한 구성응답으로 유한 구형 회전장과 조건부 렌즈 편향을 계산하고, 기존 우리 은하 모형의 8∼25 kpc 선형화 기준 대비 RMS 2.41784 km/s를 재현한다. 셋째, 가장 단순한 대칭 16채널 전달자에서는 두 필터 격차가 모두 0이 된다. 이 마지막 결과는 중력 계산의 실패가 아니라, 공통 수송만으로 목표 필터의 미시 선택까지 결정되지 않는다는 계산 결과다.</w:t>
      </w:r>
    </w:p>
    <w:bookmarkEnd w:id="21"/>
    <w:bookmarkStart w:id="22" w:name="기존-개별-논문에서-이어받은-구조"/>
    <w:p>
      <w:pPr>
        <w:pStyle w:val="Heading2"/>
        <w:ind w:firstLine="0"/>
        <w:jc w:val="left"/>
      </w:pPr>
      <w:r>
        <w:t xml:space="preserve">기존 개별 논문에서 이어받은 구조</w:t>
      </w:r>
    </w:p>
    <w:p>
      <w:pPr>
        <w:pStyle w:val="FirstParagraph"/>
        <w:ind w:firstLine="0"/>
        <w:jc w:val="left"/>
      </w:pPr>
      <w:r>
        <w:t xml:space="preserve">통합판만 요약하지 않고 다음 원문의 계산층을 확인했다. 뒤틀림 응력 우주 논문 v1.0은 배경 응력의 정규화, 국소 구성응답, 유효 질량과 조건부 렌즈 계산을 제공한다. 이중 성분 중력 모형 v0.4는 직접 중력과 응력 중력의 분해, 15.7%와 84.3%의 분모, 두 분기의 이중계산 금지를 제공한다. 은하 원반면 논문 v1.0은 보정한 전 구간 응답을 실제 우리 은하 계산에 채택했고, 무방향 평면과 각운동량을 구분했다. 유한 무경계 논문 v1.0은 팽창과 뒤틀림의 공존 및 전역 정보에서 국소 응력으로 가는 동역학의 필요성을 명시했다. 인과 지평선 v1.1의 5.3.3절은 근본 비양자 중력인 B_C를 명시했다.</w:t>
      </w:r>
    </w:p>
    <w:p>
      <w:pPr>
        <w:pStyle w:val="BodyText"/>
        <w:ind w:firstLine="0"/>
        <w:jc w:val="left"/>
      </w:pPr>
      <w:r>
        <w:t xml:space="preserve">2.3.2의 7.4절 자체는 중력의 근본 양자화가 그 증명에 포함되지 않았다고 쓴다. 0.5는 이 원문을 소급 수정하지 않고 B_C를 연구 가지로 선택한다. 따라서 원문의 조건부 성과와 이번 버전의 강한 모형 선택을 각각 보존한다.</w:t>
      </w:r>
    </w:p>
    <w:bookmarkEnd w:id="22"/>
    <w:bookmarkStart w:id="23" w:name="질량-모드와-중력의-서로-다른-지위"/>
    <w:p>
      <w:pPr>
        <w:pStyle w:val="Heading2"/>
        <w:ind w:firstLine="0"/>
        <w:jc w:val="left"/>
      </w:pPr>
      <w:r>
        <w:t xml:space="preserve">질량 모드와 중력의 서로 다른 지위</w:t>
      </w:r>
    </w:p>
    <w:p>
      <w:pPr>
        <w:pStyle w:val="FirstParagraph"/>
        <w:ind w:firstLine="0"/>
        <w:jc w:val="left"/>
      </w:pPr>
      <w:r>
        <w:t xml:space="preserve">닫힌 내부 모형의 주기 경계조건은 정수 모드 n을 허용한다. 자연단위에서 질량은 다음과 같다.</w:t>
      </w:r>
    </w:p>
    <w:p>
      <w:pPr>
        <w:pStyle w:val="BodyText"/>
        <w:ind w:firstLine="0"/>
        <w:jc w:val="left"/>
      </w:pPr>
      <m:oMathPara>
        <m:oMathParaPr>
          <m:jc m:val="center"/>
        </m:oMathParaPr>
        <m:oMath>
          <m:r>
            <m:t>n</m:t>
          </m:r>
          <m:r>
            <m:rPr>
              <m:sty m:val="p"/>
            </m:rPr>
            <m:t>∈</m:t>
          </m:r>
          <m:r>
            <m:rPr>
              <m:sty m:val="p"/>
              <m:scr m:val="double-struck"/>
            </m:rPr>
            <m:t>Z</m:t>
          </m:r>
          <m:r>
            <m:rPr>
              <m:sty m:val="p"/>
            </m:rPr>
            <m:t>,</m:t>
          </m:r>
          <m:r>
            <m:t>  </m:t>
          </m:r>
          <m:sSubSup>
            <m:e>
              <m:r>
                <m:t>m</m:t>
              </m:r>
            </m:e>
            <m:sub>
              <m:r>
                <m:t>n</m:t>
              </m:r>
            </m:sub>
            <m:sup>
              <m:r>
                <m:t>2</m:t>
              </m:r>
            </m:sup>
          </m:sSubSup>
          <m:r>
            <m:rPr>
              <m:sty m:val="p"/>
            </m:rPr>
            <m:t>=</m:t>
          </m:r>
          <m:sSubSup>
            <m:e>
              <m:r>
                <m:t>m</m:t>
              </m:r>
            </m:e>
            <m:sub>
              <m:r>
                <m:t>0</m:t>
              </m:r>
            </m:sub>
            <m:sup>
              <m:r>
                <m:t>2</m:t>
              </m:r>
            </m:sup>
          </m:sSubSup>
          <m:r>
            <m:rPr>
              <m:sty m:val="p"/>
            </m:rPr>
            <m:t>+</m:t>
          </m:r>
          <m:f>
            <m:fPr>
              <m:type m:val="bar"/>
            </m:fPr>
            <m:num>
              <m:sSup>
                <m:e>
                  <m:r>
                    <m:t>n</m:t>
                  </m:r>
                </m:e>
                <m:sup>
                  <m:r>
                    <m:t>2</m:t>
                  </m:r>
                </m:sup>
              </m:sSup>
            </m:num>
            <m:den>
              <m:sSup>
                <m:e>
                  <m:r>
                    <m:t>R</m:t>
                  </m:r>
                </m:e>
                <m:sup>
                  <m:r>
                    <m:t>2</m:t>
                  </m:r>
                </m:sup>
              </m:sSup>
            </m:den>
          </m:f>
          <m:r>
            <m:rPr>
              <m:sty m:val="p"/>
            </m:rPr>
            <m:t>.</m:t>
          </m:r>
          <m:r>
            <m:rPr>
              <m:sty m:val="p"/>
            </m:rPr>
            <m:t xml:space="preserve">   (1)</m:t>
          </m:r>
        </m:oMath>
      </m:oMathPara>
    </w:p>
    <w:p>
      <w:pPr>
        <w:pStyle w:val="FirstParagraph"/>
        <w:ind w:firstLine="0"/>
        <w:jc w:val="left"/>
      </w:pPr>
      <w:r>
        <w:t xml:space="preserve">이번 재현 예에서는 m₀=0과 질량에너지 단위 μ_M=m_ec²/23을 사용한다. μ_M=22,217.345682 eV이며 n=23의 출력은 입력 전자질량에너지 510,998.95069 eV를 재현한다. 이는 내부 모형의 이산성 및 보정의 재현이다. 실제 모든 입자의 pole mass가 같은 단위의 정수배라고 주장하는 계산은 아니다. 유카와 결합, 자체에너지와 강상호작용의 후단 질량 변환은 2.3.2의 기존 층으로 유지한다.</w:t>
      </w:r>
    </w:p>
    <w:p>
      <w:pPr>
        <w:pStyle w:val="BodyText"/>
        <w:ind w:firstLine="0"/>
        <w:jc w:val="left"/>
      </w:pPr>
      <w:r>
        <w:t xml:space="preserve">중력은 전체 원천 및 경계상태에 대한 기하 응답으로 둔다. 같은 기하를 모든 물질 채널이 공유한다. 원천이 이산적으로 바뀌어 중력 출력이 점프하는 것과 중력 자체가 양자화되는 것은 구분해야 한다. 직접 성분의 단순한 예는 다음과 같다.</w:t>
      </w:r>
    </w:p>
    <w:p>
      <w:pPr>
        <w:pStyle w:val="BodyText"/>
        <w:ind w:firstLine="0"/>
        <w:jc w:val="left"/>
      </w:pPr>
      <m:oMathPara>
        <m:oMathParaPr>
          <m:jc m:val="center"/>
        </m:oMathParaPr>
        <m:oMath>
          <m:r>
            <m:t>Δ</m:t>
          </m:r>
          <m:sSub>
            <m:e>
              <m:r>
                <m:t>g</m:t>
              </m:r>
            </m:e>
            <m:sub>
              <m:r>
                <m:t>M</m:t>
              </m:r>
            </m:sub>
          </m:sSub>
          <m:d>
            <m:dPr>
              <m:begChr m:val="("/>
              <m:endChr m:val=")"/>
              <m:sepChr m:val=""/>
              <m:grow/>
            </m:dPr>
            <m:e>
              <m:r>
                <m:t>r</m:t>
              </m:r>
            </m:e>
          </m:d>
          <m:r>
            <m:rPr>
              <m:sty m:val="p"/>
            </m:rPr>
            <m:t>=</m:t>
          </m:r>
          <m:f>
            <m:fPr>
              <m:type m:val="bar"/>
            </m:fPr>
            <m:num>
              <m:r>
                <m:t>G</m:t>
              </m:r>
              <m:sSub>
                <m:e>
                  <m:r>
                    <m:t>μ</m:t>
                  </m:r>
                </m:e>
                <m:sub>
                  <m:r>
                    <m:t>M</m:t>
                  </m:r>
                </m:sub>
              </m:sSub>
            </m:num>
            <m:den>
              <m:sSup>
                <m:e>
                  <m:r>
                    <m:t>r</m:t>
                  </m:r>
                </m:e>
                <m:sup>
                  <m:r>
                    <m:t>2</m:t>
                  </m:r>
                </m:sup>
              </m:sSup>
            </m:den>
          </m:f>
          <m:r>
            <m:rPr>
              <m:sty m:val="p"/>
            </m:rPr>
            <m:t>,</m:t>
          </m:r>
          <m:r>
            <m:t>  </m:t>
          </m:r>
          <m:r>
            <m:t>Δ</m:t>
          </m:r>
          <m:sSub>
            <m:e>
              <m:r>
                <m:t>g</m:t>
              </m:r>
            </m:e>
            <m:sub>
              <m:r>
                <m:t>M</m:t>
              </m:r>
            </m:sub>
          </m:sSub>
          <m:d>
            <m:dPr>
              <m:begChr m:val="("/>
              <m:endChr m:val=")"/>
              <m:sepChr m:val=""/>
              <m:grow/>
            </m:dPr>
            <m:e>
              <m:r>
                <m:t>2</m:t>
              </m:r>
              <m:r>
                <m:t>r</m:t>
              </m:r>
            </m:e>
          </m:d>
          <m:r>
            <m:rPr>
              <m:sty m:val="p"/>
            </m:rPr>
            <m:t>=</m:t>
          </m:r>
          <m:f>
            <m:fPr>
              <m:type m:val="bar"/>
            </m:fPr>
            <m:num>
              <m:r>
                <m:t>Δ</m:t>
              </m:r>
              <m:sSub>
                <m:e>
                  <m:r>
                    <m:t>g</m:t>
                  </m:r>
                </m:e>
                <m:sub>
                  <m:r>
                    <m:t>M</m:t>
                  </m:r>
                </m:sub>
              </m:sSub>
              <m:d>
                <m:dPr>
                  <m:begChr m:val="("/>
                  <m:endChr m:val=")"/>
                  <m:sepChr m:val=""/>
                  <m:grow/>
                </m:dPr>
                <m:e>
                  <m:r>
                    <m:t>r</m:t>
                  </m:r>
                </m:e>
              </m:d>
            </m:num>
            <m:den>
              <m:r>
                <m:t>4</m:t>
              </m:r>
            </m:den>
          </m:f>
          <m:r>
            <m:rPr>
              <m:sty m:val="p"/>
            </m:rPr>
            <m:t>.</m:t>
          </m:r>
          <m:r>
            <m:rPr>
              <m:sty m:val="p"/>
            </m:rPr>
            <m:t xml:space="preserve">   (2)</m:t>
          </m:r>
        </m:oMath>
      </m:oMathPara>
    </w:p>
    <w:p>
      <w:pPr>
        <w:pStyle w:val="FirstParagraph"/>
        <w:ind w:firstLine="0"/>
        <w:jc w:val="left"/>
      </w:pPr>
      <w:r>
        <w:t xml:space="preserve">식 (2)의 μ_M은 질량 단위로 환산해 사용한다. 같은 질량 모드 변화라도 반경과 경계조건에 따라 출력 간격이 달라진다. 이산 원천만으로 보편적인 중력 양자 단위가 정해지지 않는다. 수치 격자나 계산 정밀도의 유한성도 중력의 물리적 양자화를 뜻하지 않는다. 양자중첩 물질과 고전 기하의 완전한 갱신법칙은 이번 정적 모형의 범위 밖이다.</w:t>
      </w:r>
    </w:p>
    <w:bookmarkEnd w:id="23"/>
    <w:bookmarkStart w:id="24" w:name="팽창과-뒤틀림의-공존-및-구성비"/>
    <w:p>
      <w:pPr>
        <w:pStyle w:val="Heading2"/>
        <w:ind w:firstLine="0"/>
        <w:jc w:val="left"/>
      </w:pPr>
      <w:r>
        <w:t xml:space="preserve">팽창과 뒤틀림의 공존 및 구성비</w:t>
      </w:r>
    </w:p>
    <w:p>
      <w:pPr>
        <w:pStyle w:val="FirstParagraph"/>
        <w:ind w:firstLine="0"/>
        <w:jc w:val="left"/>
      </w:pPr>
      <w:r>
        <w:t xml:space="preserve">공존 구조를 공간 계량의 분리 표기로 기록한다.</w:t>
      </w:r>
    </w:p>
    <w:p>
      <w:pPr>
        <w:pStyle w:val="BodyText"/>
        <w:ind w:firstLine="0"/>
        <w:jc w:val="left"/>
      </w:pPr>
      <m:oMathPara>
        <m:oMathParaPr>
          <m:jc m:val="center"/>
        </m:oMathParaPr>
        <m:oMath>
          <m:sSub>
            <m:e>
              <m:r>
                <m:t>γ</m:t>
              </m:r>
            </m:e>
            <m:sub>
              <m:r>
                <m:t>i</m:t>
              </m:r>
              <m:r>
                <m:t>j</m:t>
              </m:r>
            </m:sub>
          </m:sSub>
          <m:d>
            <m:dPr>
              <m:begChr m:val="("/>
              <m:endChr m:val=")"/>
              <m:sepChr m:val=""/>
              <m:grow/>
            </m:dPr>
            <m:e>
              <m:r>
                <m:t>t</m:t>
              </m:r>
            </m:e>
          </m:d>
          <m:r>
            <m:rPr>
              <m:sty m:val="p"/>
            </m:rPr>
            <m:t>=</m:t>
          </m:r>
          <m:r>
            <m:t>a</m:t>
          </m:r>
          <m:sSup>
            <m:e>
              <m:d>
                <m:dPr>
                  <m:begChr m:val="("/>
                  <m:endChr m:val=")"/>
                  <m:sepChr m:val=""/>
                  <m:grow/>
                </m:dPr>
                <m:e>
                  <m:r>
                    <m:t>t</m:t>
                  </m:r>
                </m:e>
              </m:d>
            </m:e>
            <m:sup>
              <m:r>
                <m:t>2</m:t>
              </m:r>
            </m:sup>
          </m:sSup>
          <m:sSub>
            <m:e>
              <m:acc>
                <m:accPr>
                  <m:chr m:val="̂"/>
                </m:accPr>
                <m:e>
                  <m:r>
                    <m:t>γ</m:t>
                  </m:r>
                </m:e>
              </m:acc>
            </m:e>
            <m:sub>
              <m:r>
                <m:t>i</m:t>
              </m:r>
              <m:r>
                <m:t>j</m:t>
              </m:r>
            </m:sub>
          </m:sSub>
          <m:d>
            <m:dPr>
              <m:begChr m:val="["/>
              <m:endChr m:val="]"/>
              <m:sepChr m:val=""/>
              <m:grow/>
            </m:dPr>
            <m:e>
              <m:r>
                <m:t>Θ</m:t>
              </m:r>
              <m:d>
                <m:dPr>
                  <m:begChr m:val="("/>
                  <m:endChr m:val=")"/>
                  <m:sepChr m:val=""/>
                  <m:grow/>
                </m:dPr>
                <m:e>
                  <m:r>
                    <m:t>t</m:t>
                  </m:r>
                </m:e>
              </m:d>
            </m:e>
          </m:d>
          <m:r>
            <m:rPr>
              <m:sty m:val="p"/>
            </m:rPr>
            <m:t>,</m:t>
          </m:r>
          <m:r>
            <m:t>  </m:t>
          </m:r>
          <m:r>
            <m:t>H</m:t>
          </m:r>
          <m:r>
            <m:rPr>
              <m:sty m:val="p"/>
            </m:rPr>
            <m:t>=</m:t>
          </m:r>
          <m:f>
            <m:fPr>
              <m:type m:val="bar"/>
            </m:fPr>
            <m:num>
              <m:acc>
                <m:accPr>
                  <m:chr m:val="̇"/>
                </m:accPr>
                <m:e>
                  <m:r>
                    <m:t>a</m:t>
                  </m:r>
                </m:e>
              </m:acc>
            </m:num>
            <m:den>
              <m:r>
                <m:t>a</m:t>
              </m:r>
            </m:den>
          </m:f>
          <m:r>
            <m:rPr>
              <m:sty m:val="p"/>
            </m:rPr>
            <m:t>.</m:t>
          </m:r>
          <m:r>
            <m:rPr>
              <m:sty m:val="p"/>
            </m:rPr>
            <m:t xml:space="preserve">   (3)</m:t>
          </m:r>
        </m:oMath>
      </m:oMathPara>
    </w:p>
    <w:p>
      <w:pPr>
        <w:pStyle w:val="FirstParagraph"/>
        <w:ind w:firstLine="0"/>
        <w:jc w:val="left"/>
      </w:pPr>
      <w:r>
        <w:t xml:space="preserve">a는 등방 크기 변화이고 Θ는 뒤틀림 상태다. 식 (3)은 변수의 분리이며 각각의 동역학을 유도한 식이 아니다. 은하 내부의 이번 정적 계산에서는 현재 a와 전역 경계상태를 고정하고 국소 응답을 구한다. 팽창과 가속팽창도 다른 관측량이므로 같은 원인 문장으로 합치지 않는다.</w:t>
      </w:r>
    </w:p>
    <w:p>
      <w:pPr>
        <w:pStyle w:val="BodyText"/>
        <w:ind w:firstLine="0"/>
        <w:jc w:val="left"/>
      </w:pPr>
      <w:r>
        <w:t xml:space="preserve">표현형 약 5%와 그 이전에 남은 약 95%는 갱신 가능한 에너지 가중 보정값으로 둔다. 비트 개수나 채널 개수의 측정비로 사용하지 않는다. 이번 입력 f_Φ=0.0493, 모이는 응력 부문 f_T=0.265에서 남은 전체 부문은 0.9507이고 잔여 배경 장부는 0.6857이다. 이 배경 장부의 값을 독립적인 암흑에너지의 미시 원인으로 확정하지 않는다. 이번 계산은 f_T에 해당하는 국소 추가 인력 부문에 집중한다.</w:t>
      </w:r>
    </w:p>
    <w:p>
      <w:pPr>
        <w:pStyle w:val="BodyText"/>
        <w:ind w:firstLine="0"/>
        <w:jc w:val="left"/>
      </w:pPr>
      <w:r>
        <w:t xml:space="preserve">직접 물질과 모이는 응력만 비교하면 f_T/f_Φ=5.37525이며, 직접 성분의 비중은 f_Φ/(f_Φ+f_T)=15.6857%다. 약 5%와 15.7%는 분모가 다르므로 함께 사용할 수 있다. 이 우주 평균 원천비를 모든 은하 반경의 중력비로 고정하지 않는다.</w:t>
      </w:r>
    </w:p>
    <w:bookmarkEnd w:id="24"/>
    <w:bookmarkStart w:id="25" w:name="표현형-이전-정보와-닫힌-우주의-연결"/>
    <w:p>
      <w:pPr>
        <w:pStyle w:val="Heading2"/>
        <w:ind w:firstLine="0"/>
        <w:jc w:val="left"/>
      </w:pPr>
      <w:r>
        <w:t xml:space="preserve">표현형 이전 정보와 닫힌 우주의 연결</w:t>
      </w:r>
    </w:p>
    <w:p>
      <w:pPr>
        <w:pStyle w:val="FirstParagraph"/>
        <w:ind w:firstLine="0"/>
        <w:jc w:val="left"/>
      </w:pPr>
      <w:r>
        <w:t xml:space="preserve">상류 가설을 다음과 같이 고정한다. 표현형으로 출력되지 않은 정보의 물리적 부하가 뒤틀림을 결정하고, 전역 접합이 그 뒤틀림을 보존하여 유한하지만 경계 없는 우주를 구성한다. 이때 정보의 개수에서 물리적 부하로 가는 변환이 필요하다. 현재 단계에서는 각 정보 상태에 에너지 가중치를 부여한 E_pre를 사용한다.</w:t>
      </w:r>
    </w:p>
    <w:p>
      <w:pPr>
        <w:pStyle w:val="BodyText"/>
        <w:ind w:firstLine="0"/>
        <w:jc w:val="left"/>
      </w:pPr>
      <m:oMathPara>
        <m:oMathParaPr>
          <m:jc m:val="center"/>
        </m:oMathParaPr>
        <m:oMath>
          <m:sSub>
            <m:e>
              <m:r>
                <m:t>E</m:t>
              </m:r>
            </m:e>
            <m:sub>
              <m:r>
                <m:rPr>
                  <m:sty m:val="p"/>
                </m:rPr>
                <m:t>p</m:t>
              </m:r>
              <m:r>
                <m:rPr>
                  <m:sty m:val="p"/>
                </m:rPr>
                <m:t>r</m:t>
              </m:r>
              <m:r>
                <m:rPr>
                  <m:sty m:val="p"/>
                </m:rPr>
                <m:t>e</m:t>
              </m:r>
            </m:sub>
          </m:sSub>
          <m:r>
            <m:rPr>
              <m:sty m:val="p"/>
            </m:rPr>
            <m:t>=</m:t>
          </m:r>
          <m:nary>
            <m:naryPr>
              <m:chr m:val="∑"/>
              <m:limLoc m:val="undOvr"/>
              <m:subHide m:val="off"/>
              <m:supHide m:val="on"/>
            </m:naryPr>
            <m:sub>
              <m:r>
                <m:t>a</m:t>
              </m:r>
            </m:sub>
            <m:sup>
              <m:r>
                <m:t>​</m:t>
              </m:r>
            </m:sup>
            <m:e>
              <m:sSub>
                <m:e>
                  <m:r>
                    <m:t>w</m:t>
                  </m:r>
                </m:e>
                <m:sub>
                  <m:r>
                    <m:t>a</m:t>
                  </m:r>
                </m:sub>
              </m:sSub>
            </m:e>
          </m:nary>
          <m:sSub>
            <m:e>
              <m:r>
                <m:t>I</m:t>
              </m:r>
            </m:e>
            <m:sub>
              <m:r>
                <m:t>a</m:t>
              </m:r>
            </m:sub>
          </m:sSub>
          <m:r>
            <m:rPr>
              <m:sty m:val="p"/>
            </m:rPr>
            <m:t>,</m:t>
          </m:r>
          <m:r>
            <m:t>  </m:t>
          </m:r>
          <m:sSub>
            <m:e>
              <m:r>
                <m:t>u</m:t>
              </m:r>
            </m:e>
            <m:sub>
              <m:r>
                <m:rPr>
                  <m:sty m:val="p"/>
                </m:rPr>
                <m:t>p</m:t>
              </m:r>
              <m:r>
                <m:rPr>
                  <m:sty m:val="p"/>
                </m:rPr>
                <m:t>r</m:t>
              </m:r>
              <m:r>
                <m:rPr>
                  <m:sty m:val="p"/>
                </m:rPr>
                <m:t>e</m:t>
              </m:r>
            </m:sub>
          </m:sSub>
          <m:r>
            <m:rPr>
              <m:sty m:val="p"/>
            </m:rPr>
            <m:t>=</m:t>
          </m:r>
          <m:f>
            <m:fPr>
              <m:type m:val="bar"/>
            </m:fPr>
            <m:num>
              <m:sSub>
                <m:e>
                  <m:r>
                    <m:t>E</m:t>
                  </m:r>
                </m:e>
                <m:sub>
                  <m:r>
                    <m:rPr>
                      <m:sty m:val="p"/>
                    </m:rPr>
                    <m:t>p</m:t>
                  </m:r>
                  <m:r>
                    <m:rPr>
                      <m:sty m:val="p"/>
                    </m:rPr>
                    <m:t>r</m:t>
                  </m:r>
                  <m:r>
                    <m:rPr>
                      <m:sty m:val="p"/>
                    </m:rPr>
                    <m:t>e</m:t>
                  </m:r>
                </m:sub>
              </m:sSub>
            </m:num>
            <m:den>
              <m:r>
                <m:t>V</m:t>
              </m:r>
            </m:den>
          </m:f>
          <m:r>
            <m:rPr>
              <m:sty m:val="p"/>
            </m:rPr>
            <m:t>,</m:t>
          </m:r>
          <m:r>
            <m:t>  </m:t>
          </m:r>
          <m:r>
            <m:t>ζ</m:t>
          </m:r>
          <m:sSubSup>
            <m:e>
              <m:r>
                <m:t>κ</m:t>
              </m:r>
            </m:e>
            <m:sub>
              <m:r>
                <m:rPr>
                  <m:sty m:val="p"/>
                </m:rPr>
                <m:t>t</m:t>
              </m:r>
              <m:r>
                <m:rPr>
                  <m:sty m:val="p"/>
                </m:rPr>
                <m:t>o</m:t>
              </m:r>
              <m:r>
                <m:rPr>
                  <m:sty m:val="p"/>
                </m:rPr>
                <m:t>t</m:t>
              </m:r>
            </m:sub>
            <m:sup>
              <m:r>
                <m:t>2</m:t>
              </m:r>
            </m:sup>
          </m:sSubSup>
          <m:r>
            <m:rPr>
              <m:sty m:val="p"/>
            </m:rPr>
            <m:t>=</m:t>
          </m:r>
          <m:f>
            <m:fPr>
              <m:type m:val="bar"/>
            </m:fPr>
            <m:num>
              <m:r>
                <m:t>16</m:t>
              </m:r>
              <m:r>
                <m:t>π</m:t>
              </m:r>
              <m:r>
                <m:t>G</m:t>
              </m:r>
            </m:num>
            <m:den>
              <m:sSup>
                <m:e>
                  <m:r>
                    <m:t>c</m:t>
                  </m:r>
                </m:e>
                <m:sup>
                  <m:r>
                    <m:t>4</m:t>
                  </m:r>
                </m:sup>
              </m:sSup>
            </m:den>
          </m:f>
          <m:f>
            <m:fPr>
              <m:type m:val="bar"/>
            </m:fPr>
            <m:num>
              <m:sSub>
                <m:e>
                  <m:r>
                    <m:t>E</m:t>
                  </m:r>
                </m:e>
                <m:sub>
                  <m:r>
                    <m:rPr>
                      <m:sty m:val="p"/>
                    </m:rPr>
                    <m:t>p</m:t>
                  </m:r>
                  <m:r>
                    <m:rPr>
                      <m:sty m:val="p"/>
                    </m:rPr>
                    <m:t>r</m:t>
                  </m:r>
                  <m:r>
                    <m:rPr>
                      <m:sty m:val="p"/>
                    </m:rPr>
                    <m:t>e</m:t>
                  </m:r>
                </m:sub>
              </m:sSub>
            </m:num>
            <m:den>
              <m:r>
                <m:t>V</m:t>
              </m:r>
            </m:den>
          </m:f>
          <m:r>
            <m:rPr>
              <m:sty m:val="p"/>
            </m:rPr>
            <m:t>.</m:t>
          </m:r>
          <m:r>
            <m:rPr>
              <m:sty m:val="p"/>
            </m:rPr>
            <m:t xml:space="preserve">   (4)</m:t>
          </m:r>
        </m:oMath>
      </m:oMathPara>
    </w:p>
    <w:p>
      <w:pPr>
        <w:pStyle w:val="FirstParagraph"/>
        <w:ind w:firstLine="0"/>
        <w:jc w:val="left"/>
      </w:pPr>
      <w:r>
        <w:t xml:space="preserve">w_a는 정보 상태를 에너지 부하로 바꾸는 모형의 가중치다. 이 변환을 고정한 뒤 남은 정보량은 꼬임률을 계산하는 입력이 된다. 따라서 고정 부피와 강성에서는 κ_tot²가 E_pre에 비례한다. 임의의 정보 비트 하나에 보편적 정지질량을 부여하는 식은 사용하지 않는다.</w:t>
      </w:r>
    </w:p>
    <w:p>
      <w:pPr>
        <w:pStyle w:val="BodyText"/>
        <w:ind w:firstLine="0"/>
        <w:jc w:val="left"/>
      </w:pPr>
      <w:r>
        <w:t xml:space="preserve">전역 접합의 한 구성 가능성 모형으로 세 방향을 주기 접합한 T³를 사용할 수 있다. 이 모형은 하나의 공통 Source에 대한 모든 국소 패치를 동등하게 취급한다. 정적 대표 길이 L인 세 폐곡선의 뒤틀림 기록을 Θ_i=κ_i L로 두면 다음 관계가 성립한다.</w:t>
      </w:r>
    </w:p>
    <w:p>
      <w:pPr>
        <w:pStyle w:val="BodyText"/>
        <w:ind w:firstLine="0"/>
        <w:jc w:val="left"/>
      </w:pPr>
      <m:oMathPara>
        <m:oMathParaPr>
          <m:jc m:val="center"/>
        </m:oMathParaPr>
        <m:oMath>
          <m:r>
            <m:t>V</m:t>
          </m:r>
          <m:r>
            <m:rPr>
              <m:sty m:val="p"/>
            </m:rPr>
            <m:t>=</m:t>
          </m:r>
          <m:sSup>
            <m:e>
              <m:r>
                <m:t>L</m:t>
              </m:r>
            </m:e>
            <m:sup>
              <m:r>
                <m:t>3</m:t>
              </m:r>
            </m:sup>
          </m:sSup>
          <m:r>
            <m:rPr>
              <m:sty m:val="p"/>
            </m:rPr>
            <m:t>,</m:t>
          </m:r>
          <m:r>
            <m:t> </m:t>
          </m:r>
          <m:r>
            <m:t>Q</m:t>
          </m:r>
          <m:r>
            <m:rPr>
              <m:sty m:val="p"/>
            </m:rPr>
            <m:t>=</m:t>
          </m:r>
          <m:nary>
            <m:naryPr>
              <m:chr m:val="∑"/>
              <m:limLoc m:val="undOvr"/>
              <m:subHide m:val="off"/>
              <m:supHide m:val="off"/>
            </m:naryPr>
            <m:sub>
              <m:r>
                <m:t>i</m:t>
              </m:r>
              <m:r>
                <m:rPr>
                  <m:sty m:val="p"/>
                </m:rPr>
                <m:t>=</m:t>
              </m:r>
              <m:r>
                <m:t>1</m:t>
              </m:r>
            </m:sub>
            <m:sup>
              <m:r>
                <m:t>3</m:t>
              </m:r>
            </m:sup>
            <m:e>
              <m:sSubSup>
                <m:e>
                  <m:r>
                    <m:t>Θ</m:t>
                  </m:r>
                </m:e>
                <m:sub>
                  <m:r>
                    <m:t>i</m:t>
                  </m:r>
                </m:sub>
                <m:sup>
                  <m:r>
                    <m:t>2</m:t>
                  </m:r>
                </m:sup>
              </m:sSubSup>
            </m:e>
          </m:nary>
          <m:r>
            <m:rPr>
              <m:sty m:val="p"/>
            </m:rPr>
            <m:t>&gt;</m:t>
          </m:r>
          <m:r>
            <m:t>0</m:t>
          </m:r>
          <m:r>
            <m:rPr>
              <m:sty m:val="p"/>
            </m:rPr>
            <m:t>,</m:t>
          </m:r>
          <m:r>
            <m:t> </m:t>
          </m:r>
          <m:sSub>
            <m:e>
              <m:r>
                <m:t>E</m:t>
              </m:r>
            </m:e>
            <m:sub>
              <m:r>
                <m:rPr>
                  <m:sty m:val="p"/>
                </m:rPr>
                <m:t>p</m:t>
              </m:r>
              <m:r>
                <m:rPr>
                  <m:sty m:val="p"/>
                </m:rPr>
                <m:t>r</m:t>
              </m:r>
              <m:r>
                <m:rPr>
                  <m:sty m:val="p"/>
                </m:rPr>
                <m:t>e</m:t>
              </m:r>
            </m:sub>
          </m:sSub>
          <m:r>
            <m:rPr>
              <m:sty m:val="p"/>
            </m:rPr>
            <m:t>=</m:t>
          </m:r>
          <m:f>
            <m:fPr>
              <m:type m:val="bar"/>
            </m:fPr>
            <m:num>
              <m:r>
                <m:t>ζ</m:t>
              </m:r>
              <m:sSup>
                <m:e>
                  <m:r>
                    <m:t>c</m:t>
                  </m:r>
                </m:e>
                <m:sup>
                  <m:r>
                    <m:t>4</m:t>
                  </m:r>
                </m:sup>
              </m:sSup>
              <m:r>
                <m:t>Q</m:t>
              </m:r>
            </m:num>
            <m:den>
              <m:r>
                <m:t>16</m:t>
              </m:r>
              <m:r>
                <m:t>π</m:t>
              </m:r>
              <m:r>
                <m:t>G</m:t>
              </m:r>
            </m:den>
          </m:f>
          <m:r>
            <m:t>L</m:t>
          </m:r>
          <m:r>
            <m:rPr>
              <m:sty m:val="p"/>
            </m:rPr>
            <m:t>,</m:t>
          </m:r>
          <m:r>
            <m:t> </m:t>
          </m:r>
          <m:r>
            <m:t>L</m:t>
          </m:r>
          <m:r>
            <m:rPr>
              <m:sty m:val="p"/>
            </m:rPr>
            <m:t>=</m:t>
          </m:r>
          <m:f>
            <m:fPr>
              <m:type m:val="bar"/>
            </m:fPr>
            <m:num>
              <m:r>
                <m:t>16</m:t>
              </m:r>
              <m:r>
                <m:t>π</m:t>
              </m:r>
              <m:r>
                <m:t>G</m:t>
              </m:r>
              <m:sSub>
                <m:e>
                  <m:r>
                    <m:t>E</m:t>
                  </m:r>
                </m:e>
                <m:sub>
                  <m:r>
                    <m:rPr>
                      <m:sty m:val="p"/>
                    </m:rPr>
                    <m:t>p</m:t>
                  </m:r>
                  <m:r>
                    <m:rPr>
                      <m:sty m:val="p"/>
                    </m:rPr>
                    <m:t>r</m:t>
                  </m:r>
                  <m:r>
                    <m:rPr>
                      <m:sty m:val="p"/>
                    </m:rPr>
                    <m:t>e</m:t>
                  </m:r>
                </m:sub>
              </m:sSub>
            </m:num>
            <m:den>
              <m:r>
                <m:t>ζ</m:t>
              </m:r>
              <m:sSup>
                <m:e>
                  <m:r>
                    <m:t>c</m:t>
                  </m:r>
                </m:e>
                <m:sup>
                  <m:r>
                    <m:t>4</m:t>
                  </m:r>
                </m:sup>
              </m:sSup>
              <m:r>
                <m:t>Q</m:t>
              </m:r>
            </m:den>
          </m:f>
          <m:r>
            <m:rPr>
              <m:sty m:val="p"/>
            </m:rPr>
            <m:t>.</m:t>
          </m:r>
          <m:r>
            <m:rPr>
              <m:sty m:val="p"/>
            </m:rPr>
            <m:t xml:space="preserve">   (5)</m:t>
          </m:r>
        </m:oMath>
      </m:oMathPara>
    </w:p>
    <w:p>
      <w:pPr>
        <w:pStyle w:val="FirstParagraph"/>
        <w:ind w:firstLine="0"/>
        <w:jc w:val="left"/>
      </w:pPr>
      <w:r>
        <w:t xml:space="preserve">유한한 E_pre와 양의 강성 및 고정된 비영 접합 기록 아래에서 L과 부피는 유한하고 T³의 경계는 없다. 식 (5)는 선택한 접합 모형의 정확한 대수 관계다. 이 계산은 정보 부하에서 꼬임을 거쳐 닫힌 기하로 가는 하나의 가능한 구현을 제공한다. 모든 뒤틀림이 자동으로 T³를 선택한다는 정리나 실제 우주의 위상을 측정한 결과로 분류하지 않는다. 시간에 따른 L의 변화는 팽창 변수와 연결할 수 있지만 그 진화방정식은 이번에 계산하지 않는다.</w:t>
      </w:r>
    </w:p>
    <w:p>
      <w:pPr>
        <w:pStyle w:val="BodyText"/>
        <w:ind w:firstLine="0"/>
        <w:jc w:val="left"/>
      </w:pPr>
      <w:r>
        <w:t xml:space="preserve">정보가 늘면 꼬임이 반드시 커진다는 단일 방향 관계도 강제하지 않는다. 고정 부피에서는 꼬임률이 커지지만, 접합 기록을 고정하고 부피까지 함께 바꾸면 식 (5)에 따라 길이도 달라진다. ζ와 Θ_i 및 정보 가중치가 미확정이므로 실제 우주의 길이를 단일 숫자로 확정하지 않는다.</w:t>
      </w:r>
    </w:p>
    <w:p>
      <w:pPr>
        <w:pStyle w:val="BodyText"/>
        <w:ind w:firstLine="0"/>
        <w:jc w:val="left"/>
      </w:pPr>
      <w:r>
        <w:t xml:space="preserve">국소 모이는 응력 f_T와 남은 전체 부하 f_pre를 구분하면 기존 개별 논문의 국소 척도를 보존하면서 새로운 상류 가설을 넣을 수 있다. 동일한 이차 부하 사상을 전체 숨은 부문으로 확장한다는 추가 가정에서, 이번 보정 f_pre=0.9507은 정규화 지수 √(6f_pre)=2.388347를 준다. 이는 실제 각도가 아니라 전체 부하에 대한 지수다. 국소 추가 인력 척도는 여전히 f_T=0.265로 계산한다.</w:t>
      </w:r>
    </w:p>
    <w:bookmarkEnd w:id="25"/>
    <w:bookmarkStart w:id="26" w:name="현재-우주의-뒤틀림-정규화"/>
    <w:p>
      <w:pPr>
        <w:pStyle w:val="Heading2"/>
        <w:ind w:firstLine="0"/>
        <w:jc w:val="left"/>
      </w:pPr>
      <w:r>
        <w:t xml:space="preserve">현재 우주의 뒤틀림 정규화</w:t>
      </w:r>
    </w:p>
    <w:p>
      <w:pPr>
        <w:pStyle w:val="FirstParagraph"/>
        <w:ind w:firstLine="0"/>
        <w:jc w:val="left"/>
      </w:pPr>
      <w:r>
        <w:t xml:space="preserve">이전 개별 논문의 이차 응력 에너지와 교차척도 폐쇄식을 사용한다.</w:t>
      </w:r>
    </w:p>
    <w:p>
      <w:pPr>
        <w:pStyle w:val="BodyText"/>
        <w:ind w:firstLine="0"/>
        <w:jc w:val="left"/>
      </w:pPr>
      <m:oMathPara>
        <m:oMathParaPr>
          <m:jc m:val="center"/>
        </m:oMathParaPr>
        <m:oMath>
          <m:sSub>
            <m:e>
              <m:r>
                <m:t>u</m:t>
              </m:r>
            </m:e>
            <m:sub>
              <m:r>
                <m:t>T</m:t>
              </m:r>
            </m:sub>
          </m:sSub>
          <m:r>
            <m:rPr>
              <m:sty m:val="p"/>
            </m:rPr>
            <m:t>=</m:t>
          </m:r>
          <m:f>
            <m:fPr>
              <m:type m:val="bar"/>
            </m:fPr>
            <m:num>
              <m:r>
                <m:t>ζ</m:t>
              </m:r>
              <m:sSup>
                <m:e>
                  <m:r>
                    <m:t>c</m:t>
                  </m:r>
                </m:e>
                <m:sup>
                  <m:r>
                    <m:t>4</m:t>
                  </m:r>
                </m:sup>
              </m:sSup>
              <m:sSup>
                <m:e>
                  <m:r>
                    <m:t>κ</m:t>
                  </m:r>
                </m:e>
                <m:sup>
                  <m:r>
                    <m:t>2</m:t>
                  </m:r>
                </m:sup>
              </m:sSup>
            </m:num>
            <m:den>
              <m:r>
                <m:t>16</m:t>
              </m:r>
              <m:r>
                <m:t>π</m:t>
              </m:r>
              <m:r>
                <m:t>G</m:t>
              </m:r>
            </m:den>
          </m:f>
          <m:r>
            <m:rPr>
              <m:sty m:val="p"/>
            </m:rPr>
            <m:t>,</m:t>
          </m:r>
          <m:r>
            <m:t>  </m:t>
          </m:r>
          <m:sSub>
            <m:e>
              <m:r>
                <m:t>ρ</m:t>
              </m:r>
            </m:e>
            <m:sub>
              <m:r>
                <m:t>c</m:t>
              </m:r>
            </m:sub>
          </m:sSub>
          <m:r>
            <m:rPr>
              <m:sty m:val="p"/>
            </m:rPr>
            <m:t>=</m:t>
          </m:r>
          <m:f>
            <m:fPr>
              <m:type m:val="bar"/>
            </m:fPr>
            <m:num>
              <m:r>
                <m:t>3</m:t>
              </m:r>
              <m:sSubSup>
                <m:e>
                  <m:r>
                    <m:t>H</m:t>
                  </m:r>
                </m:e>
                <m:sub>
                  <m:r>
                    <m:t>0</m:t>
                  </m:r>
                </m:sub>
                <m:sup>
                  <m:r>
                    <m:t>2</m:t>
                  </m:r>
                </m:sup>
              </m:sSubSup>
            </m:num>
            <m:den>
              <m:r>
                <m:t>8</m:t>
              </m:r>
              <m:r>
                <m:t>π</m:t>
              </m:r>
              <m:r>
                <m:t>G</m:t>
              </m:r>
            </m:den>
          </m:f>
          <m:r>
            <m:rPr>
              <m:sty m:val="p"/>
            </m:rPr>
            <m:t>,</m:t>
          </m:r>
          <m:r>
            <m:t>  </m:t>
          </m:r>
          <m:sSub>
            <m:e>
              <m:r>
                <m:t>f</m:t>
              </m:r>
            </m:e>
            <m:sub>
              <m:r>
                <m:t>T</m:t>
              </m:r>
            </m:sub>
          </m:sSub>
          <m:r>
            <m:rPr>
              <m:sty m:val="p"/>
            </m:rPr>
            <m:t>=</m:t>
          </m:r>
          <m:f>
            <m:fPr>
              <m:type m:val="bar"/>
            </m:fPr>
            <m:num>
              <m:sSub>
                <m:e>
                  <m:r>
                    <m:t>u</m:t>
                  </m:r>
                </m:e>
                <m:sub>
                  <m:r>
                    <m:t>T</m:t>
                  </m:r>
                </m:sub>
              </m:sSub>
            </m:num>
            <m:den>
              <m:sSub>
                <m:e>
                  <m:r>
                    <m:t>ρ</m:t>
                  </m:r>
                </m:e>
                <m:sub>
                  <m:r>
                    <m:t>c</m:t>
                  </m:r>
                </m:sub>
              </m:sSub>
              <m:sSup>
                <m:e>
                  <m:r>
                    <m:t>c</m:t>
                  </m:r>
                </m:e>
                <m:sup>
                  <m:r>
                    <m:t>2</m:t>
                  </m:r>
                </m:sup>
              </m:sSup>
            </m:den>
          </m:f>
          <m:r>
            <m:rPr>
              <m:sty m:val="p"/>
            </m:rPr>
            <m:t>.</m:t>
          </m:r>
          <m:r>
            <m:rPr>
              <m:sty m:val="p"/>
            </m:rPr>
            <m:t xml:space="preserve">   (6)</m:t>
          </m:r>
        </m:oMath>
      </m:oMathPara>
    </w:p>
    <w:p>
      <w:pPr>
        <w:pStyle w:val="FirstParagraph"/>
        <w:ind w:firstLine="0"/>
        <w:jc w:val="left"/>
      </w:pPr>
      <m:oMathPara>
        <m:oMathParaPr>
          <m:jc m:val="center"/>
        </m:oMathParaPr>
        <m:oMath>
          <m:sSub>
            <m:e>
              <m:r>
                <m:t>a</m:t>
              </m:r>
            </m:e>
            <m:sub>
              <m:r>
                <m:t>T</m:t>
              </m:r>
            </m:sub>
          </m:sSub>
          <m:r>
            <m:rPr>
              <m:sty m:val="p"/>
            </m:rPr>
            <m:t>=</m:t>
          </m:r>
          <m:r>
            <m:t>c</m:t>
          </m:r>
          <m:sSub>
            <m:e>
              <m:r>
                <m:t>H</m:t>
              </m:r>
            </m:e>
            <m:sub>
              <m:r>
                <m:t>0</m:t>
              </m:r>
            </m:sub>
          </m:sSub>
          <m:rad>
            <m:radPr>
              <m:degHide m:val="on"/>
            </m:radPr>
            <m:deg/>
            <m:e>
              <m:f>
                <m:fPr>
                  <m:type m:val="bar"/>
                </m:fPr>
                <m:num>
                  <m:sSub>
                    <m:e>
                      <m:r>
                        <m:t>f</m:t>
                      </m:r>
                    </m:e>
                    <m:sub>
                      <m:r>
                        <m:t>T</m:t>
                      </m:r>
                    </m:sub>
                  </m:sSub>
                </m:num>
                <m:den>
                  <m:r>
                    <m:t>8</m:t>
                  </m:r>
                </m:den>
              </m:f>
            </m:e>
          </m:rad>
          <m:r>
            <m:rPr>
              <m:sty m:val="p"/>
            </m:rPr>
            <m:t>,</m:t>
          </m:r>
          <m:r>
            <m:t>  </m:t>
          </m:r>
          <m:r>
            <m:t>ζ</m:t>
          </m:r>
          <m:sSup>
            <m:e>
              <m:r>
                <m:t>κ</m:t>
              </m:r>
            </m:e>
            <m:sup>
              <m:r>
                <m:t>2</m:t>
              </m:r>
            </m:sup>
          </m:sSup>
          <m:r>
            <m:rPr>
              <m:sty m:val="p"/>
            </m:rPr>
            <m:t>=</m:t>
          </m:r>
          <m:r>
            <m:t>6</m:t>
          </m:r>
          <m:sSub>
            <m:e>
              <m:r>
                <m:t>f</m:t>
              </m:r>
            </m:e>
            <m:sub>
              <m:r>
                <m:t>T</m:t>
              </m:r>
            </m:sub>
          </m:sSub>
          <m:sSup>
            <m:e>
              <m:d>
                <m:dPr>
                  <m:begChr m:val="("/>
                  <m:endChr m:val=")"/>
                  <m:sepChr m:val=""/>
                  <m:grow/>
                </m:dPr>
                <m:e>
                  <m:f>
                    <m:fPr>
                      <m:type m:val="bar"/>
                    </m:fPr>
                    <m:num>
                      <m:sSub>
                        <m:e>
                          <m:r>
                            <m:t>H</m:t>
                          </m:r>
                        </m:e>
                        <m:sub>
                          <m:r>
                            <m:t>0</m:t>
                          </m:r>
                        </m:sub>
                      </m:sSub>
                    </m:num>
                    <m:den>
                      <m:r>
                        <m:t>c</m:t>
                      </m:r>
                    </m:den>
                  </m:f>
                </m:e>
              </m:d>
            </m:e>
            <m:sup>
              <m:r>
                <m:t>2</m:t>
              </m:r>
            </m:sup>
          </m:sSup>
          <m:r>
            <m:rPr>
              <m:sty m:val="p"/>
            </m:rPr>
            <m:t>.</m:t>
          </m:r>
          <m:r>
            <m:rPr>
              <m:sty m:val="p"/>
            </m:rPr>
            <m:t xml:space="preserve">   (7)</m:t>
          </m:r>
        </m:oMath>
      </m:oMathPara>
    </w:p>
    <w:p>
      <w:pPr>
        <w:pStyle w:val="FirstParagraph"/>
        <w:ind w:firstLine="0"/>
        <w:jc w:val="left"/>
      </w:pPr>
      <w:r>
        <w:t xml:space="preserve">c=299,792,458 m/s, G=6.67430×10⁻¹¹ SI, H₀=67.4 km/s/Mpc와 f_T=0.265를 사용한다. c는 단위 환산의 정의된 입력이며 예측 대상이 아니다. 식 (7)의 계수 1/8과 matched response 연결은 기존에 보정한 모형 요소다. 알려진 값으로 모형을 확정한 뒤 이 식에서 나온 산출값의 WRRA 계산 소유권은 유지한다.</w:t>
      </w:r>
    </w:p>
    <w:p>
      <w:pPr>
        <w:pStyle w:val="BodyText"/>
        <w:ind w:firstLine="0"/>
        <w:jc w:val="left"/>
      </w:pPr>
      <w:r>
        <w:t xml:space="preserve">산출값은 a_T=1.191812669×10⁻¹⁰ m/s², ρ_c=8.532855164×10⁻²⁷ kg/m³, ζκ²=8.440621409×10⁻⁵³ m⁻²다. 정규화 지수 √(6f_T)=1.260952는 직접 측정된 뒤틀림 각도가 아니다. ζ와 κ 각각은 아직 분리되지 않는다.</w:t>
      </w:r>
    </w:p>
    <w:bookmarkEnd w:id="26"/>
    <w:bookmarkStart w:id="27" w:name="보정된-구성응답과-정적-작용"/>
    <w:p>
      <w:pPr>
        <w:pStyle w:val="Heading2"/>
        <w:ind w:firstLine="0"/>
        <w:jc w:val="left"/>
      </w:pPr>
      <w:r>
        <w:t xml:space="preserve">보정된 구성응답과 정적 작용</w:t>
      </w:r>
    </w:p>
    <w:p>
      <w:pPr>
        <w:pStyle w:val="FirstParagraph"/>
        <w:ind w:firstLine="0"/>
        <w:jc w:val="left"/>
      </w:pPr>
      <w:r>
        <w:t xml:space="preserve">원반면 논문이 채택한 전 구간 구성응답을 변경 없이 사용한다.</w:t>
      </w:r>
    </w:p>
    <w:p>
      <w:pPr>
        <w:pStyle w:val="BodyText"/>
        <w:ind w:firstLine="0"/>
        <w:jc w:val="left"/>
      </w:pPr>
      <m:oMathPara>
        <m:oMathParaPr>
          <m:jc m:val="center"/>
        </m:oMathParaPr>
        <m:oMath>
          <m:r>
            <m:t>y</m:t>
          </m:r>
          <m:r>
            <m:rPr>
              <m:sty m:val="p"/>
            </m:rPr>
            <m:t>=</m:t>
          </m:r>
          <m:f>
            <m:fPr>
              <m:type m:val="bar"/>
            </m:fPr>
            <m:num>
              <m:sSub>
                <m:e>
                  <m:r>
                    <m:t>g</m:t>
                  </m:r>
                </m:e>
                <m:sub>
                  <m:r>
                    <m:t>M</m:t>
                  </m:r>
                </m:sub>
              </m:sSub>
            </m:num>
            <m:den>
              <m:sSub>
                <m:e>
                  <m:r>
                    <m:t>a</m:t>
                  </m:r>
                </m:e>
                <m:sub>
                  <m:r>
                    <m:t>T</m:t>
                  </m:r>
                </m:sub>
              </m:sSub>
            </m:den>
          </m:f>
          <m:r>
            <m:rPr>
              <m:sty m:val="p"/>
            </m:rPr>
            <m:t>,</m:t>
          </m:r>
          <m:r>
            <m:t>  </m:t>
          </m:r>
          <m:r>
            <m:t>ν</m:t>
          </m:r>
          <m:d>
            <m:dPr>
              <m:begChr m:val="("/>
              <m:endChr m:val=")"/>
              <m:sepChr m:val=""/>
              <m:grow/>
            </m:dPr>
            <m:e>
              <m:r>
                <m:t>y</m:t>
              </m:r>
            </m:e>
          </m:d>
          <m:r>
            <m:rPr>
              <m:sty m:val="p"/>
            </m:rPr>
            <m:t>=</m:t>
          </m:r>
          <m:f>
            <m:fPr>
              <m:type m:val="bar"/>
            </m:fPr>
            <m:num>
              <m:r>
                <m:t>1</m:t>
              </m:r>
            </m:num>
            <m:den>
              <m:r>
                <m:t>1</m:t>
              </m:r>
              <m:r>
                <m:rPr>
                  <m:sty m:val="p"/>
                </m:rPr>
                <m:t>−</m:t>
              </m:r>
              <m:sSup>
                <m:e>
                  <m:r>
                    <m:t>e</m:t>
                  </m:r>
                </m:e>
                <m:sup>
                  <m:r>
                    <m:rPr>
                      <m:sty m:val="p"/>
                    </m:rPr>
                    <m:t>−</m:t>
                  </m:r>
                  <m:rad>
                    <m:radPr>
                      <m:degHide m:val="on"/>
                    </m:radPr>
                    <m:deg/>
                    <m:e>
                      <m:r>
                        <m:t>y</m:t>
                      </m:r>
                    </m:e>
                  </m:rad>
                </m:sup>
              </m:sSup>
            </m:den>
          </m:f>
          <m:r>
            <m:rPr>
              <m:sty m:val="p"/>
            </m:rPr>
            <m:t>,</m:t>
          </m:r>
          <m:r>
            <m:t>  </m:t>
          </m:r>
          <m:r>
            <m:t>g</m:t>
          </m:r>
          <m:r>
            <m:rPr>
              <m:sty m:val="p"/>
            </m:rPr>
            <m:t>=</m:t>
          </m:r>
          <m:r>
            <m:t>ν</m:t>
          </m:r>
          <m:d>
            <m:dPr>
              <m:begChr m:val="("/>
              <m:endChr m:val=")"/>
              <m:sepChr m:val=""/>
              <m:grow/>
            </m:dPr>
            <m:e>
              <m:r>
                <m:t>y</m:t>
              </m:r>
            </m:e>
          </m:d>
          <m:sSub>
            <m:e>
              <m:r>
                <m:t>g</m:t>
              </m:r>
            </m:e>
            <m:sub>
              <m:r>
                <m:t>M</m:t>
              </m:r>
            </m:sub>
          </m:sSub>
          <m:r>
            <m:rPr>
              <m:sty m:val="p"/>
            </m:rPr>
            <m:t>,</m:t>
          </m:r>
          <m:r>
            <m:t> </m:t>
          </m:r>
          <m:sSub>
            <m:e>
              <m:r>
                <m:t>g</m:t>
              </m:r>
            </m:e>
            <m:sub>
              <m:r>
                <m:t>T</m:t>
              </m:r>
            </m:sub>
          </m:sSub>
          <m:r>
            <m:rPr>
              <m:sty m:val="p"/>
            </m:rPr>
            <m:t>=</m:t>
          </m:r>
          <m:r>
            <m:t>g</m:t>
          </m:r>
          <m:r>
            <m:rPr>
              <m:sty m:val="p"/>
            </m:rPr>
            <m:t>−</m:t>
          </m:r>
          <m:sSub>
            <m:e>
              <m:r>
                <m:t>g</m:t>
              </m:r>
            </m:e>
            <m:sub>
              <m:r>
                <m:t>M</m:t>
              </m:r>
            </m:sub>
          </m:sSub>
          <m:r>
            <m:rPr>
              <m:sty m:val="p"/>
            </m:rPr>
            <m:t>.</m:t>
          </m:r>
          <m:r>
            <m:rPr>
              <m:sty m:val="p"/>
            </m:rPr>
            <m:t xml:space="preserve">   (8)</m:t>
          </m:r>
        </m:oMath>
      </m:oMathPara>
    </w:p>
    <w:p>
      <w:pPr>
        <w:pStyle w:val="FirstParagraph"/>
        <w:ind w:firstLine="0"/>
        <w:jc w:val="left"/>
      </w:pPr>
      <w:r>
        <w:t xml:space="preserve">응답함수의 형태는 관측으로 보정한 입력이고, 상류 공통전달자에서 유일하게 유도된 함수는 아니다. 이번 버전은 이를 내부 계산에 실제로 넣어 결과를 낸다. 원천으로 해석한 유효 응력과 수정된 기하를 한 계산에서 두 번 더하지 않는다.</w:t>
      </w:r>
    </w:p>
    <w:p>
      <w:pPr>
        <w:pStyle w:val="BodyText"/>
        <w:ind w:firstLine="0"/>
        <w:jc w:val="left"/>
      </w:pPr>
      <w:r>
        <w:t xml:space="preserve">B_C의 구형 정적 기하 응답에는 다음 작용을 구성할 수 있다. x=g/a_T=yν(y)이고 μ(x)=y/x로 정의한다.</w:t>
      </w:r>
    </w:p>
    <w:p>
      <w:pPr>
        <w:pStyle w:val="BodyText"/>
        <w:ind w:firstLine="0"/>
        <w:jc w:val="left"/>
      </w:pPr>
      <m:oMathPara>
        <m:oMathParaPr>
          <m:jc m:val="center"/>
        </m:oMathParaPr>
        <m:oMath>
          <m:r>
            <m:t>E</m:t>
          </m:r>
          <m:d>
            <m:dPr>
              <m:begChr m:val="["/>
              <m:endChr m:val="]"/>
              <m:sepChr m:val=""/>
              <m:grow/>
            </m:dPr>
            <m:e>
              <m:r>
                <m:t>Φ</m:t>
              </m:r>
            </m:e>
          </m:d>
          <m:r>
            <m:rPr>
              <m:sty m:val="p"/>
            </m:rPr>
            <m:t>=</m:t>
          </m:r>
          <m:r>
            <m:rPr>
              <m:sty m:val="p"/>
            </m:rPr>
            <m:t>∫</m:t>
          </m:r>
          <m:sSup>
            <m:e>
              <m:r>
                <m:t>d</m:t>
              </m:r>
            </m:e>
            <m:sup>
              <m:r>
                <m:t>3</m:t>
              </m:r>
            </m:sup>
          </m:sSup>
          <m:r>
            <m:t>x</m:t>
          </m:r>
          <m:d>
            <m:dPr>
              <m:begChr m:val="["/>
              <m:endChr m:val="]"/>
              <m:sepChr m:val=""/>
              <m:grow/>
            </m:dPr>
            <m:e>
              <m:f>
                <m:fPr>
                  <m:type m:val="bar"/>
                </m:fPr>
                <m:num>
                  <m:sSubSup>
                    <m:e>
                      <m:r>
                        <m:t>a</m:t>
                      </m:r>
                    </m:e>
                    <m:sub>
                      <m:r>
                        <m:t>T</m:t>
                      </m:r>
                    </m:sub>
                    <m:sup>
                      <m:r>
                        <m:t>2</m:t>
                      </m:r>
                    </m:sup>
                  </m:sSubSup>
                </m:num>
                <m:den>
                  <m:r>
                    <m:t>8</m:t>
                  </m:r>
                  <m:r>
                    <m:t>π</m:t>
                  </m:r>
                  <m:r>
                    <m:t>G</m:t>
                  </m:r>
                </m:den>
              </m:f>
              <m:r>
                <m:t>F</m:t>
              </m:r>
              <m:d>
                <m:dPr>
                  <m:begChr m:val="("/>
                  <m:endChr m:val=")"/>
                  <m:sepChr m:val=""/>
                  <m:grow/>
                </m:dPr>
                <m:e>
                  <m:r>
                    <m:t>Y</m:t>
                  </m:r>
                </m:e>
              </m:d>
              <m:r>
                <m:rPr>
                  <m:sty m:val="p"/>
                </m:rPr>
                <m:t>+</m:t>
              </m:r>
              <m:sSub>
                <m:e>
                  <m:r>
                    <m:t>ρ</m:t>
                  </m:r>
                </m:e>
                <m:sub>
                  <m:r>
                    <m:t>b</m:t>
                  </m:r>
                </m:sub>
              </m:sSub>
              <m:r>
                <m:t>Φ</m:t>
              </m:r>
            </m:e>
          </m:d>
          <m:r>
            <m:rPr>
              <m:sty m:val="p"/>
            </m:rPr>
            <m:t>,</m:t>
          </m:r>
          <m:r>
            <m:t> </m:t>
          </m:r>
          <m:r>
            <m:t>Y</m:t>
          </m:r>
          <m:r>
            <m:rPr>
              <m:sty m:val="p"/>
            </m:rPr>
            <m:t>=</m:t>
          </m:r>
          <m:f>
            <m:fPr>
              <m:type m:val="bar"/>
            </m:fPr>
            <m:num>
              <m:sSup>
                <m:e>
                  <m:d>
                    <m:dPr>
                      <m:begChr m:val="|"/>
                      <m:endChr m:val="|"/>
                      <m:sepChr m:val=""/>
                      <m:grow/>
                    </m:dPr>
                    <m:e>
                      <m:r>
                        <m:rPr>
                          <m:sty m:val="p"/>
                        </m:rPr>
                        <m:t>∇</m:t>
                      </m:r>
                      <m:r>
                        <m:t>Φ</m:t>
                      </m:r>
                    </m:e>
                  </m:d>
                </m:e>
                <m:sup>
                  <m:r>
                    <m:t>2</m:t>
                  </m:r>
                </m:sup>
              </m:sSup>
            </m:num>
            <m:den>
              <m:sSubSup>
                <m:e>
                  <m:r>
                    <m:t>a</m:t>
                  </m:r>
                </m:e>
                <m:sub>
                  <m:r>
                    <m:t>T</m:t>
                  </m:r>
                </m:sub>
                <m:sup>
                  <m:r>
                    <m:t>2</m:t>
                  </m:r>
                </m:sup>
              </m:sSubSup>
            </m:den>
          </m:f>
          <m:r>
            <m:rPr>
              <m:sty m:val="p"/>
            </m:rPr>
            <m:t>,</m:t>
          </m:r>
          <m:r>
            <m:t> </m:t>
          </m:r>
          <m:sSub>
            <m:e>
              <m:r>
                <m:t>F</m:t>
              </m:r>
            </m:e>
            <m:sub>
              <m:r>
                <m:t>Y</m:t>
              </m:r>
            </m:sub>
          </m:sSub>
          <m:r>
            <m:rPr>
              <m:sty m:val="p"/>
            </m:rPr>
            <m:t>=</m:t>
          </m:r>
          <m:r>
            <m:t>μ</m:t>
          </m:r>
          <m:r>
            <m:rPr>
              <m:sty m:val="p"/>
            </m:rPr>
            <m:t>.</m:t>
          </m:r>
          <m:r>
            <m:rPr>
              <m:sty m:val="p"/>
            </m:rPr>
            <m:t xml:space="preserve">   (9)</m:t>
          </m:r>
        </m:oMath>
      </m:oMathPara>
    </w:p>
    <w:p>
      <w:pPr>
        <w:pStyle w:val="FirstParagraph"/>
        <w:ind w:firstLine="0"/>
        <w:jc w:val="left"/>
      </w:pPr>
      <m:oMathPara>
        <m:oMathParaPr>
          <m:jc m:val="center"/>
        </m:oMathParaPr>
        <m:oMath>
          <m:r>
            <m:rPr>
              <m:sty m:val="p"/>
            </m:rPr>
            <m:t>∇</m:t>
          </m:r>
          <m:r>
            <m:t>​</m:t>
          </m:r>
          <m:r>
            <m:rPr>
              <m:sty m:val="p"/>
            </m:rPr>
            <m:t>⋅</m:t>
          </m:r>
          <m:r>
            <m:t>​</m:t>
          </m:r>
          <m:d>
            <m:dPr>
              <m:begChr m:val="["/>
              <m:endChr m:val="]"/>
              <m:sepChr m:val=""/>
              <m:grow/>
            </m:dPr>
            <m:e>
              <m:r>
                <m:t>μ</m:t>
              </m:r>
              <m:d>
                <m:dPr>
                  <m:begChr m:val="("/>
                  <m:endChr m:val=")"/>
                  <m:sepChr m:val=""/>
                  <m:grow/>
                </m:dPr>
                <m:e>
                  <m:d>
                    <m:dPr>
                      <m:begChr m:val="|"/>
                      <m:endChr m:val="|"/>
                      <m:sepChr m:val=""/>
                      <m:grow/>
                    </m:dPr>
                    <m:e>
                      <m:r>
                        <m:rPr>
                          <m:sty m:val="p"/>
                        </m:rPr>
                        <m:t>∇</m:t>
                      </m:r>
                      <m:r>
                        <m:t>Φ</m:t>
                      </m:r>
                    </m:e>
                  </m:d>
                  <m:r>
                    <m:rPr>
                      <m:sty m:val="p"/>
                    </m:rPr>
                    <m:t>/</m:t>
                  </m:r>
                  <m:sSub>
                    <m:e>
                      <m:r>
                        <m:t>a</m:t>
                      </m:r>
                    </m:e>
                    <m:sub>
                      <m:r>
                        <m:t>T</m:t>
                      </m:r>
                    </m:sub>
                  </m:sSub>
                </m:e>
              </m:d>
              <m:r>
                <m:rPr>
                  <m:sty m:val="p"/>
                </m:rPr>
                <m:t>∇</m:t>
              </m:r>
              <m:r>
                <m:t>Φ</m:t>
              </m:r>
            </m:e>
          </m:d>
          <m:r>
            <m:rPr>
              <m:sty m:val="p"/>
            </m:rPr>
            <m:t>=</m:t>
          </m:r>
          <m:r>
            <m:t>4</m:t>
          </m:r>
          <m:r>
            <m:t>π</m:t>
          </m:r>
          <m:r>
            <m:t>G</m:t>
          </m:r>
          <m:sSub>
            <m:e>
              <m:r>
                <m:t>ρ</m:t>
              </m:r>
            </m:e>
            <m:sub>
              <m:r>
                <m:t>b</m:t>
              </m:r>
            </m:sub>
          </m:sSub>
          <m:r>
            <m:rPr>
              <m:sty m:val="p"/>
            </m:rPr>
            <m:t>.</m:t>
          </m:r>
          <m:r>
            <m:rPr>
              <m:sty m:val="p"/>
            </m:rPr>
            <m:t xml:space="preserve">   (10)</m:t>
          </m:r>
        </m:oMath>
      </m:oMathPara>
    </w:p>
    <w:p>
      <w:pPr>
        <w:pStyle w:val="FirstParagraph"/>
        <w:ind w:firstLine="0"/>
        <w:jc w:val="left"/>
      </w:pPr>
      <w:r>
        <w:t xml:space="preserve">이 정적 변분 골격은 기존 AQUAL 수학을 사용한다. 이번에 선택한 ν와 같은 구형 응답을 내도록 μ를 역으로 구성한다. 구형 밖에서는 QUMOND와 AQUAL을 동일한 방정식으로 취급하지 않는다. 식 (9)은 4차원 공변 작용의 완성이 아니다.</w:t>
      </w:r>
    </w:p>
    <w:p>
      <w:pPr>
        <w:pStyle w:val="BodyText"/>
        <w:ind w:firstLine="0"/>
        <w:jc w:val="left"/>
      </w:pPr>
      <m:oMathPara>
        <m:oMathParaPr>
          <m:jc m:val="center"/>
        </m:oMathParaPr>
        <m:oMath>
          <m:r>
            <m:t>F</m:t>
          </m:r>
          <m:d>
            <m:dPr>
              <m:begChr m:val="["/>
              <m:endChr m:val="]"/>
              <m:sepChr m:val=""/>
              <m:grow/>
            </m:dPr>
            <m:e>
              <m:r>
                <m:t>Y</m:t>
              </m:r>
              <m:d>
                <m:dPr>
                  <m:begChr m:val="("/>
                  <m:endChr m:val=")"/>
                  <m:sepChr m:val=""/>
                  <m:grow/>
                </m:dPr>
                <m:e>
                  <m:r>
                    <m:t>y</m:t>
                  </m:r>
                </m:e>
              </m:d>
            </m:e>
          </m:d>
          <m:r>
            <m:rPr>
              <m:sty m:val="p"/>
            </m:rPr>
            <m:t>=</m:t>
          </m:r>
          <m:nary>
            <m:naryPr>
              <m:chr m:val="∫"/>
              <m:limLoc m:val="subSup"/>
              <m:subHide m:val="off"/>
              <m:supHide m:val="off"/>
            </m:naryPr>
            <m:sub>
              <m:r>
                <m:t>0</m:t>
              </m:r>
            </m:sub>
            <m:sup>
              <m:r>
                <m:t>y</m:t>
              </m:r>
            </m:sup>
            <m:e>
              <m:r>
                <m:t>2</m:t>
              </m:r>
            </m:e>
          </m:nary>
          <m:r>
            <m:t>q</m:t>
          </m:r>
          <m:f>
            <m:fPr>
              <m:type m:val="bar"/>
            </m:fPr>
            <m:num>
              <m:r>
                <m:t>d</m:t>
              </m:r>
              <m:r>
                <m:t>x</m:t>
              </m:r>
            </m:num>
            <m:den>
              <m:r>
                <m:t>d</m:t>
              </m:r>
              <m:r>
                <m:t>q</m:t>
              </m:r>
            </m:den>
          </m:f>
          <m:r>
            <m:t> </m:t>
          </m:r>
          <m:r>
            <m:t>d</m:t>
          </m:r>
          <m:r>
            <m:t>q</m:t>
          </m:r>
          <m:r>
            <m:rPr>
              <m:sty m:val="p"/>
            </m:rPr>
            <m:t>,</m:t>
          </m:r>
          <m:r>
            <m:t>  </m:t>
          </m:r>
          <m:f>
            <m:fPr>
              <m:type m:val="bar"/>
            </m:fPr>
            <m:num>
              <m:r>
                <m:t>d</m:t>
              </m:r>
              <m:r>
                <m:t>x</m:t>
              </m:r>
            </m:num>
            <m:den>
              <m:r>
                <m:t>d</m:t>
              </m:r>
              <m:r>
                <m:t>y</m:t>
              </m:r>
            </m:den>
          </m:f>
          <m:r>
            <m:rPr>
              <m:sty m:val="p"/>
            </m:rPr>
            <m:t>=</m:t>
          </m:r>
          <m:f>
            <m:fPr>
              <m:type m:val="bar"/>
            </m:fPr>
            <m:num>
              <m:r>
                <m:t>1</m:t>
              </m:r>
              <m:r>
                <m:rPr>
                  <m:sty m:val="p"/>
                </m:rPr>
                <m:t>−</m:t>
              </m:r>
              <m:sSup>
                <m:e>
                  <m:r>
                    <m:t>e</m:t>
                  </m:r>
                </m:e>
                <m:sup>
                  <m:r>
                    <m:rPr>
                      <m:sty m:val="p"/>
                    </m:rPr>
                    <m:t>−</m:t>
                  </m:r>
                  <m:r>
                    <m:t>s</m:t>
                  </m:r>
                </m:sup>
              </m:sSup>
              <m:r>
                <m:rPr>
                  <m:sty m:val="p"/>
                </m:rPr>
                <m:t>−</m:t>
              </m:r>
              <m:d>
                <m:dPr>
                  <m:begChr m:val="("/>
                  <m:endChr m:val=")"/>
                  <m:sepChr m:val=""/>
                  <m:grow/>
                </m:dPr>
                <m:e>
                  <m:r>
                    <m:t>s</m:t>
                  </m:r>
                  <m:r>
                    <m:rPr>
                      <m:sty m:val="p"/>
                    </m:rPr>
                    <m:t>/</m:t>
                  </m:r>
                  <m:r>
                    <m:t>2</m:t>
                  </m:r>
                </m:e>
              </m:d>
              <m:sSup>
                <m:e>
                  <m:r>
                    <m:t>e</m:t>
                  </m:r>
                </m:e>
                <m:sup>
                  <m:r>
                    <m:rPr>
                      <m:sty m:val="p"/>
                    </m:rPr>
                    <m:t>−</m:t>
                  </m:r>
                  <m:r>
                    <m:t>s</m:t>
                  </m:r>
                </m:sup>
              </m:sSup>
            </m:num>
            <m:den>
              <m:sSup>
                <m:e>
                  <m:d>
                    <m:dPr>
                      <m:begChr m:val="("/>
                      <m:endChr m:val=")"/>
                      <m:sepChr m:val=""/>
                      <m:grow/>
                    </m:dPr>
                    <m:e>
                      <m:r>
                        <m:t>1</m:t>
                      </m:r>
                      <m:r>
                        <m:rPr>
                          <m:sty m:val="p"/>
                        </m:rPr>
                        <m:t>−</m:t>
                      </m:r>
                      <m:sSup>
                        <m:e>
                          <m:r>
                            <m:t>e</m:t>
                          </m:r>
                        </m:e>
                        <m:sup>
                          <m:r>
                            <m:rPr>
                              <m:sty m:val="p"/>
                            </m:rPr>
                            <m:t>−</m:t>
                          </m:r>
                          <m:r>
                            <m:t>s</m:t>
                          </m:r>
                        </m:sup>
                      </m:sSup>
                    </m:e>
                  </m:d>
                </m:e>
                <m:sup>
                  <m:r>
                    <m:t>2</m:t>
                  </m:r>
                </m:sup>
              </m:sSup>
            </m:den>
          </m:f>
          <m:r>
            <m:rPr>
              <m:sty m:val="p"/>
            </m:rPr>
            <m:t>&gt;</m:t>
          </m:r>
          <m:r>
            <m:t>0</m:t>
          </m:r>
          <m:r>
            <m:rPr>
              <m:sty m:val="p"/>
            </m:rPr>
            <m:t>,</m:t>
          </m:r>
          <m:r>
            <m:t> </m:t>
          </m:r>
          <m:r>
            <m:t>s</m:t>
          </m:r>
          <m:r>
            <m:rPr>
              <m:sty m:val="p"/>
            </m:rPr>
            <m:t>=</m:t>
          </m:r>
          <m:rad>
            <m:radPr>
              <m:degHide m:val="on"/>
            </m:radPr>
            <m:deg/>
            <m:e>
              <m:r>
                <m:t>y</m:t>
              </m:r>
            </m:e>
          </m:rad>
          <m:r>
            <m:rPr>
              <m:sty m:val="p"/>
            </m:rPr>
            <m:t>&gt;</m:t>
          </m:r>
          <m:r>
            <m:t>0</m:t>
          </m:r>
          <m:r>
            <m:rPr>
              <m:sty m:val="p"/>
            </m:rPr>
            <m:t>.</m:t>
          </m:r>
          <m:r>
            <m:rPr>
              <m:sty m:val="p"/>
            </m:rPr>
            <m:t xml:space="preserve">   (11)</m:t>
          </m:r>
        </m:oMath>
      </m:oMathPara>
    </w:p>
    <w:p>
      <w:pPr>
        <w:pStyle w:val="FirstParagraph"/>
        <w:ind w:firstLine="0"/>
        <w:jc w:val="left"/>
      </w:pPr>
      <w:r>
        <w:t xml:space="preserve">양의성은 eˢ&gt;1+s/2에서 따른다. 정적 변분의 횡방향 고유값 μ와 종방향 고유값 d(μx)/dx=dy/dx는 x&gt;0에서 양수다. 코드의 수치 미분은 dF/dY=μ를 최대 상대오차 4.11×10⁻¹⁰ 이내로 재현했다. g=0에서는 방정식이 퇴화하므로 엄격한 타원성 검사는 중심을 제외한다. 이 결과를 공변 모형 전체의 안정성이나 인과성 증명으로 확장하지 않는다.</w:t>
      </w:r>
    </w:p>
    <w:bookmarkEnd w:id="27"/>
    <w:bookmarkStart w:id="28" w:name="유한-구형-계산과-암흑질량-장부"/>
    <w:p>
      <w:pPr>
        <w:pStyle w:val="Heading2"/>
        <w:ind w:firstLine="0"/>
        <w:jc w:val="left"/>
      </w:pPr>
      <w:r>
        <w:t xml:space="preserve">유한 구형 계산과 암흑질량 장부</w:t>
      </w:r>
    </w:p>
    <w:p>
      <w:pPr>
        <w:pStyle w:val="FirstParagraph"/>
        <w:ind w:firstLine="0"/>
        <w:jc w:val="left"/>
      </w:pPr>
      <w:r>
        <w:t xml:space="preserve">구형 시험 원천은 총 바리온 질량 6×10¹⁰ 태양질량, Plummer 척도 b=3 kpc다. 실제 우리 은하의 모형과 구별되는 재현용 입력이다. 계산 패치는 반경 200 kpc로 선언한다.</w:t>
      </w:r>
    </w:p>
    <w:p>
      <w:pPr>
        <w:pStyle w:val="BodyText"/>
        <w:ind w:firstLine="0"/>
        <w:jc w:val="left"/>
      </w:pPr>
      <m:oMathPara>
        <m:oMathParaPr>
          <m:jc m:val="center"/>
        </m:oMathParaPr>
        <m:oMath>
          <m:sSub>
            <m:e>
              <m:r>
                <m:t>M</m:t>
              </m:r>
            </m:e>
            <m:sub>
              <m:r>
                <m:t>b</m:t>
              </m:r>
            </m:sub>
          </m:sSub>
          <m:d>
            <m:dPr>
              <m:begChr m:val="("/>
              <m:endChr m:val=")"/>
              <m:sepChr m:val=""/>
              <m:grow/>
            </m:dPr>
            <m:e>
              <m:r>
                <m:rPr>
                  <m:sty m:val="p"/>
                </m:rPr>
                <m:t>&lt;</m:t>
              </m:r>
              <m:r>
                <m:t>r</m:t>
              </m:r>
            </m:e>
          </m:d>
          <m:r>
            <m:rPr>
              <m:sty m:val="p"/>
            </m:rPr>
            <m:t>=</m:t>
          </m:r>
          <m:r>
            <m:t>M</m:t>
          </m:r>
          <m:f>
            <m:fPr>
              <m:type m:val="bar"/>
            </m:fPr>
            <m:num>
              <m:sSup>
                <m:e>
                  <m:r>
                    <m:t>r</m:t>
                  </m:r>
                </m:e>
                <m:sup>
                  <m:r>
                    <m:t>3</m:t>
                  </m:r>
                </m:sup>
              </m:sSup>
            </m:num>
            <m:den>
              <m:sSup>
                <m:e>
                  <m:d>
                    <m:dPr>
                      <m:begChr m:val="("/>
                      <m:endChr m:val=")"/>
                      <m:sepChr m:val=""/>
                      <m:grow/>
                    </m:dPr>
                    <m:e>
                      <m:sSup>
                        <m:e>
                          <m:r>
                            <m:t>r</m:t>
                          </m:r>
                        </m:e>
                        <m:sup>
                          <m:r>
                            <m:t>2</m:t>
                          </m:r>
                        </m:sup>
                      </m:sSup>
                      <m:r>
                        <m:rPr>
                          <m:sty m:val="p"/>
                        </m:rPr>
                        <m:t>+</m:t>
                      </m:r>
                      <m:sSup>
                        <m:e>
                          <m:r>
                            <m:t>b</m:t>
                          </m:r>
                        </m:e>
                        <m:sup>
                          <m:r>
                            <m:t>2</m:t>
                          </m:r>
                        </m:sup>
                      </m:sSup>
                    </m:e>
                  </m:d>
                </m:e>
                <m:sup>
                  <m:r>
                    <m:t>3</m:t>
                  </m:r>
                  <m:r>
                    <m:rPr>
                      <m:sty m:val="p"/>
                    </m:rPr>
                    <m:t>/</m:t>
                  </m:r>
                  <m:r>
                    <m:t>2</m:t>
                  </m:r>
                </m:sup>
              </m:sSup>
            </m:den>
          </m:f>
          <m:r>
            <m:rPr>
              <m:sty m:val="p"/>
            </m:rPr>
            <m:t>,</m:t>
          </m:r>
          <m:r>
            <m:t>  </m:t>
          </m:r>
          <m:sSub>
            <m:e>
              <m:r>
                <m:t>g</m:t>
              </m:r>
            </m:e>
            <m:sub>
              <m:r>
                <m:t>M</m:t>
              </m:r>
            </m:sub>
          </m:sSub>
          <m:r>
            <m:rPr>
              <m:sty m:val="p"/>
            </m:rPr>
            <m:t>=</m:t>
          </m:r>
          <m:f>
            <m:fPr>
              <m:type m:val="bar"/>
            </m:fPr>
            <m:num>
              <m:r>
                <m:t>G</m:t>
              </m:r>
              <m:sSub>
                <m:e>
                  <m:r>
                    <m:t>M</m:t>
                  </m:r>
                </m:e>
                <m:sub>
                  <m:r>
                    <m:t>b</m:t>
                  </m:r>
                </m:sub>
              </m:sSub>
              <m:d>
                <m:dPr>
                  <m:begChr m:val="("/>
                  <m:endChr m:val=")"/>
                  <m:sepChr m:val=""/>
                  <m:grow/>
                </m:dPr>
                <m:e>
                  <m:r>
                    <m:rPr>
                      <m:sty m:val="p"/>
                    </m:rPr>
                    <m:t>&lt;</m:t>
                  </m:r>
                  <m:r>
                    <m:t>r</m:t>
                  </m:r>
                </m:e>
              </m:d>
            </m:num>
            <m:den>
              <m:sSup>
                <m:e>
                  <m:r>
                    <m:t>r</m:t>
                  </m:r>
                </m:e>
                <m:sup>
                  <m:r>
                    <m:t>2</m:t>
                  </m:r>
                </m:sup>
              </m:sSup>
            </m:den>
          </m:f>
          <m:r>
            <m:rPr>
              <m:sty m:val="p"/>
            </m:rPr>
            <m:t>,</m:t>
          </m:r>
          <m:r>
            <m:t>  </m:t>
          </m:r>
          <m:sSubSup>
            <m:e>
              <m:r>
                <m:t>v</m:t>
              </m:r>
            </m:e>
            <m:sub>
              <m:r>
                <m:t>c</m:t>
              </m:r>
            </m:sub>
            <m:sup>
              <m:r>
                <m:t>2</m:t>
              </m:r>
            </m:sup>
          </m:sSubSup>
          <m:r>
            <m:rPr>
              <m:sty m:val="p"/>
            </m:rPr>
            <m:t>=</m:t>
          </m:r>
          <m:r>
            <m:t>r</m:t>
          </m:r>
          <m:r>
            <m:t>g</m:t>
          </m:r>
          <m:r>
            <m:rPr>
              <m:sty m:val="p"/>
            </m:rPr>
            <m:t>.</m:t>
          </m:r>
          <m:r>
            <m:rPr>
              <m:sty m:val="p"/>
            </m:rPr>
            <m:t xml:space="preserve">   (12)</m:t>
          </m:r>
        </m:oMath>
      </m:oMathPara>
    </w:p>
    <w:p>
      <w:pPr>
        <w:pStyle w:val="FirstParagraph"/>
        <w:ind w:firstLine="0"/>
        <w:jc w:val="left"/>
      </w:pPr>
      <m:oMathPara>
        <m:oMathParaPr>
          <m:jc m:val="center"/>
        </m:oMathParaPr>
        <m:oMath>
          <m:sSub>
            <m:e>
              <m:r>
                <m:t>M</m:t>
              </m:r>
            </m:e>
            <m:sub>
              <m:r>
                <m:t>T</m:t>
              </m:r>
              <m:r>
                <m:rPr>
                  <m:sty m:val="p"/>
                </m:rPr>
                <m:t>,</m:t>
              </m:r>
              <m:r>
                <m:rPr>
                  <m:sty m:val="p"/>
                </m:rPr>
                <m:t>e</m:t>
              </m:r>
              <m:r>
                <m:rPr>
                  <m:sty m:val="p"/>
                </m:rPr>
                <m:t>f</m:t>
              </m:r>
              <m:r>
                <m:rPr>
                  <m:sty m:val="p"/>
                </m:rPr>
                <m:t>f</m:t>
              </m:r>
            </m:sub>
          </m:sSub>
          <m:d>
            <m:dPr>
              <m:begChr m:val="("/>
              <m:endChr m:val=")"/>
              <m:sepChr m:val=""/>
              <m:grow/>
            </m:dPr>
            <m:e>
              <m:r>
                <m:rPr>
                  <m:sty m:val="p"/>
                </m:rPr>
                <m:t>&lt;</m:t>
              </m:r>
              <m:r>
                <m:t>r</m:t>
              </m:r>
            </m:e>
          </m:d>
          <m:r>
            <m:rPr>
              <m:sty m:val="p"/>
            </m:rPr>
            <m:t>=</m:t>
          </m:r>
          <m:f>
            <m:fPr>
              <m:type m:val="bar"/>
            </m:fPr>
            <m:num>
              <m:sSup>
                <m:e>
                  <m:r>
                    <m:t>r</m:t>
                  </m:r>
                </m:e>
                <m:sup>
                  <m:r>
                    <m:t>2</m:t>
                  </m:r>
                </m:sup>
              </m:sSup>
              <m:sSub>
                <m:e>
                  <m:r>
                    <m:t>g</m:t>
                  </m:r>
                </m:e>
                <m:sub>
                  <m:r>
                    <m:t>T</m:t>
                  </m:r>
                </m:sub>
              </m:sSub>
            </m:num>
            <m:den>
              <m:r>
                <m:t>G</m:t>
              </m:r>
            </m:den>
          </m:f>
          <m:r>
            <m:rPr>
              <m:sty m:val="p"/>
            </m:rPr>
            <m:t>,</m:t>
          </m:r>
          <m:r>
            <m:t>  </m:t>
          </m:r>
          <m:sSub>
            <m:e>
              <m:r>
                <m:t>ρ</m:t>
              </m:r>
            </m:e>
            <m:sub>
              <m:r>
                <m:t>T</m:t>
              </m:r>
              <m:r>
                <m:rPr>
                  <m:sty m:val="p"/>
                </m:rPr>
                <m:t>,</m:t>
              </m:r>
              <m:r>
                <m:rPr>
                  <m:sty m:val="p"/>
                </m:rPr>
                <m:t>e</m:t>
              </m:r>
              <m:r>
                <m:rPr>
                  <m:sty m:val="p"/>
                </m:rPr>
                <m:t>f</m:t>
              </m:r>
              <m:r>
                <m:rPr>
                  <m:sty m:val="p"/>
                </m:rPr>
                <m:t>f</m:t>
              </m:r>
            </m:sub>
          </m:sSub>
          <m:r>
            <m:rPr>
              <m:sty m:val="p"/>
            </m:rPr>
            <m:t>=</m:t>
          </m:r>
          <m:f>
            <m:fPr>
              <m:type m:val="bar"/>
            </m:fPr>
            <m:num>
              <m:r>
                <m:t>1</m:t>
              </m:r>
            </m:num>
            <m:den>
              <m:r>
                <m:t>4</m:t>
              </m:r>
              <m:r>
                <m:t>π</m:t>
              </m:r>
              <m:sSup>
                <m:e>
                  <m:r>
                    <m:t>r</m:t>
                  </m:r>
                </m:e>
                <m:sup>
                  <m:r>
                    <m:t>2</m:t>
                  </m:r>
                </m:sup>
              </m:sSup>
            </m:den>
          </m:f>
          <m:f>
            <m:fPr>
              <m:type m:val="bar"/>
            </m:fPr>
            <m:num>
              <m:r>
                <m:t>d</m:t>
              </m:r>
              <m:sSub>
                <m:e>
                  <m:r>
                    <m:t>M</m:t>
                  </m:r>
                </m:e>
                <m:sub>
                  <m:r>
                    <m:t>T</m:t>
                  </m:r>
                  <m:r>
                    <m:rPr>
                      <m:sty m:val="p"/>
                    </m:rPr>
                    <m:t>,</m:t>
                  </m:r>
                  <m:r>
                    <m:rPr>
                      <m:sty m:val="p"/>
                    </m:rPr>
                    <m:t>e</m:t>
                  </m:r>
                  <m:r>
                    <m:rPr>
                      <m:sty m:val="p"/>
                    </m:rPr>
                    <m:t>f</m:t>
                  </m:r>
                  <m:r>
                    <m:rPr>
                      <m:sty m:val="p"/>
                    </m:rPr>
                    <m:t>f</m:t>
                  </m:r>
                </m:sub>
              </m:sSub>
            </m:num>
            <m:den>
              <m:r>
                <m:t>d</m:t>
              </m:r>
              <m:r>
                <m:t>r</m:t>
              </m:r>
            </m:den>
          </m:f>
          <m:r>
            <m:rPr>
              <m:sty m:val="p"/>
            </m:rPr>
            <m:t>.</m:t>
          </m:r>
          <m:r>
            <m:rPr>
              <m:sty m:val="p"/>
            </m:rPr>
            <m:t xml:space="preserve">   (13)</m:t>
          </m:r>
        </m:oMath>
      </m:oMathPara>
    </w:p>
    <w:p>
      <w:pPr>
        <w:pStyle w:val="FirstParagraph"/>
        <w:ind w:firstLine="0"/>
        <w:jc w:val="left"/>
      </w:pPr>
      <w:r>
        <w:t xml:space="preserve">식 (13)은 같은 기하의 추가 효과를 뉴턴식 질량으로 환산한 장부다. 양자화된 암흑입자의 개수나 물질 정지질량을 뜻하지 않는다. 국소 미시 뒤틀림률 κ(r)을 식 (13)에서 직접 측정한 것처럼 보고하지 않는다.</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tblGrid>
      <w:tr>
        <w:trPr>
          <w:tblHeader w:val="true"/>
          <w:tblHeader/>
        </w:trPr>
        <w:tc>
          <w:tcPr>
            <w:vAlign w:val="center"/>
            <w:shd w:fill="E5EBF0"/>
            <w:tcMar>
              <w:top w:w="90" w:type="dxa"/>
              <w:left w:w="90" w:type="dxa"/>
              <w:bottom w:w="90" w:type="dxa"/>
              <w:right w:w="90" w:type="dxa"/>
            </w:tcMar>
          </w:tcPr>
          <w:p>
            <w:pPr>
              <w:pStyle w:val="Compact"/>
              <w:spacing w:after="60" w:before="60" w:line="264" w:lineRule="auto"/>
              <w:jc w:val="left"/>
            </w:pPr>
            <w:r>
              <w:rPr>
                <w:b/>
                <w:sz w:val="19"/>
              </w:rPr>
              <w:t xml:space="preserve">반경 kpc</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직접 속도 km/s</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전체 속도 km/s</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추가 중력 / 직접 중력</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등가 응력질량 태양질량</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1</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90.34</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102.65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0.291</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5.523e+08</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3</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174.39</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193.78</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0.235</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4.979e+09</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8.2</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161.45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207.51</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0.652</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3.240e+10</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20</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111.71</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192.26</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1.962</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1.139e+11</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50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71.65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182.65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5.499</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3.282e+11</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100</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50.77</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179.14</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11.453</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6.862e+11</w:t>
            </w:r>
          </w:p>
        </w:tc>
      </w:tr>
    </w:tbl>
    <w:p>
      <w:pPr>
        <w:pStyle w:val="BodyText"/>
        <w:ind w:firstLine="0"/>
        <w:jc w:val="left"/>
      </w:pPr>
      <w:r>
        <w:t xml:space="preserve">낮은 가속도에서는 g≈√(a_Tg_M)와 v_f⁴=GMa_T를 얻는다. 시험 원천의 깊은 영역 속도척도는 175.5177 km/s다. 100 kpc의 속도가 이 값보다 조금 큰 것은 고정된 전이응답의 효과다. 0.01∼200 kpc 패치에서 유효 응력밀도는 음수가 되지 않았고, 구형 플럭스 보존의 최대 상대오차는 3.42×10⁻¹⁶이었다. 패치 밖 전역 응력 및 유한 우주의 접합조건은 이번 계산에서 정하지 않는다.</w:t>
      </w:r>
    </w:p>
    <w:bookmarkEnd w:id="28"/>
    <w:bookmarkStart w:id="29" w:name="같은-기하의-조건부-렌즈-계산"/>
    <w:p>
      <w:pPr>
        <w:pStyle w:val="Heading2"/>
        <w:ind w:firstLine="0"/>
        <w:jc w:val="left"/>
      </w:pPr>
      <w:r>
        <w:t xml:space="preserve">같은 기하의 조건부 렌즈 계산</w:t>
      </w:r>
    </w:p>
    <w:p>
      <w:pPr>
        <w:pStyle w:val="FirstParagraph"/>
        <w:ind w:firstLine="0"/>
        <w:jc w:val="left"/>
      </w:pPr>
      <w:r>
        <w:t xml:space="preserve">개별 응력 논문의 조건 Φ=Ψ를 사용해 같은 퍼텐셜의 광선 편향을 계산한다. 이는 공변 완성에서 확인해야 하는 조건이다.</w:t>
      </w:r>
    </w:p>
    <w:p>
      <w:pPr>
        <w:pStyle w:val="BodyText"/>
        <w:ind w:firstLine="0"/>
        <w:jc w:val="left"/>
      </w:pPr>
      <m:oMathPara>
        <m:oMathParaPr>
          <m:jc m:val="center"/>
        </m:oMathParaPr>
        <m:oMath>
          <m:sSub>
            <m:e>
              <m:acc>
                <m:accPr>
                  <m:chr m:val="̂"/>
                </m:accPr>
                <m:e>
                  <m:r>
                    <m:t>α</m:t>
                  </m:r>
                </m:e>
              </m:acc>
            </m:e>
            <m:sub>
              <m:r>
                <m:t>R</m:t>
              </m:r>
            </m:sub>
          </m:sSub>
          <m:d>
            <m:dPr>
              <m:begChr m:val="("/>
              <m:endChr m:val=")"/>
              <m:sepChr m:val=""/>
              <m:grow/>
            </m:dPr>
            <m:e>
              <m:r>
                <m:t>b</m:t>
              </m:r>
            </m:e>
          </m:d>
          <m:r>
            <m:rPr>
              <m:sty m:val="p"/>
            </m:rPr>
            <m:t>=</m:t>
          </m:r>
          <m:f>
            <m:fPr>
              <m:type m:val="bar"/>
            </m:fPr>
            <m:num>
              <m:r>
                <m:t>2</m:t>
              </m:r>
            </m:num>
            <m:den>
              <m:sSup>
                <m:e>
                  <m:r>
                    <m:t>c</m:t>
                  </m:r>
                </m:e>
                <m:sup>
                  <m:r>
                    <m:t>2</m:t>
                  </m:r>
                </m:sup>
              </m:sSup>
            </m:den>
          </m:f>
          <m:nary>
            <m:naryPr>
              <m:chr m:val="∫"/>
              <m:limLoc m:val="subSup"/>
              <m:subHide m:val="off"/>
              <m:supHide m:val="off"/>
            </m:naryPr>
            <m:sub>
              <m:r>
                <m:rPr>
                  <m:sty m:val="p"/>
                </m:rPr>
                <m:t>−</m:t>
              </m:r>
              <m:rad>
                <m:radPr>
                  <m:degHide m:val="on"/>
                </m:radPr>
                <m:deg/>
                <m:e>
                  <m:sSup>
                    <m:e>
                      <m:r>
                        <m:t>R</m:t>
                      </m:r>
                    </m:e>
                    <m:sup>
                      <m:r>
                        <m:t>2</m:t>
                      </m:r>
                    </m:sup>
                  </m:sSup>
                  <m:r>
                    <m:rPr>
                      <m:sty m:val="p"/>
                    </m:rPr>
                    <m:t>−</m:t>
                  </m:r>
                  <m:sSup>
                    <m:e>
                      <m:r>
                        <m:t>b</m:t>
                      </m:r>
                    </m:e>
                    <m:sup>
                      <m:r>
                        <m:t>2</m:t>
                      </m:r>
                    </m:sup>
                  </m:sSup>
                </m:e>
              </m:rad>
            </m:sub>
            <m:sup>
              <m:rad>
                <m:radPr>
                  <m:degHide m:val="on"/>
                </m:radPr>
                <m:deg/>
                <m:e>
                  <m:sSup>
                    <m:e>
                      <m:r>
                        <m:t>R</m:t>
                      </m:r>
                    </m:e>
                    <m:sup>
                      <m:r>
                        <m:t>2</m:t>
                      </m:r>
                    </m:sup>
                  </m:sSup>
                  <m:r>
                    <m:rPr>
                      <m:sty m:val="p"/>
                    </m:rPr>
                    <m:t>−</m:t>
                  </m:r>
                  <m:sSup>
                    <m:e>
                      <m:r>
                        <m:t>b</m:t>
                      </m:r>
                    </m:e>
                    <m:sup>
                      <m:r>
                        <m:t>2</m:t>
                      </m:r>
                    </m:sup>
                  </m:sSup>
                </m:e>
              </m:rad>
            </m:sup>
            <m:e>
              <m:r>
                <m:t>g</m:t>
              </m:r>
            </m:e>
          </m:nary>
          <m:d>
            <m:dPr>
              <m:begChr m:val="("/>
              <m:endChr m:val=")"/>
              <m:sepChr m:val=""/>
              <m:grow/>
            </m:dPr>
            <m:e>
              <m:rad>
                <m:radPr>
                  <m:degHide m:val="on"/>
                </m:radPr>
                <m:deg/>
                <m:e>
                  <m:sSup>
                    <m:e>
                      <m:r>
                        <m:t>b</m:t>
                      </m:r>
                    </m:e>
                    <m:sup>
                      <m:r>
                        <m:t>2</m:t>
                      </m:r>
                    </m:sup>
                  </m:sSup>
                  <m:r>
                    <m:rPr>
                      <m:sty m:val="p"/>
                    </m:rPr>
                    <m:t>+</m:t>
                  </m:r>
                  <m:sSup>
                    <m:e>
                      <m:r>
                        <m:t>z</m:t>
                      </m:r>
                    </m:e>
                    <m:sup>
                      <m:r>
                        <m:t>2</m:t>
                      </m:r>
                    </m:sup>
                  </m:sSup>
                </m:e>
              </m:rad>
            </m:e>
          </m:d>
          <m:f>
            <m:fPr>
              <m:type m:val="bar"/>
            </m:fPr>
            <m:num>
              <m:r>
                <m:t>b</m:t>
              </m:r>
            </m:num>
            <m:den>
              <m:rad>
                <m:radPr>
                  <m:degHide m:val="on"/>
                </m:radPr>
                <m:deg/>
                <m:e>
                  <m:sSup>
                    <m:e>
                      <m:r>
                        <m:t>b</m:t>
                      </m:r>
                    </m:e>
                    <m:sup>
                      <m:r>
                        <m:t>2</m:t>
                      </m:r>
                    </m:sup>
                  </m:sSup>
                  <m:r>
                    <m:rPr>
                      <m:sty m:val="p"/>
                    </m:rPr>
                    <m:t>+</m:t>
                  </m:r>
                  <m:sSup>
                    <m:e>
                      <m:r>
                        <m:t>z</m:t>
                      </m:r>
                    </m:e>
                    <m:sup>
                      <m:r>
                        <m:t>2</m:t>
                      </m:r>
                    </m:sup>
                  </m:sSup>
                </m:e>
              </m:rad>
            </m:den>
          </m:f>
          <m:r>
            <m:t> </m:t>
          </m:r>
          <m:r>
            <m:t>d</m:t>
          </m:r>
          <m:r>
            <m:t>z</m:t>
          </m:r>
          <m:r>
            <m:rPr>
              <m:sty m:val="p"/>
            </m:rPr>
            <m:t>.</m:t>
          </m:r>
          <m:r>
            <m:rPr>
              <m:sty m:val="p"/>
            </m:rPr>
            <m:t xml:space="preserve">   (14)</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trPr>
        <w:tc>
          <w:tcPr>
            <w:vAlign w:val="center"/>
            <w:shd w:fill="E5EBF0"/>
            <w:tcMar>
              <w:top w:w="90" w:type="dxa"/>
              <w:left w:w="90" w:type="dxa"/>
              <w:bottom w:w="90" w:type="dxa"/>
              <w:right w:w="90" w:type="dxa"/>
            </w:tcMar>
          </w:tcPr>
          <w:p>
            <w:pPr>
              <w:pStyle w:val="Compact"/>
              <w:spacing w:after="60" w:before="60" w:line="264" w:lineRule="auto"/>
              <w:jc w:val="left"/>
            </w:pPr>
            <w:r>
              <w:rPr>
                <w:b/>
                <w:sz w:val="19"/>
              </w:rPr>
              <w:t xml:space="preserve">충격반경 kpc</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전체 편향 각초</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직접 성분 rad</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뒤틀림 성분 rad</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0.5928</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1.6883e-06</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1.1855e-06</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10</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0.5356</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1.0523e-06</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1.5443e-06</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20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0.4730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5.5875e-07</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1.7342e-06</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50</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0.3955</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2.2159e-07</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1.6960e-06</w:t>
            </w:r>
          </w:p>
        </w:tc>
      </w:tr>
    </w:tbl>
    <w:p>
      <w:pPr>
        <w:pStyle w:val="BodyText"/>
        <w:ind w:firstLine="0"/>
        <w:jc w:val="left"/>
      </w:pPr>
      <w:r>
        <w:t xml:space="preserve">표는 200 kpc 패치 내부에서 누적된 물리 편향각이다. 패치 밖 기하, 관측자와 렌즈와 광원의 거리인자, 실제 관측 영상각은 포함하지 않는다. 새로운 렌즈 전용 응력이나 별도의 정규화는 사용하지 않았다. 따라서 동일한 정적 응답에서 운동과 빛의 출력이 함께 계산된다는 조건부 결과를 얻는다. 관측 렌즈 적합과 중력 slip의 공변 유도는 아직 별도 과제다.</w:t>
      </w:r>
    </w:p>
    <w:bookmarkEnd w:id="29"/>
    <w:bookmarkStart w:id="33" w:name="개별-우리-은하-논문의-계산-재현"/>
    <w:p>
      <w:pPr>
        <w:pStyle w:val="Heading2"/>
        <w:ind w:firstLine="0"/>
        <w:jc w:val="left"/>
      </w:pPr>
      <w:r>
        <w:t xml:space="preserve">개별 우리 은하 논문의 계산 재현</w:t>
      </w:r>
    </w:p>
    <w:p>
      <w:pPr>
        <w:pStyle w:val="FirstParagraph"/>
        <w:ind w:firstLine="0"/>
        <w:jc w:val="left"/>
      </w:pPr>
      <w:r>
        <w:t xml:space="preserve">별원반 35.66×10⁹ 및 11.25×10⁹ 태양질량과 척도 2.53 및 3.38 kpc, HI와 H₂ 원반 11.0×10⁹ 및 1.2×10⁹ 태양질량과 척도 7.0 및 1.5 kpc, 팽대부 9.13×10⁹ 태양질량과 Hernquist 척도 0.70 kpc를 그대로 사용한다. 지수원반의 수정 Bessel 함수 계산 및 팽대부의 직접 속도제곱을 합한 뒤 식 (8)을 적용했다.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trPr>
        <w:tc>
          <w:tcPr>
            <w:vAlign w:val="center"/>
            <w:shd w:fill="E5EBF0"/>
            <w:tcMar>
              <w:top w:w="90" w:type="dxa"/>
              <w:left w:w="90" w:type="dxa"/>
              <w:bottom w:w="90" w:type="dxa"/>
              <w:right w:w="90" w:type="dxa"/>
            </w:tcMar>
          </w:tcPr>
          <w:p>
            <w:pPr>
              <w:pStyle w:val="Compact"/>
              <w:spacing w:after="60" w:before="60" w:line="264" w:lineRule="auto"/>
              <w:jc w:val="left"/>
            </w:pPr>
            <w:r>
              <w:rPr>
                <w:b/>
                <w:sz w:val="19"/>
              </w:rPr>
              <w:t xml:space="preserve">반경 kpc</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직접 속도 km/s</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WRRA 속도 km/s</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추가 중력 / 직접 중력</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192.44</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221.03</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0.319</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8.2</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182.55</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226.34</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0.537</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12</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161.05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220.09</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0.868</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16.5</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138.93</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211.60</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1.320</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20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125.92</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206.61</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1.692</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25</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112.05</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201.59</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2.237</w:t>
            </w:r>
          </w:p>
        </w:tc>
      </w:tr>
    </w:tbl>
    <w:p>
      <w:pPr>
        <w:pStyle w:val="BodyText"/>
        <w:ind w:firstLine="0"/>
        <w:jc w:val="left"/>
      </w:pPr>
      <w:r>
        <w:t xml:space="preserve">8∼25 kpc에서 Eilers의 선형화 기준 229−1.7(R−8.2) km/s와 비교한 RMS는 2.41784 km/s다. 이는 이전 논문의 2.42 km/s를 재현한다. 이 비교는 실제 개별 관측자료점과 공분산을 사용한 likelihood가 아니다. 또한 원반 계산은 이전의 대수적 Renderer 근사이며, 이번 구형 변분식의 3차원 원반 해를 풀었다고 분류하지 않는다.</w:t>
      </w:r>
    </w:p>
    <w:p>
      <w:pPr>
        <w:pStyle w:val="CaptionedFigure"/>
        <w:ind w:firstLine="0"/>
        <w:jc w:val="left"/>
      </w:pPr>
      <w:r>
        <w:drawing>
          <wp:inline>
            <wp:extent cx="5334000" cy="2192866"/>
            <wp:effectExtent b="0" l="0" r="0" t="0"/>
            <wp:docPr descr="구형 시험모형과 기존 우리 은하 Renderer의 회전속도" title="" id="31" name="Picture"/>
            <a:graphic>
              <a:graphicData uri="http://schemas.openxmlformats.org/drawingml/2006/picture">
                <pic:pic>
                  <pic:nvPicPr>
                    <pic:cNvPr descr="results/rotation.png" id="32" name="Picture"/>
                    <pic:cNvPicPr>
                      <a:picLocks noChangeArrowheads="1" noChangeAspect="1"/>
                    </pic:cNvPicPr>
                  </pic:nvPicPr>
                  <pic:blipFill>
                    <a:blip r:embed="rId30"/>
                    <a:stretch>
                      <a:fillRect/>
                    </a:stretch>
                  </pic:blipFill>
                  <pic:spPr bwMode="auto">
                    <a:xfrm>
                      <a:off x="0" y="0"/>
                      <a:ext cx="5334000" cy="2192866"/>
                    </a:xfrm>
                    <a:prstGeom prst="rect">
                      <a:avLst/>
                    </a:prstGeom>
                    <a:noFill/>
                    <a:ln w="9525">
                      <a:noFill/>
                      <a:headEnd/>
                      <a:tailEnd/>
                    </a:ln>
                  </pic:spPr>
                </pic:pic>
              </a:graphicData>
            </a:graphic>
          </wp:inline>
        </w:drawing>
      </w:r>
    </w:p>
    <w:p>
      <w:pPr>
        <w:pStyle w:val="ImageCaption"/>
        <w:ind w:firstLine="0"/>
        <w:jc w:val="left"/>
      </w:pPr>
      <w:r>
        <w:t xml:space="preserve">구형 시험모형과 기존 우리 은하 Renderer의 회전속도</w:t>
      </w:r>
    </w:p>
    <w:p>
      <w:pPr>
        <w:pStyle w:val="BodyText"/>
        <w:ind w:firstLine="0"/>
        <w:jc w:val="left"/>
      </w:pPr>
      <w:r>
        <w:t xml:space="preserve">무방향 평면은 P=I−nnᵀ로 이어받는다. n을 −n으로 바꾸어도 P가 같고 P²=P다. 코드의 부호 불변 결함은 0, 투영 결함은 5.56×10⁻¹⁷ 이하다. 이 평면장은 회전 방향이나 각운동량을 정의하지 않는다. 방향 응력 q_T가 아직 고정되지 않아 수직 두께나 복원력을 이번 버전에서 산출하지 않는다.</w:t>
      </w:r>
    </w:p>
    <w:bookmarkEnd w:id="33"/>
    <w:bookmarkStart w:id="34" w:name="공통전달자의-실제-시험과-선택-경계"/>
    <w:p>
      <w:pPr>
        <w:pStyle w:val="Heading2"/>
        <w:ind w:firstLine="0"/>
        <w:jc w:val="left"/>
      </w:pPr>
      <w:r>
        <w:t xml:space="preserve">공통전달자의 실제 시험과 선택 경계</w:t>
      </w:r>
    </w:p>
    <w:p>
      <w:pPr>
        <w:pStyle w:val="FirstParagraph"/>
        <w:ind w:firstLine="0"/>
        <w:jc w:val="left"/>
      </w:pPr>
      <w:r>
        <w:t xml:space="preserve">0.4의 다음 계산을 가장 단순한 동질 전달자에서 수행했다. 같은 주 수송 골격과 주기적 내부 모형을 가진 16개 채널을 두고, 내부 순환격자의 라플라시안 고유값 4sin²(πj/N)을 사용했다. N=128, 선언한 다섯 주파수의 양의 Green 함수 강도를 평균해 각 채널의 스칼라 서명을 추출한다. 채널별 하위차수 연산자는 이 시험에서 동일하게 둔다.</w:t>
      </w:r>
    </w:p>
    <w:p>
      <w:pPr>
        <w:pStyle w:val="BodyText"/>
        <w:ind w:firstLine="0"/>
        <w:jc w:val="left"/>
      </w:pPr>
      <w:r>
        <w:t xml:space="preserve">동일한 전달자에 직교 채널 주입을 사용하면 수송 그람 연산자는 양의 상수배 I₁₆이며 정규화 후 랭크는 16, 최소 고유값은 1, 중성 채널 수송 노름제곱도 1이다. 그러나 게이지 불변 스칼라 응답 여덟 개는 모두 같다. 0.4의 불일치제곱 점수로 계산하면 다음을 얻는다.</w:t>
      </w:r>
    </w:p>
    <w:p>
      <w:pPr>
        <w:pStyle w:val="BodyText"/>
        <w:ind w:firstLine="0"/>
        <w:jc w:val="left"/>
      </w:pPr>
      <m:oMathPara>
        <m:oMathParaPr>
          <m:jc m:val="center"/>
        </m:oMathParaPr>
        <m:oMath>
          <m:sSub>
            <m:e>
              <m:r>
                <m:t>Δ</m:t>
              </m:r>
            </m:e>
            <m:sub>
              <m:r>
                <m:t>L</m:t>
              </m:r>
            </m:sub>
          </m:sSub>
          <m:r>
            <m:rPr>
              <m:sty m:val="p"/>
            </m:rPr>
            <m:t>=</m:t>
          </m:r>
          <m:r>
            <m:t>0</m:t>
          </m:r>
          <m:r>
            <m:rPr>
              <m:sty m:val="p"/>
            </m:rPr>
            <m:t>,</m:t>
          </m:r>
          <m:r>
            <m:t>  </m:t>
          </m:r>
          <m:sSub>
            <m:e>
              <m:r>
                <m:t>Δ</m:t>
              </m:r>
            </m:e>
            <m:sub>
              <m:r>
                <m:t>R</m:t>
              </m:r>
            </m:sub>
          </m:sSub>
          <m:r>
            <m:rPr>
              <m:sty m:val="p"/>
            </m:rPr>
            <m:t>=</m:t>
          </m:r>
          <m:r>
            <m:t>0</m:t>
          </m:r>
          <m:r>
            <m:rPr>
              <m:sty m:val="p"/>
            </m:rPr>
            <m:t>,</m:t>
          </m:r>
          <m:r>
            <m:t>  </m:t>
          </m:r>
          <m:r>
            <m:t>S</m:t>
          </m:r>
          <m:d>
            <m:dPr>
              <m:begChr m:val="("/>
              <m:endChr m:val=")"/>
              <m:sepChr m:val=""/>
              <m:grow/>
            </m:dPr>
            <m:e>
              <m:sSub>
                <m:e>
                  <m:r>
                    <m:t>F</m:t>
                  </m:r>
                </m:e>
                <m:sub>
                  <m:r>
                    <m:t>D</m:t>
                  </m:r>
                  <m:r>
                    <m:t>X</m:t>
                  </m:r>
                </m:sub>
              </m:sSub>
            </m:e>
          </m:d>
          <m:r>
            <m:rPr>
              <m:sty m:val="p"/>
            </m:rPr>
            <m:t>=</m:t>
          </m:r>
          <m:r>
            <m:t>S</m:t>
          </m:r>
          <m:d>
            <m:dPr>
              <m:begChr m:val="("/>
              <m:endChr m:val=")"/>
              <m:sepChr m:val=""/>
              <m:grow/>
            </m:dPr>
            <m:e>
              <m:sSub>
                <m:e>
                  <m:r>
                    <m:t>F</m:t>
                  </m:r>
                </m:e>
                <m:sub>
                  <m:r>
                    <m:t>X</m:t>
                  </m:r>
                  <m:r>
                    <m:t>X</m:t>
                  </m:r>
                </m:sub>
              </m:sSub>
            </m:e>
          </m:d>
          <m:r>
            <m:rPr>
              <m:sty m:val="p"/>
            </m:rPr>
            <m:t>=</m:t>
          </m:r>
          <m:r>
            <m:t>S</m:t>
          </m:r>
          <m:d>
            <m:dPr>
              <m:begChr m:val="("/>
              <m:endChr m:val=")"/>
              <m:sepChr m:val=""/>
              <m:grow/>
            </m:dPr>
            <m:e>
              <m:sSub>
                <m:e>
                  <m:r>
                    <m:t>F</m:t>
                  </m:r>
                </m:e>
                <m:sub>
                  <m:r>
                    <m:t>D</m:t>
                  </m:r>
                  <m:r>
                    <m:t>D</m:t>
                  </m:r>
                </m:sub>
              </m:sSub>
            </m:e>
          </m:d>
          <m:r>
            <m:rPr>
              <m:sty m:val="p"/>
            </m:rPr>
            <m:t>=</m:t>
          </m:r>
          <m:r>
            <m:t>S</m:t>
          </m:r>
          <m:d>
            <m:dPr>
              <m:begChr m:val="("/>
              <m:endChr m:val=")"/>
              <m:sepChr m:val=""/>
              <m:grow/>
            </m:dPr>
            <m:e>
              <m:sSub>
                <m:e>
                  <m:r>
                    <m:t>F</m:t>
                  </m:r>
                </m:e>
                <m:sub>
                  <m:r>
                    <m:t>X</m:t>
                  </m:r>
                  <m:r>
                    <m:t>D</m:t>
                  </m:r>
                </m:sub>
              </m:sSub>
            </m:e>
          </m:d>
          <m:r>
            <m:rPr>
              <m:sty m:val="p"/>
            </m:rPr>
            <m:t>=</m:t>
          </m:r>
          <m:r>
            <m:t>0</m:t>
          </m:r>
          <m:r>
            <m:rPr>
              <m:sty m:val="p"/>
            </m:rPr>
            <m:t>.</m:t>
          </m:r>
          <m:r>
            <m:rPr>
              <m:sty m:val="p"/>
            </m:rPr>
            <m:t xml:space="preserve">   (15)</m:t>
          </m:r>
        </m:oMath>
      </m:oMathPara>
    </w:p>
    <w:p>
      <w:pPr>
        <w:pStyle w:val="FirstParagraph"/>
        <w:ind w:firstLine="0"/>
        <w:jc w:val="left"/>
      </w:pPr>
      <w:r>
        <w:t xml:space="preserve">따라서 이 동질 시험은 수송 조건을 통과하지만 목표 필터를 유일하게 선택하지 못한다. 이는 고정한 시험모형에 대한 정확한 음성 결과이며 전체 WRRA-M의 불가능성 정리가 아니다. 다음 선택 계산에는 채널 기원과 잔여가 실제로 만드는 하위차수 응답 차이가 필요하다. 수송 랭크를 확보한 것과 양의 선택 격차를 얻은 것은 별개의 결과다. 또한 게이지 중성인 열여섯 번째 채널을 표현형 이전 응력 부문과 자동 동일시하지 않는다.</w:t>
      </w:r>
    </w:p>
    <w:bookmarkEnd w:id="34"/>
    <w:bookmarkStart w:id="35" w:name="보정값-변경과-반증조건"/>
    <w:p>
      <w:pPr>
        <w:pStyle w:val="Heading2"/>
        <w:ind w:firstLine="0"/>
        <w:jc w:val="left"/>
      </w:pPr>
      <w:r>
        <w:t xml:space="preserve">보정값 변경과 반증조건</w:t>
      </w:r>
    </w:p>
    <w:p>
      <w:pPr>
        <w:pStyle w:val="FirstParagraph"/>
        <w:ind w:firstLine="0"/>
        <w:jc w:val="left"/>
      </w:pPr>
      <w:r>
        <w:t xml:space="preserve">구성비는 parameters.json의 입력이며 실행 중에 고칠 수 있다. 예시 변경을 적용한 결과는 다음과 같다.</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tblGrid>
      <w:tr>
        <w:trPr>
          <w:tblHeader w:val="true"/>
          <w:tblHeader/>
        </w:trPr>
        <w:tc>
          <w:tcPr>
            <w:vAlign w:val="center"/>
            <w:shd w:fill="E5EBF0"/>
            <w:tcMar>
              <w:top w:w="90" w:type="dxa"/>
              <w:left w:w="90" w:type="dxa"/>
              <w:bottom w:w="90" w:type="dxa"/>
              <w:right w:w="90" w:type="dxa"/>
            </w:tcMar>
          </w:tcPr>
          <w:p>
            <w:pPr>
              <w:pStyle w:val="Compact"/>
              <w:spacing w:after="60" w:before="60" w:line="264" w:lineRule="auto"/>
              <w:jc w:val="left"/>
            </w:pPr>
            <w:r>
              <w:rPr>
                <w:b/>
                <w:sz w:val="19"/>
              </w:rPr>
              <w:t xml:space="preserve">모이는 응력 비율</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물질 비율</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남은 전체 비율</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전환 가속도 m/s²</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구형 극한속도 km/s</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0.200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0.0493</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0.9507</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1.0354e-10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169.45</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0.300</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0.0493</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0.9507</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1.2681e-10</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178.26</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0.265</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0.0800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0.9200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1.1918e-10</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175.52</w:t>
            </w:r>
          </w:p>
        </w:tc>
      </w:tr>
    </w:tbl>
    <w:p>
      <w:pPr>
        <w:pStyle w:val="BodyText"/>
        <w:ind w:firstLine="0"/>
        <w:jc w:val="left"/>
      </w:pPr>
      <w:r>
        <w:t xml:space="preserve">모이는 응력 부문 f_T를 바꾸면 a_T와 속도척도가 함께 바뀐다. f_Φ만 바꾸면 전체 숨은 비율 및 평균 원천비가 바뀌고, f_T를 고정한 국소 가속도척도는 유지된다. 따라서 약 5%와 약 95%를 구조상 불변 상수로 만들지 않았다.</w:t>
      </w:r>
    </w:p>
    <w:p>
      <w:pPr>
        <w:pStyle w:val="BodyText"/>
        <w:ind w:firstLine="0"/>
        <w:jc w:val="left"/>
      </w:pPr>
      <w:r>
        <w:t xml:space="preserve">이번 계산을 기각하거나 수정해야 하는 조건은 다음과 같다. 선언한 전달자의 그람 양의성이나 전체 수송 랭크가 깨지면 수송 가지가 실패한다. 양의 선택 격차를 주장했는데 실제 격차가 0 이하이면 그 선택 주장이 실패한다. 구성응답의 정적 고유값이 음수가 되거나 구형 보존식이 깨지면 정적 구현이 실패한다. 동일한 기하로 운동과 렌즈를 함께 설명하지 못하면 현재 slip 조건이나 응력 법칙을 수정해야 한다. 전역 동역학이 팽창과 뒤틀림의 공존 또는 총 보존과 양립하지 못하면 해당 후속 완성이 실패한다.</w:t>
      </w:r>
    </w:p>
    <w:p>
      <w:pPr>
        <w:pStyle w:val="BodyText"/>
        <w:ind w:firstLine="0"/>
        <w:jc w:val="left"/>
      </w:pPr>
      <w:r>
        <w:t xml:space="preserve">알려진 관측으로 모형을 수정하는 것은 허용한다. 수정한 입력과 구성법칙 및 버전을 기록하고 새 모형의 산출값을 다시 판정한다. 계산되지 않은 외부 이론을 통합으로 부르지 않는다. 이 버전에서 실행한 항목은 코드와 결과 장부에 기록하고 공변 작용, 물질과 고전 기하의 혼합 갱신, 전역 경계 동역학, 수직 응력은 다음 항목으로 남긴다.</w:t>
      </w:r>
    </w:p>
    <w:bookmarkEnd w:id="35"/>
    <w:bookmarkStart w:id="36" w:name="주장-장부와-종료선"/>
    <w:p>
      <w:pPr>
        <w:pStyle w:val="Heading2"/>
        <w:ind w:firstLine="0"/>
        <w:jc w:val="left"/>
      </w:pPr>
      <w:r>
        <w:t xml:space="preserve">주장 장부와 종료선</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vAlign w:val="center"/>
            <w:shd w:fill="E5EBF0"/>
            <w:tcMar>
              <w:top w:w="90" w:type="dxa"/>
              <w:left w:w="90" w:type="dxa"/>
              <w:bottom w:w="90" w:type="dxa"/>
              <w:right w:w="90" w:type="dxa"/>
            </w:tcMar>
          </w:tcPr>
          <w:p>
            <w:pPr>
              <w:pStyle w:val="Compact"/>
              <w:spacing w:after="60" w:before="60" w:line="264" w:lineRule="auto"/>
              <w:jc w:val="left"/>
            </w:pPr>
            <w:r>
              <w:rPr>
                <w:b/>
                <w:sz w:val="19"/>
              </w:rPr>
              <w:t xml:space="preserve">주장</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지위</w:t>
            </w:r>
          </w:p>
        </w:tc>
        <w:tc>
          <w:tcPr>
            <w:vAlign w:val="center"/>
            <w:shd w:fill="E5EBF0"/>
            <w:tcMar>
              <w:top w:w="90" w:type="dxa"/>
              <w:left w:w="90" w:type="dxa"/>
              <w:bottom w:w="90" w:type="dxa"/>
              <w:right w:w="90" w:type="dxa"/>
            </w:tcMar>
          </w:tcPr>
          <w:p>
            <w:pPr>
              <w:pStyle w:val="Compact"/>
              <w:spacing w:after="60" w:before="60" w:line="264" w:lineRule="auto"/>
              <w:jc w:val="center"/>
            </w:pPr>
            <w:r>
              <w:rPr>
                <w:b/>
                <w:sz w:val="19"/>
              </w:rPr>
              <w:t xml:space="preserve">이번 근거</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질량의 내부 모드 이산성</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지정 모형의 정확한 결과</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주기 경계와 정수 모드</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중력의 근본 비양자 지위</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B_C 모형 전제</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이번 가지의 선택</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팽창과 뒤틀림의 공존</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보존한 구조 가정</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식 (3)</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뒤틀림 가속도척도</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보정 후 WRRA 산출</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식 (6)와 (7)</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구성응답의 정적 작용 및 양의성</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조건부 구성과 계산</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식 (9)에서 (11)</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구형 응력질량과 회전속도</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유한 모형 산출</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식 (12)과 (13)</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유한 패치 렌즈 편향</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무슬립 조건부 산출</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식 (14)</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기존 우리 은하 속도 재현</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보정 모형의 재현</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RMS 2.41784 km/s</w:t>
            </w:r>
          </w:p>
        </w:tc>
      </w:tr>
      <w:tr>
        <w:trPr/>
        <w:tc>
          <w:tcPr>
            <w:vAlign w:val="center"/>
            <w:shd w:fill="FFFFFF"/>
            <w:tcMar>
              <w:top w:w="90" w:type="dxa"/>
              <w:left w:w="90" w:type="dxa"/>
              <w:bottom w:w="90" w:type="dxa"/>
              <w:right w:w="90" w:type="dxa"/>
            </w:tcMar>
          </w:tcPr>
          <w:p>
            <w:pPr>
              <w:pStyle w:val="Compact"/>
              <w:spacing w:after="60" w:before="60" w:line="264" w:lineRule="auto"/>
              <w:jc w:val="left"/>
            </w:pPr>
            <w:r>
              <w:rPr>
                <w:b w:val="0"/>
                <w:sz w:val="19"/>
              </w:rPr>
              <w:t xml:space="preserve">동질 전달자의 목표 선택</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이 시험에서 미성립</w:t>
            </w:r>
          </w:p>
        </w:tc>
        <w:tc>
          <w:tcPr>
            <w:vAlign w:val="center"/>
            <w:shd w:fill="FFFFFF"/>
            <w:tcMar>
              <w:top w:w="90" w:type="dxa"/>
              <w:left w:w="90" w:type="dxa"/>
              <w:bottom w:w="90" w:type="dxa"/>
              <w:right w:w="90" w:type="dxa"/>
            </w:tcMar>
          </w:tcPr>
          <w:p>
            <w:pPr>
              <w:pStyle w:val="Compact"/>
              <w:spacing w:after="60" w:before="60" w:line="264" w:lineRule="auto"/>
              <w:jc w:val="center"/>
            </w:pPr>
            <w:r>
              <w:rPr>
                <w:b w:val="0"/>
                <w:sz w:val="19"/>
              </w:rPr>
              <w:t xml:space="preserve">두 격차 0</w:t>
            </w:r>
          </w:p>
        </w:tc>
      </w:tr>
      <w:tr>
        <w:trPr/>
        <w:tc>
          <w:tcPr>
            <w:vAlign w:val="center"/>
            <w:shd w:fill="F7F8FA"/>
            <w:tcMar>
              <w:top w:w="90" w:type="dxa"/>
              <w:left w:w="90" w:type="dxa"/>
              <w:bottom w:w="90" w:type="dxa"/>
              <w:right w:w="90" w:type="dxa"/>
            </w:tcMar>
          </w:tcPr>
          <w:p>
            <w:pPr>
              <w:pStyle w:val="Compact"/>
              <w:spacing w:after="60" w:before="60" w:line="264" w:lineRule="auto"/>
              <w:jc w:val="left"/>
            </w:pPr>
            <w:r>
              <w:rPr>
                <w:b w:val="0"/>
                <w:sz w:val="19"/>
              </w:rPr>
              <w:t xml:space="preserve">전달자에서 응력법칙의 미시 유도</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미해결</w:t>
            </w:r>
          </w:p>
        </w:tc>
        <w:tc>
          <w:tcPr>
            <w:vAlign w:val="center"/>
            <w:shd w:fill="F7F8FA"/>
            <w:tcMar>
              <w:top w:w="90" w:type="dxa"/>
              <w:left w:w="90" w:type="dxa"/>
              <w:bottom w:w="90" w:type="dxa"/>
              <w:right w:w="90" w:type="dxa"/>
            </w:tcMar>
          </w:tcPr>
          <w:p>
            <w:pPr>
              <w:pStyle w:val="Compact"/>
              <w:spacing w:after="60" w:before="60" w:line="264" w:lineRule="auto"/>
              <w:jc w:val="center"/>
            </w:pPr>
            <w:r>
              <w:rPr>
                <w:b w:val="0"/>
                <w:sz w:val="19"/>
              </w:rPr>
              <w:t xml:space="preserve">하위차수 응답 및 연결법칙 필요</w:t>
            </w:r>
          </w:p>
        </w:tc>
      </w:tr>
    </w:tbl>
    <w:p>
      <w:pPr>
        <w:pStyle w:val="BodyText"/>
        <w:ind w:firstLine="0"/>
        <w:jc w:val="left"/>
      </w:pPr>
      <w:r>
        <w:t xml:space="preserve">0.5의 종료선은 B_C의 양자화 지위를 고정하고, 실제 계산으로 뒤틀림 응력의 추가 중력과 유효 질량 및 조건부 광선 효과를 내며, 단순 전달자의 필터 선택 결과까지 공개하는 것이다. 이번 유한 계산은 이 종료선까지 수행했다. 구조의 고유성은 새 숫자만이 아니라 이산 질량과 연속 기하, 물질 출력과 상류 응력, 운동과 광선의 공통 수송을 연결하는 방법에서 평가한다. 미시 필터 선택 및 완전 공변 통합은 이번 결과와 분리해 후속 계산으로 기록한다.</w:t>
      </w:r>
    </w:p>
    <w:bookmarkEnd w:id="36"/>
    <w:bookmarkStart w:id="37" w:name="참고문헌과-재현-자료"/>
    <w:p>
      <w:pPr>
        <w:pStyle w:val="Heading2"/>
        <w:ind w:firstLine="0"/>
        <w:jc w:val="left"/>
      </w:pPr>
      <w:r>
        <w:t xml:space="preserve">참고문헌과 재현 자료</w:t>
      </w:r>
    </w:p>
    <w:p>
      <w:pPr>
        <w:numPr>
          <w:ilvl w:val="0"/>
          <w:numId w:val="1001"/>
        </w:numPr>
        <w:pStyle w:val="Compact"/>
        <w:ind w:firstLine="0"/>
        <w:jc w:val="left"/>
      </w:pPr>
      <w:r>
        <w:t xml:space="preserve">최원식. 최소계산우주론 2.3.2 통합모형. 2026. 현재 원문의 7.1에서 7.5 및 제6부. https://doi.org/10.5281/zenodo.22733000</w:t>
      </w:r>
    </w:p>
    <w:p>
      <w:pPr>
        <w:numPr>
          <w:ilvl w:val="0"/>
          <w:numId w:val="1001"/>
        </w:numPr>
        <w:pStyle w:val="Compact"/>
        <w:ind w:firstLine="0"/>
        <w:jc w:val="left"/>
      </w:pPr>
      <w:r>
        <w:t xml:space="preserve">최원식. 뒤틀림 응력 우주와 암흑물질의 질량 표현형. v1.0. 2026년 9월 11일. https://doi.org/10.5281/zenodo.22700557</w:t>
      </w:r>
    </w:p>
    <w:p>
      <w:pPr>
        <w:numPr>
          <w:ilvl w:val="0"/>
          <w:numId w:val="1001"/>
        </w:numPr>
        <w:pStyle w:val="Compact"/>
        <w:ind w:firstLine="0"/>
        <w:jc w:val="left"/>
      </w:pPr>
      <w:r>
        <w:t xml:space="preserve">최원식. 질량중력과 공간 뒤틀림 응력 중력의 이중 성분 모형. v0.4. 2026년 9월 27일. 현재 개별 원문을 기준으로 사용.</w:t>
      </w:r>
    </w:p>
    <w:p>
      <w:pPr>
        <w:numPr>
          <w:ilvl w:val="0"/>
          <w:numId w:val="1001"/>
        </w:numPr>
        <w:pStyle w:val="Compact"/>
        <w:ind w:firstLine="0"/>
        <w:jc w:val="left"/>
      </w:pPr>
      <w:r>
        <w:t xml:space="preserve">최원식. WRRA 공간 뒤틀림의 은하 원반면 선택과 암흑질량 표현형. v1.0. 2026년 9월 27일. https://doi.org/10.5281/zenodo.23003875</w:t>
      </w:r>
    </w:p>
    <w:p>
      <w:pPr>
        <w:numPr>
          <w:ilvl w:val="0"/>
          <w:numId w:val="1001"/>
        </w:numPr>
        <w:pStyle w:val="Compact"/>
        <w:ind w:firstLine="0"/>
        <w:jc w:val="left"/>
      </w:pPr>
      <w:r>
        <w:t xml:space="preserve">Choi W. WRRA Causal Horizons and Finite Universe. v1.1. 2026년 9월 24일. 5.3.3절 B_C. https://doi.org/10.5281/zenodo.22931512</w:t>
      </w:r>
    </w:p>
    <w:p>
      <w:pPr>
        <w:numPr>
          <w:ilvl w:val="0"/>
          <w:numId w:val="1001"/>
        </w:numPr>
        <w:pStyle w:val="Compact"/>
        <w:ind w:firstLine="0"/>
        <w:jc w:val="left"/>
      </w:pPr>
      <w:r>
        <w:t xml:space="preserve">Choi W. WRRA Finite Boundaryless Universe. v1.0. 2026년 9월 28일. 현재 개별 원문을 기준으로 사용.</w:t>
      </w:r>
    </w:p>
    <w:p>
      <w:pPr>
        <w:numPr>
          <w:ilvl w:val="0"/>
          <w:numId w:val="1001"/>
        </w:numPr>
        <w:pStyle w:val="Compact"/>
        <w:ind w:firstLine="0"/>
        <w:jc w:val="left"/>
      </w:pPr>
      <w:r>
        <w:t xml:space="preserve">최원식. WRRA-M 0.4 필터 적합성의 공통전달자 계량 기원. 2026년 10월 1일. 현재 한글 원문.</w:t>
      </w:r>
    </w:p>
    <w:p>
      <w:pPr>
        <w:numPr>
          <w:ilvl w:val="0"/>
          <w:numId w:val="1001"/>
        </w:numPr>
        <w:pStyle w:val="Compact"/>
        <w:ind w:firstLine="0"/>
        <w:jc w:val="left"/>
      </w:pPr>
      <w:r>
        <w:t xml:space="preserve">Bekenstein J and Milgrom M. Does the missing mass problem signal the breakdown of Newtonian gravity. Astrophysical Journal 286 7 to 14. 1984. https://doi.org/10.1086/162570</w:t>
      </w:r>
    </w:p>
    <w:p>
      <w:pPr>
        <w:numPr>
          <w:ilvl w:val="0"/>
          <w:numId w:val="1001"/>
        </w:numPr>
        <w:pStyle w:val="Compact"/>
        <w:ind w:firstLine="0"/>
        <w:jc w:val="left"/>
      </w:pPr>
      <w:r>
        <w:t xml:space="preserve">Milgrom M. Quasi linear formulation of MOND. MNRAS 403 886. 2010. https://doi.org/10.1111/j.1365-2966.2009.16184.x</w:t>
      </w:r>
    </w:p>
    <w:p>
      <w:pPr>
        <w:numPr>
          <w:ilvl w:val="0"/>
          <w:numId w:val="1001"/>
        </w:numPr>
        <w:pStyle w:val="Compact"/>
        <w:ind w:firstLine="0"/>
        <w:jc w:val="left"/>
      </w:pPr>
      <w:r>
        <w:t xml:space="preserve">McMillan PJ. The mass distribution and gravitational potential of the Milky Way. MNRAS 465 76. 2017. https://doi.org/10.1093/mnras/stw2759</w:t>
      </w:r>
    </w:p>
    <w:p>
      <w:pPr>
        <w:numPr>
          <w:ilvl w:val="0"/>
          <w:numId w:val="1001"/>
        </w:numPr>
        <w:pStyle w:val="Compact"/>
        <w:ind w:firstLine="0"/>
        <w:jc w:val="left"/>
      </w:pPr>
      <w:r>
        <w:t xml:space="preserve">Eilers AC and colleagues. The Circular Velocity Curve of the Milky Way from 5 to 25 kpc. ApJ 871 120. 2019. https://doi.org/10.3847/1538-4357/aaf648</w:t>
      </w:r>
    </w:p>
    <w:p>
      <w:pPr>
        <w:pStyle w:val="FirstParagraph"/>
        <w:ind w:firstLine="0"/>
        <w:jc w:val="left"/>
      </w:pPr>
      <w:r>
        <w:t xml:space="preserve">재현 패키지의 compute.py는 parameters.json을 읽어 질량 모드, 전달자 응답, 구형 응력, 유한 패치 렌즈 및 우리 은하 속도를 계산한다. results.json에는 입력과 결과 및 검산을 함께 기록했다. source.md는 이 문서의 수식 원본이다. 필요한 패키지는 numpy scipy matplotlib이다.</w:t>
      </w:r>
    </w:p>
    <w:p>
      <w:pPr>
        <w:pStyle w:val="BodyText"/>
        <w:ind w:firstLine="0"/>
        <w:jc w:val="left"/>
      </w:pPr>
      <w:r>
        <w:t xml:space="preserve">Copyright 2026 Wonsik Choi. 본문과 계산 자료는 CC BY 4.0으로 배포한다.</w:t>
      </w:r>
    </w:p>
    <w:bookmarkEnd w:id="37"/>
    <w:bookmarkEnd w:id="38"/>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6" w:lineRule="auto"/>
    </w:pPr>
    <w:rPr>
      <w:rFonts w:ascii="Noto Sans KR" w:hAnsi="Noto Sans KR" w:eastAsia="Noto Sans KR"/>
      <w:color w:val="000000"/>
      <w:sz w:val="22"/>
    </w:rPr>
  </w:style>
  <w:style w:styleId="BodyText" w:type="paragraph">
    <w:name w:val="Body Text"/>
    <w:basedOn w:val="Normal"/>
    <w:link w:val="BodyTextChar"/>
    <w:pPr>
      <w:spacing w:after="140" w:before="180" w:line="276" w:lineRule="auto"/>
    </w:pPr>
    <w:qFormat/>
    <w:rPr>
      <w:rFonts w:ascii="Noto Sans KR" w:hAnsi="Noto Sans KR" w:eastAsia="Noto Sans KR"/>
      <w:color w:val="000000"/>
      <w:sz w:val="22"/>
    </w:rPr>
  </w:style>
  <w:style w:customStyle="1" w:styleId="FirstParagraph" w:type="paragraph">
    <w:name w:val="First Paragraph"/>
    <w:basedOn w:val="BodyText"/>
    <w:next w:val="BodyText"/>
    <w:qFormat/>
    <w:pPr>
      <w:spacing w:after="140" w:line="276" w:lineRule="auto"/>
    </w:pPr>
    <w:rPr>
      <w:rFonts w:ascii="Noto Sans KR" w:hAnsi="Noto Sans KR" w:eastAsia="Noto Sans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6" w:lineRule="auto"/>
      <w:jc w:val="center"/>
    </w:pPr>
    <w:rPr>
      <w:rFonts w:asciiTheme="majorHAnsi" w:cstheme="majorBidi" w:eastAsiaTheme="majorEastAsia" w:hAnsiTheme="majorHAnsi" w:ascii="Noto Sans KR" w:hAnsi="Noto Sans KR" w:eastAsia="Noto Sans KR"/>
      <w:b/>
      <w:bCs/>
      <w:color w:val="000000"/>
      <w:sz w:val="42"/>
      <w:szCs w:val="36"/>
    </w:rPr>
  </w:style>
  <w:style w:styleId="Subtitle" w:type="paragraph">
    <w:name w:val="Subtitle"/>
    <w:basedOn w:val="Title"/>
    <w:next w:val="BodyText"/>
    <w:qFormat/>
    <w:pPr>
      <w:keepNext/>
      <w:keepLines/>
      <w:spacing w:after="140" w:before="240" w:line="276" w:lineRule="auto"/>
      <w:jc w:val="center"/>
    </w:pPr>
    <w:rPr>
      <w:rFonts w:ascii="Noto Sans KR" w:hAnsi="Noto Sans KR" w:eastAsia="Noto Sans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6" w:lineRule="auto"/>
    </w:pPr>
    <w:rPr>
      <w:rFonts w:ascii="Noto Sans KR" w:hAnsi="Noto Sans KR" w:eastAsia="Noto Sans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6" w:lineRule="auto"/>
    </w:pPr>
    <w:rPr>
      <w:rFonts w:ascii="Noto Sans KR" w:hAnsi="Noto Sans KR" w:eastAsia="Noto Sans KR"/>
      <w:color w:val="000000"/>
      <w:sz w:val="36"/>
    </w:rPr>
  </w:style>
  <w:style w:type="paragraph" w:customStyle="1" w:styleId="Heading2">
    <w:name w:val="heading 2"/>
    <w:basedOn w:val="Normal"/>
    <w:pPr>
      <w:keepNext/>
      <w:spacing w:after="140" w:line="276" w:lineRule="auto" w:before="280"/>
    </w:pPr>
    <w:rPr>
      <w:rFonts w:ascii="Noto Sans KR" w:hAnsi="Noto Sans KR" w:eastAsia="Noto Sans KR"/>
      <w:color w:val="000000"/>
      <w:sz w:val="28"/>
    </w:rPr>
  </w:style>
  <w:style w:type="paragraph" w:customStyle="1" w:styleId="Heading3">
    <w:name w:val="heading 3"/>
    <w:basedOn w:val="Normal"/>
    <w:pPr>
      <w:keepNext/>
      <w:spacing w:after="140" w:line="276" w:lineRule="auto"/>
    </w:pPr>
    <w:rPr>
      <w:rFonts w:ascii="Noto Sans KR" w:hAnsi="Noto Sans KR" w:eastAsia="Noto Sans KR"/>
      <w:color w:val="000000"/>
      <w:sz w:val="22"/>
    </w:rPr>
  </w:style>
  <w:style w:type="paragraph" w:customStyle="1" w:styleId="Caption">
    <w:name w:val="caption"/>
    <w:basedOn w:val="Normal"/>
    <w:pPr>
      <w:spacing w:after="140" w:line="276" w:lineRule="auto"/>
    </w:pPr>
    <w:rPr>
      <w:rFonts w:ascii="Noto Sans KR" w:hAnsi="Noto Sans KR" w:eastAsia="Noto Sans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0.5 Quantized Mass and Continuous Gravity in a Finite Twist Model</dc:title>
  <dc:creator>Wonsik Choi</dc:creator>
  <cp:keywords/>
  <dcterms:created xsi:type="dcterms:W3CDTF">2026-10-01T01:07:15Z</dcterms:created>
  <dcterms:modified xsi:type="dcterms:W3CDTF">2026-10-01T01:07:15Z</dcterms:modified>
  <dc:subject>B_C finite calculations with calibrated twist response</dc:subject>
</cp:coreProperties>
</file>

<file path=docProps/custom.xml><?xml version="1.0" encoding="utf-8"?>
<Properties xmlns="http://schemas.openxmlformats.org/officeDocument/2006/custom-properties" xmlns:vt="http://schemas.openxmlformats.org/officeDocument/2006/docPropsVTypes"/>
</file>