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181039e6c63d2447a64d50fbcc6d219a7dca6c"/>
    <w:p>
      <w:pPr>
        <w:pStyle w:val="Title"/>
        <w:ind w:firstLine="0"/>
        <w:jc w:val="left"/>
      </w:pPr>
      <w:r>
        <w:rPr>
          <w:color w:val="000000"/>
        </w:rPr>
        <w:t xml:space="preserve">WRRA_M 0.11 Sequential Calibration of the First Five Inputs</w:t>
      </w:r>
    </w:p>
    <w:p>
      <w:pPr>
        <w:pStyle w:val="FirstParagraph"/>
        <w:ind w:firstLine="0"/>
        <w:jc w:val="left"/>
      </w:pPr>
      <w:r>
        <w:t xml:space="preserve">Wonsik Choi · 2026-10-02 · WRRA Core 1.0 / MCC 2.3.2 · CC BY 4.0</w:t>
      </w:r>
    </w:p>
    <w:bookmarkStart w:id="20" w:name="abstract"/>
    <w:p>
      <w:pPr>
        <w:pStyle w:val="Heading2"/>
        <w:ind w:firstLine="0"/>
        <w:jc w:val="left"/>
      </w:pPr>
      <w:r>
        <w:rPr>
          <w:color w:val="000000"/>
        </w:rPr>
        <w:t xml:space="preserve">Abstract</w:t>
      </w:r>
    </w:p>
    <w:p>
      <w:pPr>
        <w:pStyle w:val="FirstParagraph"/>
        <w:ind w:firstLine="0"/>
        <w:jc w:val="left"/>
      </w:pPr>
      <w:r>
        <w:t xml:space="preserve">On fixed WRRA Core 1.0 and MCC 2.3.2, WRRA_M calibrates its first five physical inputs in the order G→H0→f_phi→f_c→electron rest energy. Each partial stage reads only supplied anchors and reports available outputs and remaining coefficients. The 0.10 energy-pressure calculation and nine physical cases are retained. Address-exponent and effective-admission reparameterization explicitly discloses additional arithmetic inputs. Adopting electron mode 23 and zero intercept gives a mass unit of 22,217.345682 eV. Two response shapes fitting the same anchors demonstrate reproduction together with residual freedoms.</w:t>
      </w:r>
    </w:p>
    <w:bookmarkEnd w:id="20"/>
    <w:bookmarkStart w:id="21" w:name="verification-inputs"/>
    <w:p>
      <w:pPr>
        <w:pStyle w:val="Heading2"/>
        <w:ind w:firstLine="0"/>
        <w:jc w:val="left"/>
      </w:pPr>
      <w:r>
        <w:rPr>
          <w:color w:val="000000"/>
        </w:rPr>
        <w:t xml:space="preserve">Verification inputs</w:t>
      </w:r>
    </w:p>
    <w:p>
      <w:pPr>
        <w:pStyle w:val="FirstParagraph"/>
        <w:ind w:firstLine="0"/>
        <w:jc w:val="left"/>
      </w:pPr>
      <w:r>
        <w:t xml:space="preserve">The complete 0.10 input is frozen by hash. G and electron energy use NIST 2022 CODATA; H0=67.4 is the Planck 2018 base-LambdaCDM calibration benchmark. Standard uncertainties are 1.5×10⁻¹⁵ SI for G, 0.00016 eV for electron energy and 0.5 km s⁻¹ Mpc⁻¹ for the adopted H0 benchmark. Physical fractions 4.93% and 26.5% are inherited rounded calibrations without a covariance assigned here. The first five candidate-sheet entries and the MCC electron-mode relation are recorded as provenance.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018"/>
      </w:tblGrid>
      <w:tr>
        <w:trPr>
          <w:tblHeader w:val="true"/>
          <w:cantSplit/>
          <w:tblHeader/>
        </w:trPr>
        <w:tc>
          <w:tcPr>
            <w:tcW w:type="dxa" w:w="1944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/>
                <w:sz w:val="20"/>
              </w:rPr>
              <w:t xml:space="preserve">Input</w:t>
            </w:r>
          </w:p>
        </w:tc>
        <w:tc>
          <w:tcPr>
            <w:tcW w:type="dxa" w:w="4032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Adopted value</w:t>
            </w:r>
          </w:p>
        </w:tc>
        <w:tc>
          <w:tcPr>
            <w:tcW w:type="dxa" w:w="4018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Unit / role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G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6.6743000e-11</w:t>
            </w:r>
          </w:p>
        </w:tc>
        <w:tc>
          <w:tcPr>
            <w:tcW w:type="dxa" w:w="40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m³ kg⁻¹ s⁻²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H0</w:t>
            </w:r>
          </w:p>
        </w:tc>
        <w:tc>
          <w:tcPr>
            <w:tcW w:type="dxa" w:w="403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67.4</w:t>
            </w:r>
          </w:p>
        </w:tc>
        <w:tc>
          <w:tcPr>
            <w:tcW w:type="dxa" w:w="401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km s⁻¹ Mpc⁻¹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f_phi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0.0493</w:t>
            </w:r>
          </w:p>
        </w:tc>
        <w:tc>
          <w:tcPr>
            <w:tcW w:type="dxa" w:w="40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energy fraction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f_c</w:t>
            </w:r>
          </w:p>
        </w:tc>
        <w:tc>
          <w:tcPr>
            <w:tcW w:type="dxa" w:w="403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0.265</w:t>
            </w:r>
          </w:p>
        </w:tc>
        <w:tc>
          <w:tcPr>
            <w:tcW w:type="dxa" w:w="401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energy fraction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m_e c²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510998.95069</w:t>
            </w:r>
          </w:p>
        </w:tc>
        <w:tc>
          <w:tcPr>
            <w:tcW w:type="dxa" w:w="40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eV</w:t>
            </w:r>
          </w:p>
        </w:tc>
      </w:tr>
    </w:tbl>
    <w:p>
      <w:pPr>
        <w:pStyle w:val="BodyText"/>
        <w:ind w:firstLine="0"/>
        <w:jc w:val="left"/>
      </w:pPr>
      <w:r>
        <w:t xml:space="preserve">c=299792458 m/s is fixed. h=6.62607015×10⁻³⁴ J s and 1 eV=1.602176634×10⁻¹⁹ J are exact SI references. The parsec conversion, local masses/radii/response function and conditional Phi=Psi lensing are inherited. Address cutoff, four zeta heights, K=8, phase increment 0.1, response coefficients lambda_s, volume exponents and the electron-mode integer are constitutive inputs; the five numerical anchors do not derive them.</w:t>
      </w:r>
    </w:p>
    <w:bookmarkEnd w:id="21"/>
    <w:bookmarkStart w:id="22" w:name="wrra-specific-transformation"/>
    <w:p>
      <w:pPr>
        <w:pStyle w:val="Heading2"/>
        <w:ind w:firstLine="0"/>
        <w:jc w:val="left"/>
      </w:pPr>
      <w:r>
        <w:rPr>
          <w:color w:val="000000"/>
        </w:rPr>
        <w:t xml:space="preserve">WRRA-specific transformation</w:t>
      </w:r>
    </w:p>
    <w:p>
      <w:pPr>
        <w:pStyle w:val="FirstParagraph"/>
        <w:keepNext/>
        <w:ind w:firstLine="0"/>
        <w:jc w:val="left"/>
      </w:pPr>
      <w:r>
        <w:t xml:space="preserve">The partial calculator adds one anchor at a time. G fixes the SI action normalization and curvature response. Exact h and c additionally give Planck length/time as unit references. Replacing all future anchors with NaN must leave the corresponding earlier-stage outputs unchanged.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16</m:t>
              </m:r>
              <m:r>
                <m:t>π</m:t>
              </m:r>
              <m:r>
                <m:t>G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π</m:t>
              </m:r>
              <m:r>
                <m:t>G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ℏ</m:t>
                  </m:r>
                  <m:r>
                    <m:t>G</m:t>
                  </m:r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.</m:t>
          </m:r>
          <m:r>
            <m:rPr>
              <m:sty m:val="p"/>
            </m:rPr>
            <m:t xml:space="preserve">   (1)</m:t>
          </m:r>
        </m:oMath>
      </m:oMathPara>
    </w:p>
    <w:p>
      <w:pPr>
        <w:pStyle w:val="FirstParagraph"/>
        <w:keepNext/>
        <w:ind w:firstLine="0"/>
        <w:jc w:val="left"/>
      </w:pPr>
      <w:r>
        <w:t xml:space="preserve">After converting H0 to inverse seconds, the critical energy density is calculated. c/H0 and 1/H0 are Hubble length/time references, not assignments of the total cosmic size or age.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bSup>
                <m:e>
                  <m:r>
                    <m:t>H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r>
                <m:t>G</m:t>
              </m:r>
            </m:den>
          </m:f>
          <m:r>
            <m:rPr>
              <m:sty m:val="p"/>
            </m:rPr>
            <m:t>.</m:t>
          </m:r>
          <m:r>
            <m:rPr>
              <m:sty m:val="p"/>
            </m:rPr>
            <m:t xml:space="preserve">   (2)</m:t>
          </m:r>
        </m:oMath>
      </m:oMathPara>
    </w:p>
    <w:p>
      <w:pPr>
        <w:pStyle w:val="FirstParagraph"/>
        <w:keepNext/>
        <w:ind w:firstLine="0"/>
        <w:jc w:val="left"/>
      </w:pPr>
      <w:r>
        <w:t xml:space="preserve">The phenotype fraction gives the total hidden load. Adding the clustering fraction f_c separates D from background R. eta_load is the homogeneous-carrier reference coefficient of 0.6, distinct from the address-sector eta_s coefficients of 0.10.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h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.</m:t>
          </m:r>
          <m:r>
            <m:rPr>
              <m:sty m:val="p"/>
            </m:rPr>
            <m:t xml:space="preserve">   (3)</m:t>
          </m:r>
        </m:oMath>
      </m:oMathPara>
    </w:p>
    <w:p>
      <w:pPr>
        <w:pStyle w:val="FirstParagraph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≡</m:t>
          </m:r>
          <m:r>
            <m:t>ζ</m:t>
          </m:r>
          <m:sSubSup>
            <m:e>
              <m:r>
                <m:t>κ</m:t>
              </m:r>
            </m:e>
            <m:sub>
              <m:r>
                <m:t>h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π</m:t>
              </m:r>
              <m:r>
                <m:t>G</m:t>
              </m:r>
              <m:sSub>
                <m:e>
                  <m:r>
                    <m:t>u</m:t>
                  </m:r>
                </m:e>
                <m:sub>
                  <m:r>
                    <m:t>h</m:t>
                  </m:r>
                </m:sub>
              </m:sSub>
            </m:num>
            <m:den>
              <m:sSup>
                <m:e>
                  <m:r>
                    <m:t>c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*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.</m:t>
          </m:r>
          <m:r>
            <m:rPr>
              <m:sty m:val="p"/>
            </m:rPr>
            <m:t xml:space="preserve">   (4)</m:t>
          </m:r>
        </m:oMath>
      </m:oMathPara>
    </w:p>
    <w:p>
      <w:pPr>
        <w:pStyle w:val="FirstParagraph"/>
        <w:ind w:firstLine="0"/>
        <w:jc w:val="left"/>
      </w:pPr>
      <w:r>
        <w:t xml:space="preserve">The identifiable quantity is weighted twist Q_h. Stiffness zeta and twist kappa_h are not separately determined. L_star is a calculated length coefficient; L0 remains undetermined without W0. The 95.07% hidden share alone does not fix cosmic length.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"/>
        <w:gridCol w:w="1008"/>
        <w:gridCol w:w="3888"/>
        <w:gridCol w:w="4522"/>
      </w:tblGrid>
      <w:tr>
        <w:trPr>
          <w:tblHeader w:val="true"/>
          <w:cantSplit/>
          <w:tblHeader/>
        </w:trPr>
        <w:tc>
          <w:tcPr>
            <w:tcW w:type="dxa" w:w="576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/>
                <w:sz w:val="20"/>
              </w:rPr>
              <w:t xml:space="preserve">Step</w:t>
            </w:r>
          </w:p>
        </w:tc>
        <w:tc>
          <w:tcPr>
            <w:tcW w:type="dxa" w:w="1008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New input</w:t>
            </w:r>
          </w:p>
        </w:tc>
        <w:tc>
          <w:tcPr>
            <w:tcW w:type="dxa" w:w="3888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Newly available outputs</w:t>
            </w:r>
          </w:p>
        </w:tc>
        <w:tc>
          <w:tcPr>
            <w:tcW w:type="dxa" w:w="4522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Remaining anchors / choices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1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G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action coefficient; SI response</w:t>
            </w:r>
          </w:p>
        </w:tc>
        <w:tc>
          <w:tcPr>
            <w:tcW w:type="dxa" w:w="45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H0, f_phi, f_c, E_e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2</w:t>
            </w:r>
          </w:p>
        </w:tc>
        <w:tc>
          <w:tcPr>
            <w:tcW w:type="dxa" w:w="100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H0</w:t>
            </w:r>
          </w:p>
        </w:tc>
        <w:tc>
          <w:tcPr>
            <w:tcW w:type="dxa" w:w="388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H0 in s⁻¹; critical density</w:t>
            </w:r>
          </w:p>
        </w:tc>
        <w:tc>
          <w:tcPr>
            <w:tcW w:type="dxa" w:w="452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f_phi, f_c, E_e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3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f_phi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hidden density; weighted twist</w:t>
            </w:r>
          </w:p>
        </w:tc>
        <w:tc>
          <w:tcPr>
            <w:tcW w:type="dxa" w:w="45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f_c, E_e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4</w:t>
            </w:r>
          </w:p>
        </w:tc>
        <w:tc>
          <w:tcPr>
            <w:tcW w:type="dxa" w:w="100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f_c</w:t>
            </w:r>
          </w:p>
        </w:tc>
        <w:tc>
          <w:tcPr>
            <w:tcW w:type="dxa" w:w="3888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sector energies; a_T, P, q</w:t>
            </w:r>
          </w:p>
        </w:tc>
        <w:tc>
          <w:tcPr>
            <w:tcW w:type="dxa" w:w="4522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E_e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5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E_e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mass unit; electron units</w:t>
            </w:r>
          </w:p>
        </w:tc>
        <w:tc>
          <w:tcPr>
            <w:tcW w:type="dxa" w:w="45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structural freedoms remain</w:t>
            </w:r>
          </w:p>
        </w:tc>
      </w:tr>
    </w:tbl>
    <w:p>
      <w:pPr>
        <w:pStyle w:val="BodyText"/>
        <w:keepNext/>
        <w:ind w:firstLine="0"/>
        <w:jc w:val="left"/>
      </w:pPr>
      <w:r>
        <w:t xml:space="preserve">The 0.10 address effects e_s(n), normalized weights w_n and positive responses g_s(n) are retained. Each eta_s is fitted once on the reference address state and uniform carrier, then held fixed for address/state controls. Carrier operators are A_phi=I, A_D=Kc/2 and A_R=Kb/2, each with unit uniform reference expectation.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e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sSub>
            <m:e>
              <m:r>
                <m:t>g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η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E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η</m:t>
                  </m:r>
                </m:e>
                <m:sub>
                  <m:r>
                    <m:t>s</m:t>
                  </m:r>
                </m:sub>
              </m:sSub>
            </m:e>
          </m:nary>
          <m:sSub>
            <m:e>
              <m:r>
                <m:t>μ</m:t>
              </m:r>
            </m:e>
            <m:sub>
              <m:r>
                <m:t>s</m:t>
              </m:r>
            </m:sub>
          </m:sSub>
          <m:sSup>
            <m:e>
              <m:r>
                <m:t>a</m:t>
              </m:r>
            </m:e>
            <m:sup>
              <m:sSub>
                <m:e>
                  <m:r>
                    <m:t>ν</m:t>
                  </m:r>
                </m:e>
                <m:sub>
                  <m:r>
                    <m:t>s</m:t>
                  </m:r>
                </m:sub>
              </m:sSub>
            </m:sup>
          </m:sSup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 xml:space="preserve">   (5)</m:t>
          </m:r>
        </m:oMath>
      </m:oMathPara>
    </w:p>
    <w:p>
      <w:pPr>
        <w:pStyle w:val="FirstParagraph"/>
        <w:keepNext/>
        <w:ind w:firstLine="0"/>
        <w:jc w:val="left"/>
      </w:pPr>
      <w:r>
        <w:t xml:space="preserve">Pressure is the volume derivative of the same energy function. Retaining nu_phi=nu_D=0 and nu_R=3 gives pressureless D/phenotype and P_R=−u_R. Nonphenotype status does not delete energy or gravity.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∂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∂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ν</m:t>
              </m:r>
            </m:e>
            <m:sub>
              <m:r>
                <m:t>s</m:t>
              </m:r>
            </m:sub>
          </m:sSub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.</m:t>
          </m:r>
          <m:r>
            <m:rPr>
              <m:sty m:val="p"/>
            </m:rPr>
            <m:t xml:space="preserve">   (6)</m:t>
          </m:r>
        </m:oMath>
      </m:oMathPara>
    </w:p>
    <w:p>
      <w:pPr>
        <w:pStyle w:val="FirstParagraph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8</m:t>
              </m:r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  <m:sSub>
            <m:e>
              <m:r>
                <m:t>u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.</m:t>
          </m:r>
          <m:r>
            <m:rPr>
              <m:sty m:val="p"/>
            </m:rPr>
            <m:t xml:space="preserve">   (7)</m:t>
          </m:r>
        </m:oMath>
      </m:oMathPara>
    </w:p>
    <w:p>
      <w:pPr>
        <w:pStyle w:val="FirstParagraph"/>
        <w:keepNext/>
        <w:ind w:firstLine="0"/>
        <w:jc w:val="left"/>
      </w:pPr>
      <w:r>
        <w:t xml:space="preserve">Electron mode n_e=23 is adopted in the zero-intercept MCC mass branch. The electron anchor fixes its common energy unit. Reported ±1, ±2, ±3 and ±23 are generic mode controls, not identifications of other particle masses. Mode sign has the same rest energy; charge remains separately inherited from the filter ledger. Mode number and zero intercept are additional constitutive choices.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μ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/</m:t>
          </m:r>
          <m:r>
            <m:t>23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rPr>
              <m:sty m:val="p"/>
            </m:rPr>
            <m:t xml:space="preserve">   (8)</m:t>
          </m:r>
        </m:oMath>
      </m:oMathPara>
    </w:p>
    <w:p>
      <w:pPr>
        <w:pStyle w:val="FirstParagraph"/>
        <w:keepNext/>
        <w:ind w:firstLine="0"/>
        <w:jc w:val="left"/>
      </w:pPr>
      <w:r>
        <w:t xml:space="preserve">The same total energy operator is expressed in electron-energy units. Multiplying back by E_e restores the original joule ledger. Electron energy is not separately added to cosmic density. Physical boundary conditions, the microscopic clock and general spectra remain for 0.12.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/</m:t>
          </m:r>
          <m:sSub>
            <m:e>
              <m: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e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/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rPr>
              <m:sty m:val="p"/>
            </m:rPr>
            <m:t xml:space="preserve">   (9)</m:t>
          </m:r>
        </m:oMath>
      </m:oMathPara>
    </w:p>
    <w:bookmarkEnd w:id="22"/>
    <w:bookmarkStart w:id="23" w:name="re-expression-of-address-alpha-and-beta"/>
    <w:p>
      <w:pPr>
        <w:pStyle w:val="Heading2"/>
        <w:ind w:firstLine="0"/>
        <w:jc w:val="left"/>
      </w:pPr>
      <w:r>
        <w:rPr>
          <w:color w:val="000000"/>
        </w:rPr>
        <w:t xml:space="preserve">Re-expression of address alpha and beta</w:t>
      </w:r>
    </w:p>
    <w:p>
      <w:pPr>
        <w:pStyle w:val="FirstParagraph"/>
        <w:keepNext/>
        <w:ind w:firstLine="0"/>
        <w:jc w:val="left"/>
      </w:pPr>
      <w:r>
        <w:t xml:space="preserve">Here alpha_addr is the address power-law exponent and beta_eff is the effective admission rate of odd composites. These differ from electromagnetic fine-structure alpha_EM. The two independent 0.9 arithmetic targets D=0.268 and phi=0.05 remain disclosed additional inputs; physical energy targets 0.265 and 0.0493 do not replace them. C_even excludes the prime address 2.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0.268</m:t>
          </m:r>
          <m:r>
            <m:rPr>
              <m:sty m:val="p"/>
            </m:rPr>
            <m:t>.</m:t>
          </m:r>
          <m:r>
            <m:rPr>
              <m:sty m:val="p"/>
            </m:rPr>
            <m:t xml:space="preserve">   (10)</m:t>
          </m:r>
        </m:oMath>
      </m:oMathPara>
    </w:p>
    <w:p>
      <w:pPr>
        <w:pStyle w:val="FirstParagraph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d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  <m:r>
            <m:rPr>
              <m:sty m:val="p"/>
            </m:rPr>
            <m:t xml:space="preserve">   (11)</m:t>
          </m:r>
        </m:oMath>
      </m:oMathPara>
    </w:p>
    <w:p>
      <w:pPr>
        <w:pStyle w:val="FirstParagraph"/>
        <w:ind w:firstLine="0"/>
        <w:jc w:val="left"/>
      </w:pPr>
      <w:r>
        <w:t xml:space="preserve">Resolving the fixed phase/filter gives alpha_addr=1.899687695055, h=1.447673170353 and beta_eff=0.865457012414. Alpha_addr and h fit the two arithmetic targets; beta_eff is then derived as their re-expression. A third independent beta input is unnecessary. The five physical anchors alone do not determine arithmetic targets or alpha_EM.</w:t>
      </w:r>
    </w:p>
    <w:bookmarkEnd w:id="23"/>
    <w:bookmarkStart w:id="24" w:name="calculated-outputs"/>
    <w:p>
      <w:pPr>
        <w:pStyle w:val="Heading2"/>
        <w:ind w:firstLine="0"/>
        <w:jc w:val="left"/>
      </w:pPr>
      <w:r>
        <w:rPr>
          <w:color w:val="000000"/>
        </w:rPr>
        <w:t xml:space="preserve">Calculated outputs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674"/>
      </w:tblGrid>
      <w:tr>
        <w:trPr>
          <w:tblHeader w:val="true"/>
          <w:cantSplit/>
          <w:tblHeader/>
        </w:trPr>
        <w:tc>
          <w:tcPr>
            <w:tcW w:type="dxa" w:w="4320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/>
                <w:sz w:val="20"/>
              </w:rPr>
              <w:t xml:space="preserve">Quantity</w:t>
            </w:r>
          </w:p>
        </w:tc>
        <w:tc>
          <w:tcPr>
            <w:tcW w:type="dxa" w:w="5674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Calculated value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ucrit J m⁻³</w:t>
            </w:r>
          </w:p>
        </w:tc>
        <w:tc>
          <w:tcPr>
            <w:tcW w:type="dxa" w:w="567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7.668947767822e-10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u_hidden J m⁻³</w:t>
            </w:r>
          </w:p>
        </w:tc>
        <w:tc>
          <w:tcPr>
            <w:tcW w:type="dxa" w:w="567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7.290868642868e-10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eta_load J m⁻³</w:t>
            </w:r>
          </w:p>
        </w:tc>
        <w:tc>
          <w:tcPr>
            <w:tcW w:type="dxa" w:w="567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3.645434321434e-10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zeta kappa_h² m⁻²</w:t>
            </w:r>
          </w:p>
        </w:tc>
        <w:tc>
          <w:tcPr>
            <w:tcW w:type="dxa" w:w="567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3.028112744666e-52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Length coefficient m</w:t>
            </w:r>
          </w:p>
        </w:tc>
        <w:tc>
          <w:tcPr>
            <w:tcW w:type="dxa" w:w="567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5.746639841098e+25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a_T m s⁻²</w:t>
            </w:r>
          </w:p>
        </w:tc>
        <w:tc>
          <w:tcPr>
            <w:tcW w:type="dxa" w:w="567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1.191812669106e-10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P Pa</w:t>
            </w:r>
          </w:p>
        </w:tc>
        <w:tc>
          <w:tcPr>
            <w:tcW w:type="dxa" w:w="567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-5.258597484395e-10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q0</w:t>
            </w:r>
          </w:p>
        </w:tc>
        <w:tc>
          <w:tcPr>
            <w:tcW w:type="dxa" w:w="567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-5.285500000000e-01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mu_E eV</w:t>
            </w:r>
          </w:p>
        </w:tc>
        <w:tc>
          <w:tcPr>
            <w:tcW w:type="dxa" w:w="567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2.221734568217e+04</w:t>
            </w:r>
          </w:p>
        </w:tc>
      </w:tr>
    </w:tbl>
    <w:p>
      <w:pPr>
        <w:pStyle w:val="BodyText"/>
        <w:ind w:firstLine="0"/>
        <w:jc w:val="left"/>
      </w:pPr>
      <w:r>
        <w:t xml:space="preserve">The reference retains q0=-0.528550000, local rotation speed 207.510905127 km/s and conditional lens deflection 0.535586511 arcsec. The mass unit is 22217.345682174 eV. These are reproduction of validated benchmarks and internal calculations under disclosed inputs. A new independent prediction is not a prerequisite for completion.</w:t>
      </w:r>
    </w:p>
    <w:p>
      <w:pPr>
        <w:pStyle w:val="BodyText"/>
        <w:keepNext/>
        <w:ind w:firstLine="0"/>
        <w:jc w:val="left"/>
      </w:pPr>
      <w:r>
        <w:t xml:space="preserve">Residual freedoms are shown by calculated controls. Rescaling zeta and kappa_h as below preserves Q_h. Separately fitting eta_R at lambda_R=0 and 1 reproduces the same five targets and reference q, yet changing K to 4 after calibration gives different results. Fitting reference products eta_s mu_s and determining the full response shape are separate achievements.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↦</m:t>
          </m:r>
          <m:r>
            <m:t>r</m:t>
          </m:r>
          <m:r>
            <m:t>ζ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κ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↦</m:t>
          </m:r>
          <m:sSub>
            <m:e>
              <m:r>
                <m:t>κ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r>
                <m:t>r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t>ζ</m:t>
          </m:r>
          <m:sSubSup>
            <m:e>
              <m:r>
                <m:t>κ</m:t>
              </m:r>
            </m:e>
            <m:sub>
              <m:r>
                <m:t>h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↦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 xml:space="preserve">   (12)</m:t>
          </m:r>
        </m:oMath>
      </m:oMathPara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744"/>
        <w:gridCol w:w="3946"/>
      </w:tblGrid>
      <w:tr>
        <w:trPr>
          <w:tblHeader w:val="true"/>
          <w:cantSplit/>
          <w:tblHeader/>
        </w:trPr>
        <w:tc>
          <w:tcPr>
            <w:tcW w:type="dxa" w:w="2304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/>
                <w:sz w:val="20"/>
              </w:rPr>
              <w:t xml:space="preserve">lambda_R</w:t>
            </w:r>
          </w:p>
        </w:tc>
        <w:tc>
          <w:tcPr>
            <w:tcW w:type="dxa" w:w="3744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Reference q</w:t>
            </w:r>
          </w:p>
        </w:tc>
        <w:tc>
          <w:tcPr>
            <w:tcW w:type="dxa" w:w="3946"/>
            <w:vAlign w:val="center"/>
            <w:shd w:fill="E5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/>
                <w:sz w:val="20"/>
              </w:rPr>
              <w:t xml:space="preserve">K=4 q after fitting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0.0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-0.528550000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-0.547819855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Fonts w:ascii="Liberation Serif" w:hAnsi="Liberation Serif"/>
                <w:b w:val="0"/>
                <w:sz w:val="20"/>
              </w:rPr>
              <w:t xml:space="preserve">1.0</w:t>
            </w:r>
          </w:p>
        </w:tc>
        <w:tc>
          <w:tcPr>
            <w:tcW w:type="dxa" w:w="3744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-0.528550000</w:t>
            </w:r>
          </w:p>
        </w:tc>
        <w:tc>
          <w:tcPr>
            <w:tcW w:type="dxa" w:w="3946"/>
            <w:vAlign w:val="center"/>
            <w:shd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before="60" w:after="60" w:line="252" w:lineRule="auto"/>
              <w:jc w:val="center"/>
            </w:pPr>
            <w:r>
              <w:rPr>
                <w:rFonts w:ascii="Liberation Serif" w:hAnsi="Liberation Serif"/>
                <w:b w:val="0"/>
                <w:sz w:val="20"/>
              </w:rPr>
              <w:t xml:space="preserve">-0.548643149</w:t>
            </w:r>
          </w:p>
        </w:tc>
      </w:tr>
    </w:tbl>
    <w:p>
      <w:pPr>
        <w:pStyle w:val="BodyText"/>
        <w:keepNext/>
        <w:ind w:firstLine="0"/>
        <w:jc w:val="left"/>
      </w:pPr>
      <w:r>
        <w:t xml:space="preserve">Independence of the five anchors is checked using the logarithmic sensitivity of (C_G,ucrit,u_h,u_c,mu_E). The numerical rank is five conditional on frozen constitutive choices. This is local identification of the five calibration anchors, not identification of every model coefficient.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φ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φ</m:t>
                            </m:r>
                          </m:sub>
                        </m:sSub>
                      </m:e>
                    </m:d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  <m:r>
            <m:rPr>
              <m:sty m:val="p"/>
            </m:rPr>
            <m:t xml:space="preserve">   (13)</m:t>
          </m:r>
        </m:oMath>
      </m:oMathPara>
    </w:p>
    <w:p>
      <w:pPr>
        <w:pStyle w:val="FirstParagraph"/>
        <w:ind w:firstLine="0"/>
        <w:jc w:val="left"/>
      </w:pPr>
      <w:r>
        <w:t xml:space="preserve">Ten runs changing each anchor by ±1% are construction-sensitivity controls, not observational confidence intervals. Changed physical targets are explicitly recalibrated; address controls hold SI coefficients fixed. Electron energy changes the mass unit but not macroscopic density, q or rotation speed. Critical density varies inversely with G and quadratically with H0.</w:t>
      </w:r>
    </w:p>
    <w:p>
      <w:pPr>
        <w:pStyle w:val="BodyText"/>
        <w:keepNext/>
        <w:ind w:firstLine="0"/>
        <w:jc w:val="left"/>
      </w:pPr>
      <w:r>
        <w:t xml:space="preserve">The fixed-reference homogeneous expansion uses the same pressureless/background energy relation. Noncommuting-carrier internal exchange at fixed volume sums to zero and preserves state positivity/normalization. The required conversion work and its environmental account retain the 0.10 conservation checks.</w:t>
      </w:r>
    </w:p>
    <w:p>
      <w:pPr>
        <w:pStyle w:val="BodyText"/>
        <w:keepLines/>
        <w:spacing w:before="80" w:after="180"/>
        <w:ind w:firstLine="0"/>
        <w:jc w:val="lef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H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H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e>
          </m:d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rPr>
                  <m:sty m:val="p"/>
                </m:rPr>
                <m:t>log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rPr>
              <m:sty m:val="p"/>
            </m:rPr>
            <m:t xml:space="preserve">   (14)</m:t>
          </m:r>
        </m:oMath>
      </m:oMathPara>
    </w:p>
    <w:bookmarkEnd w:id="24"/>
    <w:bookmarkStart w:id="25" w:name="falsifiers-and-reproduction"/>
    <w:p>
      <w:pPr>
        <w:pStyle w:val="Heading2"/>
        <w:ind w:firstLine="0"/>
        <w:jc w:val="left"/>
      </w:pPr>
      <w:r>
        <w:rPr>
          <w:color w:val="000000"/>
        </w:rPr>
        <w:t xml:space="preserve">Falsifiers and reproduction</w:t>
      </w:r>
    </w:p>
    <w:p>
      <w:pPr>
        <w:pStyle w:val="FirstParagraph"/>
        <w:ind w:firstLine="0"/>
        <w:jc w:val="left"/>
      </w:pPr>
      <w:r>
        <w:t xml:space="preserve">The connection must be revised if an earlier stage reads future targets, input order changes, energy-pressure differentiation or inherited benchmark reproduction fails, electron energy is duplicated, or unidentified W0, zeta or alpha_EM is used as determined. This release executes 28 checks plus 32 inherited 0.10 checks, including zero/sign modes, five-point pressure differentiation, log sensitivities, explicit degeneracy controls, conservation and invalid-input rejection.</w:t>
      </w:r>
    </w:p>
    <w:p>
      <w:pPr>
        <w:pStyle w:val="SourceCode"/>
        <w:ind w:firstLine="0"/>
        <w:jc w:val="left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calculations/wrra_m_0_11/requirements.txt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calculations/wrra_m_0_11/run_release.py</w:t>
      </w:r>
    </w:p>
    <w:p>
      <w:pPr>
        <w:pStyle w:val="FirstParagraph"/>
        <w:ind w:firstLine="0"/>
        <w:jc w:val="left"/>
      </w:pPr>
      <w:r>
        <w:t xml:space="preserve">Parameters.json contains inputs, units, provenance and constitutive choices. Sequential calibration, physical cases, mass modes and input responses are supplied as JSON/CSV. A clean copy with all captured results removed compares regenerated outputs and bilingual sources byte for byte. Word/PDF are final publications built from those sources, with equations/tables checked against execution and every rendered page inspected.</w:t>
      </w:r>
    </w:p>
    <w:p>
      <w:pPr>
        <w:pStyle w:val="BodyText"/>
        <w:ind w:firstLine="0"/>
        <w:jc w:val="left"/>
      </w:pPr>
      <w:r>
        <w:t xml:space="preserve">Input SHA256 67de28abf0741c406178a2fe4ce07962e69bce827c3196b78e887da3bd0dab13</w:t>
      </w:r>
    </w:p>
    <w:bookmarkEnd w:id="25"/>
    <w:bookmarkStart w:id="26" w:name="completion-and-subsequent-scope"/>
    <w:p>
      <w:pPr>
        <w:pStyle w:val="Heading2"/>
        <w:ind w:firstLine="0"/>
        <w:jc w:val="left"/>
      </w:pPr>
      <w:r>
        <w:rPr>
          <w:color w:val="000000"/>
        </w:rPr>
        <w:t xml:space="preserve">Completion and subsequent scope</w:t>
      </w:r>
    </w:p>
    <w:p>
      <w:pPr>
        <w:pStyle w:val="FirstParagraph"/>
        <w:ind w:firstLine="0"/>
        <w:jc w:val="left"/>
      </w:pPr>
      <w:r>
        <w:t xml:space="preserve">Version 0.11 completes staged calibration of the five disclosed anchors and reporting of residual freedoms. Their origins, a unique universe solution and calibration-free constants are not completion requirements. Version 0.12 treats clocks/boundaries/spectra, 0.13 physical quantization/post-observation states/records, and later stages uncertainty, stress, curvature, size and neutrino connections. Unmeasured outputs produced after fixing the model and calibration are recorded as WRRA predictions with their inputs and falsifiers.</w:t>
      </w:r>
    </w:p>
    <w:bookmarkEnd w:id="26"/>
    <w:bookmarkStart w:id="27" w:name="references"/>
    <w:p>
      <w:pPr>
        <w:pStyle w:val="Heading2"/>
        <w:keepNext/>
        <w:ind w:firstLine="0"/>
        <w:jc w:val="left"/>
      </w:pPr>
      <w:r>
        <w:rPr>
          <w:color w:val="000000"/>
        </w:rPr>
        <w:t xml:space="preserve">References</w:t>
      </w:r>
    </w:p>
    <w:p>
      <w:pPr>
        <w:pStyle w:val="FirstParagraph"/>
        <w:keepNext/>
        <w:spacing w:line="240" w:lineRule="auto" w:after="60"/>
        <w:ind w:firstLine="0"/>
        <w:jc w:val="left"/>
      </w:pPr>
      <w:r>
        <w:rPr>
          <w:sz w:val="20"/>
        </w:rPr>
        <w:t xml:space="preserve">Choi Wonsik. WRRA_M 0.10, frozen baseline commit 24707c512c3994f2b19a96d6f257ef7d1249dab3. https://github.com/Wonsik-Choi-janefather/wrra-m-0.1</w:t>
      </w:r>
    </w:p>
    <w:p>
      <w:pPr>
        <w:pStyle w:val="BodyText"/>
        <w:keepNext/>
        <w:spacing w:line="240" w:lineRule="auto" w:after="60"/>
        <w:ind w:firstLine="0"/>
        <w:jc w:val="left"/>
      </w:pPr>
      <w:r>
        <w:rPr>
          <w:sz w:val="20"/>
        </w:rPr>
        <w:t xml:space="preserve">Choi Wonsik. Minimal Computation Cosmology 2.3.2, chapter 23, frozen commit 21daec110c0cbecb228c445d587eac8302e7f767. https://github.com/Wonsik-Choi-janefather/minimal-computing-cosmology-2.3.2</w:t>
      </w:r>
    </w:p>
    <w:p>
      <w:pPr>
        <w:pStyle w:val="BodyText"/>
        <w:keepNext/>
        <w:spacing w:line="240" w:lineRule="auto" w:after="60"/>
        <w:ind w:firstLine="0"/>
        <w:jc w:val="left"/>
      </w:pPr>
      <w:r>
        <w:rPr>
          <w:sz w:val="20"/>
        </w:rPr>
        <w:t xml:space="preserve">Choi Wonsik. WRRA_M_Calibration_Candidates.xlsx, first-sheet reference; source hash in parameters.json.</w:t>
      </w:r>
    </w:p>
    <w:p>
      <w:pPr>
        <w:pStyle w:val="BodyText"/>
        <w:keepNext/>
        <w:spacing w:line="240" w:lineRule="auto" w:after="60"/>
        <w:ind w:firstLine="0"/>
        <w:jc w:val="left"/>
      </w:pPr>
      <w:r>
        <w:rPr>
          <w:sz w:val="20"/>
        </w:rPr>
        <w:t xml:space="preserve">Planck Collaboration. Planck 2018 results VI, A&amp;A 641 A6 (2020). https://doi.org/10.1051/0004-6361/201833910</w:t>
      </w:r>
    </w:p>
    <w:p>
      <w:pPr>
        <w:pStyle w:val="BodyText"/>
        <w:keepNext w:val="0"/>
        <w:spacing w:line="240" w:lineRule="auto" w:after="60"/>
        <w:ind w:firstLine="0"/>
        <w:jc w:val="left"/>
      </w:pPr>
      <w:r>
        <w:rPr>
          <w:sz w:val="20"/>
        </w:rPr>
        <w:t xml:space="preserve">NIST. CODATA 2022 constants table. https://physics.nist.gov/cuu/pdf/wall_2022.pdf</w:t>
      </w:r>
    </w:p>
    <w:bookmarkEnd w:id="27"/>
    <w:bookmarkEnd w:id="28"/>
    <w:sectPr>
      <w:footerReference w:type="default" r:id="rId9"/>
      <w:pgSz w:w="12240" w:h="15840"/>
      <w:pgMar w:top="1037" w:bottom="1037" w:left="1123" w:right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Liberation Serif" w:hAnsi="Liberation Serif"/>
        <w:sz w:val="16"/>
      </w:rPr>
      <w:t xml:space="preserve">Copyright 2026 Wonsik Choi. CC BY 4.0. https://creativecommons.org/licenses/by/4.0/  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2" w:lineRule="auto"/>
    </w:pPr>
    <w:rPr>
      <w:rFonts w:ascii="Liberation Serif" w:hAnsi="Liberation Serif" w:eastAsia="NanumGothic"/>
      <w:color w:val="000000"/>
      <w:sz w:val="22"/>
    </w:rPr>
  </w:style>
  <w:style w:styleId="BodyText" w:type="paragraph">
    <w:name w:val="Body Text"/>
    <w:basedOn w:val="Normal"/>
    <w:link w:val="BodyTextChar"/>
    <w:pPr>
      <w:spacing w:after="80" w:before="180" w:line="252" w:lineRule="auto"/>
    </w:pPr>
    <w:qFormat/>
    <w:rPr>
      <w:rFonts w:ascii="Liberation Serif" w:hAnsi="Liberation Serif" w:eastAsia="NanumGothic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252" w:lineRule="auto"/>
    </w:pPr>
    <w:rPr>
      <w:rFonts w:ascii="Liberation Serif" w:hAnsi="Liberation Serif" w:eastAsia="NanumGothic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480" w:line="271" w:lineRule="auto"/>
      <w:jc w:val="center"/>
    </w:pPr>
    <w:rPr>
      <w:rFonts w:asciiTheme="majorHAnsi" w:cstheme="majorBidi" w:eastAsiaTheme="majorEastAsia" w:hAnsiTheme="majorHAnsi" w:ascii="Liberation Sans" w:hAnsi="Liberation Sans" w:eastAsia="NanumGothic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40" w:before="240" w:line="271" w:lineRule="auto"/>
      <w:jc w:val="center"/>
    </w:pPr>
    <w:rPr>
      <w:rFonts w:ascii="Liberation Serif" w:hAnsi="Liberation Serif" w:eastAsia="NanumGothic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140" w:line="271" w:lineRule="auto"/>
    </w:pPr>
    <w:rPr>
      <w:rFonts w:ascii="Liberation Serif" w:hAnsi="Liberation Serif" w:eastAsia="NanumGothic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Heading1">
    <w:name w:val="heading 1"/>
    <w:basedOn w:val="Normal"/>
    <w:pPr>
      <w:keepNext/>
      <w:spacing w:after="140" w:line="271" w:lineRule="auto"/>
    </w:pPr>
    <w:rPr>
      <w:rFonts w:ascii="Liberation Sans" w:hAnsi="Liberation Sans" w:eastAsia="NanumGothic"/>
      <w:color w:val="000000"/>
      <w:sz w:val="34"/>
    </w:rPr>
  </w:style>
  <w:style w:type="paragraph" w:customStyle="1" w:styleId="Heading2">
    <w:name w:val="heading 2"/>
    <w:basedOn w:val="Normal"/>
    <w:pPr>
      <w:keepNext/>
      <w:spacing w:after="140" w:line="271" w:lineRule="auto" w:before="260"/>
    </w:pPr>
    <w:rPr>
      <w:rFonts w:ascii="Liberation Sans" w:hAnsi="Liberation Sans" w:eastAsia="NanumGothic"/>
      <w:color w:val="000000"/>
      <w:sz w:val="28"/>
    </w:rPr>
  </w:style>
  <w:style w:type="paragraph" w:customStyle="1" w:styleId="Heading3">
    <w:name w:val="heading 3"/>
    <w:basedOn w:val="Normal"/>
    <w:pPr>
      <w:keepNext/>
      <w:spacing w:after="140" w:line="271" w:lineRule="auto"/>
    </w:pPr>
    <w:rPr>
      <w:rFonts w:ascii="Liberation Sans" w:hAnsi="Liberation Sans" w:eastAsia="NanumGothic"/>
      <w:color w:val="000000"/>
      <w:sz w:val="24"/>
    </w:rPr>
  </w:style>
  <w:style w:type="paragraph" w:customStyle="1" w:styleId="Caption">
    <w:name w:val="caption"/>
    <w:basedOn w:val="Normal"/>
    <w:pPr>
      <w:spacing w:after="140" w:line="271" w:lineRule="auto"/>
    </w:pPr>
    <w:rPr>
      <w:rFonts w:ascii="Liberation Serif" w:hAnsi="Liberation Serif" w:eastAsia="NanumGothic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WRRA-M 0.11 Sequential Calibration of the First Five Inputs</dc:title>
  <dc:creator>Wonsik Choi</dc:creator>
  <cp:keywords/>
  <dcterms:created xsi:type="dcterms:W3CDTF">2026-10-02T23:11:45Z</dcterms:created>
  <dcterms:modified xsi:type="dcterms:W3CDTF">2026-10-02T23:11:45Z</dcterms:modified>
  <dc:subject>EN edition with matched equations and calculated accounting checks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