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inimal-computing-cosmology-30"/>
    <w:p>
      <w:pPr>
        <w:pStyle w:val="Heading1"/>
      </w:pPr>
      <w:r>
        <w:t xml:space="preserve">Minimal Computing Cosmology 3.0</w:t>
      </w:r>
    </w:p>
    <w:bookmarkStart w:id="20" w:name="Xd76e1e3e6f4b9ee8ec71107bfb1176a4be2e127"/>
    <w:p>
      <w:pPr>
        <w:pStyle w:val="Heading2"/>
      </w:pPr>
      <w:r>
        <w:t xml:space="preserve">Finite-Source Integrated Model: From a Generated Address Space to Components, Energy, Gravity and Cosmic Expansion</w:t>
      </w:r>
    </w:p>
    <w:p>
      <w:pPr>
        <w:pStyle w:val="FirstParagraph"/>
      </w:pPr>
      <w:r>
        <w:t xml:space="preserve">Authors: Wonsik Choi, Jeongin Choi</w:t>
      </w:r>
      <w:r>
        <w:br/>
      </w:r>
      <w:r>
        <w:t xml:space="preserve">Date: 7 October 2026</w:t>
      </w:r>
      <w:r>
        <w:br/>
      </w:r>
      <w:r>
        <w:t xml:space="preserve">Status: Six-stage computational integration PASS / integrated scientific model PASS-C</w:t>
      </w:r>
      <w:r>
        <w:br/>
      </w:r>
      <w:r>
        <w:t xml:space="preserve">ORCID: Wonsik Choi — 0009-0001-4263-9772</w:t>
      </w:r>
    </w:p>
    <w:p>
      <w:r>
        <w:pict>
          <v:rect style="width:0;height:1.5pt" o:hralign="center" o:hrstd="t" o:hr="t"/>
        </w:pict>
      </w:r>
    </w:p>
    <w:bookmarkEnd w:id="20"/>
    <w:bookmarkStart w:id="21" w:name="abstract"/>
    <w:p>
      <w:pPr>
        <w:pStyle w:val="Heading2"/>
      </w:pPr>
      <w:r>
        <w:t xml:space="preserve">Abstract</w:t>
      </w:r>
    </w:p>
    <w:p>
      <w:pPr>
        <w:pStyle w:val="FirstParagraph"/>
      </w:pPr>
      <w:r>
        <w:t xml:space="preserve">Minimal Computing Cosmology (MCC) starts from the hypothesis that the universe need not store an infinitely detailed completed future in advance. Instead, present reality may be executed from finite states, relations, boundaries, residues and resource ledgers. MCC 2.3.2 organized SOURCE, common carrier, dimensional filtering, residue, phenotype and gravity/geometry into a common ownership framework, while the later WRRA_M implementation specialized that framework to our universe. One major gap remained: the executable arithmetic domain used N=1,000,000 as a practical cutoff rather than as an internally generated property.</w:t>
      </w:r>
    </w:p>
    <w:p>
      <w:pPr>
        <w:pStyle w:val="BodyText"/>
      </w:pPr>
      <w:r>
        <w:t xml:space="preserve">MCC 3.0 closes that slot with a finite Klein–Zeta SOURCE candidate built from three structures already present in the model. The adopted arithmetic ledger 0.05/0.268/0.682 gives the exact integer resolution L=500; the inherited neutrino harmonic ledger (0,5,29) gives H=29; and the number of positive nontrivial Riemann-zeta zeros below the finite boundary T=2πH gives C=70. Under the declared candidate construction</w:t>
      </w:r>
    </w:p>
    <w:p>
      <w:pPr>
        <w:pStyle w:val="BodyText"/>
      </w:pPr>
      <w:r>
        <w:t xml:space="preserve">[</w:t>
      </w:r>
      <w:r>
        <w:t xml:space="preserve"> </w:t>
      </w:r>
      <w:r>
        <w:t xml:space="preserve">N_U=LHC,</w:t>
      </w:r>
      <w:r>
        <w:t xml:space="preserve"> </w:t>
      </w:r>
      <w:r>
        <w:t xml:space="preserve">]</w:t>
      </w:r>
    </w:p>
    <w:p>
      <w:pPr>
        <w:pStyle w:val="BodyText"/>
      </w:pPr>
      <w:r>
        <w:t xml:space="preserve">the generated finite address window is</w:t>
      </w:r>
    </w:p>
    <w:p>
      <w:pPr>
        <w:pStyle w:val="BodyText"/>
      </w:pPr>
      <w:r>
        <w:t xml:space="preserve">[</w:t>
      </w:r>
      <w:r>
        <w:t xml:space="preserve"> </w:t>
      </w:r>
      <w:r>
        <w:t xml:space="preserve">\boxed{N_U=1,015,000}.</w:t>
      </w:r>
      <w:r>
        <w:t xml:space="preserve"> </w:t>
      </w:r>
      <w:r>
        <w:t xml:space="preserve">]</w:t>
      </w:r>
    </w:p>
    <w:p>
      <w:pPr>
        <w:pStyle w:val="BodyText"/>
      </w:pPr>
      <w:r>
        <w:t xml:space="preserve">This value is not presented as an experimentally measured universal constant. It is a conditional MCC/WRRA prediction under the declared KZF construction.</w:t>
      </w:r>
    </w:p>
    <w:p>
      <w:pPr>
        <w:pStyle w:val="BodyText"/>
      </w:pPr>
      <w:r>
        <w:t xml:space="preserve">Replacing the legacy cutoff with this generated window changes the frozen arithmetic ledger only to 5.000002539%/26.800001829%/68.199995632%. Reapplying only the same two declared arithmetic calibration freedoms, α and h, restores 5%/26.8%/68.2% to numerical precision. The resulting state is propagated through component/phenotype bookkeeping, information load, SI energy, pressure, gravity, reference galaxy rotation, conditional lensing and homogeneous expansion. With the downstream SI coefficients and local-gravity response frozen, the present reference outputs are</w:t>
      </w:r>
    </w:p>
    <w:p>
      <w:pPr>
        <w:pStyle w:val="BodyText"/>
      </w:pPr>
      <w:r>
        <w:t xml:space="preserve">[</w:t>
      </w:r>
      <w:r>
        <w:t xml:space="preserve"> </w:t>
      </w:r>
      <w:r>
        <w:t xml:space="preserve">q_0=-0.5285585894,</w:t>
      </w:r>
      <w:r>
        <w:t xml:space="preserve"> </w:t>
      </w:r>
      <w:r>
        <w:t xml:space="preserve">]</w:t>
      </w:r>
    </w:p>
    <w:p>
      <w:pPr>
        <w:pStyle w:val="BodyText"/>
      </w:pPr>
      <w:r>
        <w:t xml:space="preserve">[</w:t>
      </w:r>
      <w:r>
        <w:t xml:space="preserve"> </w:t>
      </w:r>
      <w:r>
        <w:t xml:space="preserve">a_T=1.1917875314\times10^{-10}\ {\rm m,s^{-2}},</w:t>
      </w:r>
      <w:r>
        <w:t xml:space="preserve"> </w:t>
      </w:r>
      <w:r>
        <w:t xml:space="preserve">]</w:t>
      </w:r>
    </w:p>
    <w:p>
      <w:pPr>
        <w:pStyle w:val="BodyText"/>
      </w:pPr>
      <w:r>
        <w:t xml:space="preserve">[</w:t>
      </w:r>
      <w:r>
        <w:t xml:space="preserve"> </w:t>
      </w:r>
      <w:r>
        <w:t xml:space="preserve">v_{\rm ref}=207.5102419\ {\rm km,s^{-1}},</w:t>
      </w:r>
      <w:r>
        <w:t xml:space="preserve"> </w:t>
      </w:r>
      <w:r>
        <w:t xml:space="preserve">]</w:t>
      </w:r>
    </w:p>
    <w:p>
      <w:pPr>
        <w:pStyle w:val="BodyText"/>
      </w:pPr>
      <w:r>
        <w:t xml:space="preserve">[</w:t>
      </w:r>
      <w:r>
        <w:t xml:space="preserve"> </w:t>
      </w:r>
      <w:r>
        <w:t xml:space="preserve">\theta_{\rm lens}=0.5355822400'',</w:t>
      </w:r>
      <w:r>
        <w:t xml:space="preserve"> </w:t>
      </w:r>
      <w:r>
        <w:t xml:space="preserve">]</w:t>
      </w:r>
    </w:p>
    <w:p>
      <w:pPr>
        <w:pStyle w:val="BodyText"/>
      </w:pPr>
      <w:r>
        <w:t xml:space="preserve">with a uniform-branch acceleration-transition scale factor</w:t>
      </w:r>
    </w:p>
    <w:p>
      <w:pPr>
        <w:pStyle w:val="BodyText"/>
      </w:pPr>
      <w:r>
        <w:t xml:space="preserve">[</w:t>
      </w:r>
      <w:r>
        <w:t xml:space="preserve"> </w:t>
      </w:r>
      <w:r>
        <w:t xml:space="preserve">a_{\rm trans}=0.6119598068.</w:t>
      </w:r>
      <w:r>
        <w:t xml:space="preserve"> </w:t>
      </w:r>
      <w:r>
        <w:t xml:space="preserve">]</w:t>
      </w:r>
    </w:p>
    <w:p>
      <w:pPr>
        <w:pStyle w:val="BodyText"/>
      </w:pPr>
      <w:r>
        <w:t xml:space="preserve">The work follows one assessment rule throughout: verification input → WRRA-specific transformation → output → falsification condition. Fifty-four declared Stage 1–5 checks and eleven Stage-6 cross-stage checks all pass. The integrated computational chain therefore closes, but the scientific model remains PASS-C because the physical necessity of T=2πH, the independence of L,H,C, the uniqueness of N_U=LHC, the physical necessity of the Klein-type closure, the uniqueness of the particle-species decoder, and full spin/flavor/confinement/binding closure remain open.</w:t>
      </w:r>
    </w:p>
    <w:p>
      <w:r>
        <w:pict>
          <v:rect style="width:0;height:1.5pt" o:hralign="center" o:hrstd="t" o:hr="t"/>
        </w:pict>
      </w:r>
    </w:p>
    <w:bookmarkEnd w:id="21"/>
    <w:bookmarkEnd w:id="22"/>
    <w:bookmarkStart w:id="23" w:name="Xaa536ef52cf167012314d40d2730af26cf148f5"/>
    <w:p>
      <w:pPr>
        <w:pStyle w:val="Heading1"/>
      </w:pPr>
      <w:r>
        <w:t xml:space="preserve">Preface — From an Exhibition to a Starting Rule</w:t>
      </w:r>
    </w:p>
    <w:p>
      <w:pPr>
        <w:pStyle w:val="FirstParagraph"/>
      </w:pPr>
      <w:r>
        <w:t xml:space="preserve">The immediate conceptual origin of MCC 3.0 was not a new astronomical measurement. While viewing KOO JEONG A: OUSSSMOS at Leeum Museum of Art in Seoul, an image emerged of twist distributed throughout an entire form rather than concentrated at one local fold. That intuition was subsequently formalized in the precursor study Finite but Boundaryless: A WRRA Hybrid Expansion and Accumulated Twist Cosmology with Hidden Gravitational State [1].</w:t>
      </w:r>
    </w:p>
    <w:p>
      <w:pPr>
        <w:pStyle w:val="BodyText"/>
      </w:pPr>
      <w:r>
        <w:t xml:space="preserve">That paper did not present a Möbius strip as the literal topology of the universe. A Möbius strip has a boundary and the wrong dimension. Instead, it posed a structural question: if a universe is finite yet does not terminate at an edge, how can its state space close, how can transport return to itself, and what residue can an accumulated twist leave?</w:t>
      </w:r>
    </w:p>
    <w:p>
      <w:pPr>
        <w:pStyle w:val="BodyText"/>
      </w:pPr>
      <w:r>
        <w:t xml:space="preserve">The precursor chain was</w:t>
      </w:r>
    </w:p>
    <w:p>
      <w:pPr>
        <w:pStyle w:val="BodyText"/>
      </w:pPr>
      <w:r>
        <w:t xml:space="preserve">[</w:t>
      </w:r>
      <w:r>
        <w:t xml:space="preserve"> </w:t>
      </w:r>
      <w:r>
        <w:t xml:space="preserve">\text{global closure}</w:t>
      </w:r>
      <w:r>
        <w:t xml:space="preserve"> </w:t>
      </w:r>
      <w:r>
        <w:t xml:space="preserve">\rightarrow</w:t>
      </w:r>
      <w:r>
        <w:t xml:space="preserve"> </w:t>
      </w:r>
      <w:r>
        <w:t xml:space="preserve">\text{distributed connection}</w:t>
      </w:r>
      <w:r>
        <w:t xml:space="preserve"> </w:t>
      </w:r>
      <w:r>
        <w:t xml:space="preserve">\rightarrow</w:t>
      </w:r>
      <w:r>
        <w:t xml:space="preserve"> </w:t>
      </w:r>
      <w:r>
        <w:t xml:space="preserve">\text{holonomy}</w:t>
      </w:r>
      <w:r>
        <w:t xml:space="preserve"> </w:t>
      </w:r>
      <w:r>
        <w:t xml:space="preserve">\rightarrow</w:t>
      </w:r>
      <w:r>
        <w:t xml:space="preserve"> </w:t>
      </w:r>
      <w:r>
        <w:t xml:space="preserve">\text{transport residue}</w:t>
      </w:r>
      <w:r>
        <w:t xml:space="preserve"> </w:t>
      </w:r>
      <w:r>
        <w:t xml:space="preserve">\rightarrow</w:t>
      </w:r>
      <w:r>
        <w:t xml:space="preserve"> </w:t>
      </w:r>
      <w:r>
        <w:t xml:space="preserve">\text{twist stress}</w:t>
      </w:r>
      <w:r>
        <w:t xml:space="preserve"> </w:t>
      </w:r>
      <w:r>
        <w:t xml:space="preserve">\rightarrow</w:t>
      </w:r>
      <w:r>
        <w:t xml:space="preserve"> </w:t>
      </w:r>
      <w:r>
        <w:t xml:space="preserve">\text{gravity}.</w:t>
      </w:r>
      <w:r>
        <w:t xml:space="preserve"> </w:t>
      </w:r>
      <w:r>
        <w:t xml:space="preserve">]</w:t>
      </w:r>
    </w:p>
    <w:p>
      <w:pPr>
        <w:pStyle w:val="BodyText"/>
      </w:pPr>
      <w:r>
        <w:t xml:space="preserve">The exhibition is acknowledged as a conceptual trigger, not as scientific evidence. The physical equations, computational rules and falsification conditions remain independent research objects.</w:t>
      </w:r>
    </w:p>
    <w:p>
      <w:pPr>
        <w:pStyle w:val="BodyText"/>
      </w:pPr>
      <w:r>
        <w:t xml:space="preserve">MCC 3.0 moves that question one level upstream. A finite and boundaryless universe should not merely have a finite spatial description; its executable SOURCE should also be finite. Earlier WRRA_M work used a finite domain, but its size was supplied externally. Version 3.0 replaces that remaining external cutoff with an internally generated candidate and follows the resulting state all the way down to energy, gravity and expansion.</w:t>
      </w:r>
    </w:p>
    <w:p>
      <w:r>
        <w:pict>
          <v:rect style="width:0;height:1.5pt" o:hralign="center" o:hrstd="t" o:hr="t"/>
        </w:pict>
      </w:r>
    </w:p>
    <w:bookmarkEnd w:id="23"/>
    <w:bookmarkStart w:id="24" w:name="X4ab1ea881e10a58e4997f92ee50f5e026e23f5f"/>
    <w:p>
      <w:pPr>
        <w:pStyle w:val="Heading1"/>
      </w:pPr>
      <w:r>
        <w:t xml:space="preserve">1. WRRA and Minimal Computation</w:t>
      </w:r>
    </w:p>
    <w:p>
      <w:pPr>
        <w:pStyle w:val="FirstParagraph"/>
      </w:pPr>
      <w:r>
        <w:t xml:space="preserve">Minimal Computing Cosmology asks whether the universe must contain a completed informational copy of every future event, or whether it can execute the next present from the current state and fixed rules.</w:t>
      </w:r>
    </w:p>
    <w:p>
      <w:pPr>
        <w:pStyle w:val="BodyText"/>
      </w:pPr>
      <w:r>
        <w:t xml:space="preserve">MCC adopts the latter as a model hypothesis. WRRA organizes the execution through</w:t>
      </w:r>
    </w:p>
    <w:p>
      <w:pPr>
        <w:pStyle w:val="BodyText"/>
      </w:pPr>
      <w:r>
        <w:t xml:space="preserve">[</w:t>
      </w:r>
      <w:r>
        <w:t xml:space="preserve"> </w:t>
      </w:r>
      <w:r>
        <w:t xml:space="preserve">\boxed{</w:t>
      </w:r>
      <w:r>
        <w:t xml:space="preserve"> </w:t>
      </w:r>
      <w:r>
        <w:t xml:space="preserve">\text{SOURCE}</w:t>
      </w:r>
      <w:r>
        <w:t xml:space="preserve"> </w:t>
      </w:r>
      <w:r>
        <w:t xml:space="preserve">\rightarrow</w:t>
      </w:r>
      <w:r>
        <w:t xml:space="preserve"> </w:t>
      </w:r>
      <w:r>
        <w:t xml:space="preserve">\text{RELATION/FILTER}</w:t>
      </w:r>
      <w:r>
        <w:t xml:space="preserve"> </w:t>
      </w:r>
      <w:r>
        <w:t xml:space="preserve">\rightarrow</w:t>
      </w:r>
      <w:r>
        <w:t xml:space="preserve"> </w:t>
      </w:r>
      <w:r>
        <w:t xml:space="preserve">\text{RESIDUE}</w:t>
      </w:r>
      <w:r>
        <w:t xml:space="preserve"> </w:t>
      </w:r>
      <w:r>
        <w:t xml:space="preserve">\rightarrow</w:t>
      </w:r>
      <w:r>
        <w:t xml:space="preserve"> </w:t>
      </w:r>
      <w:r>
        <w:t xml:space="preserve">\text{RESOURCE/LEDGER}</w:t>
      </w:r>
      <w:r>
        <w:t xml:space="preserve"> </w:t>
      </w:r>
      <w:r>
        <w:t xml:space="preserve">\rightarrow</w:t>
      </w:r>
      <w:r>
        <w:t xml:space="preserve"> </w:t>
      </w:r>
      <w:r>
        <w:t xml:space="preserve">\text{ACTION/PHENOTYPE}</w:t>
      </w:r>
      <w:r>
        <w:t xml:space="preserve"> </w:t>
      </w:r>
      <w:r>
        <w:t xml:space="preserve">}.</w:t>
      </w:r>
      <w:r>
        <w:t xml:space="preserve"> </w:t>
      </w:r>
      <w:r>
        <w:t xml:space="preserve">]</w:t>
      </w:r>
    </w:p>
    <w:p>
      <w:pPr>
        <w:pStyle w:val="BodyText"/>
      </w:pPr>
      <w:r>
        <w:t xml:space="preserve">SOURCE supplies executable state; RELATION and FILTER determine transport and selection; RESIDUE is history retained in the present; the LEDGER owns conserved or transferred resources; PHENOTYPE is the realized output.</w:t>
      </w:r>
    </w:p>
    <w:p>
      <w:pPr>
        <w:pStyle w:val="BodyText"/>
      </w:pPr>
      <w:r>
        <w:t xml:space="preserve">The framework does not require our universe to be uniquely privileged. A fixed finite rule may permit more than one realization, with our universe corresponding to one realized branch. Mathematical infinity remains valid mathematics; MCC 3.0 only refuses to require a physically instantiated infinite SOURCE.</w:t>
      </w:r>
    </w:p>
    <w:p>
      <w:pPr>
        <w:pStyle w:val="BodyText"/>
      </w:pPr>
      <w:r>
        <w:t xml:space="preserve">[</w:t>
      </w:r>
      <w:r>
        <w:t xml:space="preserve"> </w:t>
      </w:r>
      <w:r>
        <w:t xml:space="preserve">\text{mathematical infinity}</w:t>
      </w:r>
      <w:r>
        <w:t xml:space="preserve"> </w:t>
      </w:r>
      <w:r>
        <w:t xml:space="preserve">\neq</w:t>
      </w:r>
      <w:r>
        <w:t xml:space="preserve"> </w:t>
      </w:r>
      <w:r>
        <w:t xml:space="preserve">\text{physically instantiated infinite SOURCE}.</w:t>
      </w:r>
      <w:r>
        <w:t xml:space="preserve"> </w:t>
      </w:r>
      <w:r>
        <w:t xml:space="preserve">]</w:t>
      </w:r>
    </w:p>
    <w:p>
      <w:r>
        <w:pict>
          <v:rect style="width:0;height:1.5pt" o:hralign="center" o:hrstd="t" o:hr="t"/>
        </w:pict>
      </w:r>
    </w:p>
    <w:bookmarkEnd w:id="24"/>
    <w:bookmarkStart w:id="25" w:name="Xe7fb563e7ab57e87bb405e5fd986828ba59ffdb"/>
    <w:p>
      <w:pPr>
        <w:pStyle w:val="Heading1"/>
      </w:pPr>
      <w:r>
        <w:t xml:space="preserve">2. Why an Infinite SOURCE Is Not Required</w:t>
      </w:r>
    </w:p>
    <w:p>
      <w:pPr>
        <w:pStyle w:val="FirstParagraph"/>
      </w:pPr>
      <w:r>
        <w:t xml:space="preserve">WRRA_M already executed a finite address domain</w:t>
      </w:r>
    </w:p>
    <w:p>
      <w:pPr>
        <w:pStyle w:val="BodyText"/>
      </w:pPr>
      <w:r>
        <w:t xml:space="preserve">[</w:t>
      </w:r>
      <w:r>
        <w:t xml:space="preserve"> </w:t>
      </w:r>
      <w:r>
        <w:t xml:space="preserve">n=2,\ldots,10^6.</w:t>
      </w:r>
      <w:r>
        <w:t xml:space="preserve"> </w:t>
      </w:r>
      <w:r>
        <w:t xml:space="preserve">]</w:t>
      </w:r>
    </w:p>
    <w:p>
      <w:pPr>
        <w:pStyle w:val="BodyText"/>
      </w:pPr>
      <w:r>
        <w:t xml:space="preserve">The problem was that 10^6 was a convenience cutoff. It showed that a finite calculation was possible, but not why the source should have that size.</w:t>
      </w:r>
    </w:p>
    <w:p>
      <w:pPr>
        <w:pStyle w:val="BodyText"/>
      </w:pPr>
      <w:r>
        <w:t xml:space="preserve">MCC 3.0 therefore demands a starting rule with six properties: finiteness, address generation, nonterminal closure, compatibility with the frozen filter, survival of existing validation ledgers, and fail-closed ownership of any later failure.</w:t>
      </w:r>
    </w:p>
    <w:p>
      <w:pPr>
        <w:pStyle w:val="BodyText"/>
      </w:pPr>
      <w:r>
        <w:t xml:space="preserve">This motivates the finite Klein–Zeta source candidate.</w:t>
      </w:r>
    </w:p>
    <w:p>
      <w:r>
        <w:pict>
          <v:rect style="width:0;height:1.5pt" o:hralign="center" o:hrstd="t" o:hr="t"/>
        </w:pict>
      </w:r>
    </w:p>
    <w:bookmarkEnd w:id="25"/>
    <w:bookmarkStart w:id="26" w:name="X86f63294ff201e8db9faebbe30a0a6eb62a3301"/>
    <w:p>
      <w:pPr>
        <w:pStyle w:val="Heading1"/>
      </w:pPr>
      <w:r>
        <w:t xml:space="preserve">3. Finite Klein–Zeta Generator</w:t>
      </w:r>
    </w:p>
    <w:p>
      <w:pPr>
        <w:pStyle w:val="FirstParagraph"/>
      </w:pPr>
      <w:r>
        <w:t xml:space="preserve">The adopted arithmetic ledger</w:t>
      </w:r>
    </w:p>
    <w:bookmarkEnd w:id="26"/>
    <w:bookmarkStart w:id="27" w:name="X94bf69042e8079e9b4b5b4c875ce1b7179ca95f"/>
    <w:p>
      <w:pPr>
        <w:pStyle w:val="Heading1"/>
      </w:pPr>
      <w:r>
        <w:t xml:space="preserve">[</w:t>
      </w:r>
      <w:r>
        <w:t xml:space="preserve"> </w:t>
      </w:r>
      <w:r>
        <w:t xml:space="preserve">(0.05,0.268,0.682)</w:t>
      </w:r>
    </w:p>
    <w:p>
      <w:pPr>
        <w:pStyle w:val="FirstParagraph"/>
      </w:pPr>
      <w:r>
        <w:t xml:space="preserve">\left(</w:t>
      </w:r>
      <w:r>
        <w:t xml:space="preserve"> </w:t>
      </w:r>
      <w:r>
        <w:t xml:space="preserve">\frac{25}{500},</w:t>
      </w:r>
      <w:r>
        <w:t xml:space="preserve"> </w:t>
      </w:r>
      <w:r>
        <w:t xml:space="preserve">\frac{134}{500},</w:t>
      </w:r>
      <w:r>
        <w:t xml:space="preserve"> </w:t>
      </w:r>
      <w:r>
        <w:t xml:space="preserve">\frac{341}{500}</w:t>
      </w:r>
      <w:r>
        <w:t xml:space="preserve"> </w:t>
      </w:r>
      <w:r>
        <w:t xml:space="preserve">\right)</w:t>
      </w:r>
      <w:r>
        <w:t xml:space="preserve"> </w:t>
      </w:r>
      <w:r>
        <w:t xml:space="preserve">]</w:t>
      </w:r>
    </w:p>
    <w:p>
      <w:pPr>
        <w:pStyle w:val="BodyText"/>
      </w:pPr>
      <w:r>
        <w:t xml:space="preserve">has least common exact denominator</w:t>
      </w:r>
    </w:p>
    <w:p>
      <w:pPr>
        <w:pStyle w:val="BodyText"/>
      </w:pPr>
      <w:r>
        <w:t xml:space="preserve">[</w:t>
      </w:r>
      <w:r>
        <w:t xml:space="preserve"> </w:t>
      </w:r>
      <w:r>
        <w:t xml:space="preserve">\boxed{L=500}.</w:t>
      </w:r>
      <w:r>
        <w:t xml:space="preserve"> </w:t>
      </w:r>
      <w:r>
        <w:t xml:space="preserve">]</w:t>
      </w:r>
    </w:p>
    <w:p>
      <w:pPr>
        <w:pStyle w:val="BodyText"/>
      </w:pPr>
      <w:r>
        <w:t xml:space="preserve">The inherited harmonic ledger</w:t>
      </w:r>
    </w:p>
    <w:p>
      <w:pPr>
        <w:pStyle w:val="BodyText"/>
      </w:pPr>
      <w:r>
        <w:t xml:space="preserve">[</w:t>
      </w:r>
      <w:r>
        <w:t xml:space="preserve"> </w:t>
      </w:r>
      <w:r>
        <w:t xml:space="preserve">(0,5,29)</w:t>
      </w:r>
      <w:r>
        <w:t xml:space="preserve"> </w:t>
      </w:r>
      <w:r>
        <w:t xml:space="preserve">]</w:t>
      </w:r>
    </w:p>
    <w:p>
      <w:pPr>
        <w:pStyle w:val="BodyText"/>
      </w:pPr>
      <w:r>
        <w:t xml:space="preserve">supplies</w:t>
      </w:r>
    </w:p>
    <w:p>
      <w:pPr>
        <w:pStyle w:val="BodyText"/>
      </w:pPr>
      <w:r>
        <w:t xml:space="preserve">[</w:t>
      </w:r>
      <w:r>
        <w:t xml:space="preserve"> </w:t>
      </w:r>
      <w:r>
        <w:t xml:space="preserve">\boxed{H=29}.</w:t>
      </w:r>
      <w:r>
        <w:t xml:space="preserve"> </w:t>
      </w:r>
      <w:r>
        <w:t xml:space="preserve">]</w:t>
      </w:r>
    </w:p>
    <w:p>
      <w:pPr>
        <w:pStyle w:val="BodyText"/>
      </w:pPr>
      <w:r>
        <w:t xml:space="preserve">With the declared finite phase boundary</w:t>
      </w:r>
    </w:p>
    <w:p>
      <w:pPr>
        <w:pStyle w:val="BodyText"/>
      </w:pPr>
      <w:r>
        <w:t xml:space="preserve">[</w:t>
      </w:r>
      <w:r>
        <w:t xml:space="preserve"> </w:t>
      </w:r>
      <w:r>
        <w:t xml:space="preserve">T_H=2\pi H=182.212373908208,</w:t>
      </w:r>
      <w:r>
        <w:t xml:space="preserve"> </w:t>
      </w:r>
      <w:r>
        <w:t xml:space="preserve">]</w:t>
      </w:r>
    </w:p>
    <w:p>
      <w:pPr>
        <w:pStyle w:val="BodyText"/>
      </w:pPr>
      <w:r>
        <w:t xml:space="preserve">the number of positive nontrivial zeta zeros below the boundary is</w:t>
      </w:r>
    </w:p>
    <w:p>
      <w:pPr>
        <w:pStyle w:val="BodyText"/>
      </w:pPr>
      <w:r>
        <w:t xml:space="preserve">[</w:t>
      </w:r>
      <w:r>
        <w:t xml:space="preserve"> </w:t>
      </w:r>
      <w:r>
        <w:t xml:space="preserve">\boxed{C=70}.</w:t>
      </w:r>
      <w:r>
        <w:t xml:space="preserve"> </w:t>
      </w:r>
      <w:r>
        <w:t xml:space="preserve">]</w:t>
      </w:r>
    </w:p>
    <w:p>
      <w:pPr>
        <w:pStyle w:val="BodyText"/>
      </w:pPr>
      <w:r>
        <w:t xml:space="preserve">The 70th and 71st zero heights are</w:t>
      </w:r>
    </w:p>
    <w:p>
      <w:pPr>
        <w:pStyle w:val="BodyText"/>
      </w:pPr>
      <w:r>
        <w:t xml:space="preserve">[</w:t>
      </w:r>
      <w:r>
        <w:t xml:space="preserve"> </w:t>
      </w:r>
      <w:r>
        <w:t xml:space="preserve">\gamma_{70}=182.20707848436646,</w:t>
      </w:r>
      <w:r>
        <w:t xml:space="preserve"> </w:t>
      </w:r>
      <w:r>
        <w:t xml:space="preserve">]</w:t>
      </w:r>
    </w:p>
    <w:p>
      <w:pPr>
        <w:pStyle w:val="BodyText"/>
      </w:pPr>
      <w:r>
        <w:t xml:space="preserve">[</w:t>
      </w:r>
      <w:r>
        <w:t xml:space="preserve"> </w:t>
      </w:r>
      <w:r>
        <w:t xml:space="preserve">\gamma_{71}=184.87446784838750.</w:t>
      </w:r>
      <w:r>
        <w:t xml:space="preserve"> </w:t>
      </w:r>
      <w:r>
        <w:t xml:space="preserve">]</w:t>
      </w:r>
    </w:p>
    <w:p>
      <w:pPr>
        <w:pStyle w:val="BodyText"/>
      </w:pPr>
      <w:r>
        <w:t xml:space="preserve">A finite Euler–Maclaurin surrogate with cutoff M=LH=14,500 reproduces the standard first-70 zero locations with maximum residual of approximately 5.29×10^-13. This is a finite numerical cross-check, not an independent proof that the truncated surrogate itself uniquely generates the full zero set.</w:t>
      </w:r>
    </w:p>
    <w:p>
      <w:pPr>
        <w:pStyle w:val="BodyText"/>
      </w:pPr>
      <w:r>
        <w:t xml:space="preserve">A Klein-type quotient is used only as a candidate nonterminal closure, schematically</w:t>
      </w:r>
    </w:p>
    <w:p>
      <w:pPr>
        <w:pStyle w:val="BodyText"/>
      </w:pPr>
      <w:r>
        <w:t xml:space="preserve">[</w:t>
      </w:r>
      <w:r>
        <w:t xml:space="preserve"> </w:t>
      </w:r>
      <w:r>
        <w:t xml:space="preserve">(-T,\theta)\sim(T,-\theta).</w:t>
      </w:r>
      <w:r>
        <w:t xml:space="preserve"> </w:t>
      </w:r>
      <w:r>
        <w:t xml:space="preserve">]</w:t>
      </w:r>
    </w:p>
    <w:p>
      <w:pPr>
        <w:pStyle w:val="BodyText"/>
      </w:pPr>
      <w:r>
        <w:t xml:space="preserve">It is not a claim that measured spacetime has Klein-bottle topology.</w:t>
      </w:r>
    </w:p>
    <w:p>
      <w:pPr>
        <w:pStyle w:val="BodyText"/>
      </w:pPr>
      <w:r>
        <w:t xml:space="preserve">The declared finite-source rule is</w:t>
      </w:r>
    </w:p>
    <w:p>
      <w:pPr>
        <w:pStyle w:val="BodyText"/>
      </w:pPr>
      <w:r>
        <w:t xml:space="preserve">[</w:t>
      </w:r>
      <w:r>
        <w:t xml:space="preserve"> </w:t>
      </w:r>
      <w:r>
        <w:t xml:space="preserve">\boxed{N_U=LHC},</w:t>
      </w:r>
      <w:r>
        <w:t xml:space="preserve"> </w:t>
      </w:r>
      <w:r>
        <w:t xml:space="preserve">]</w:t>
      </w:r>
    </w:p>
    <w:p>
      <w:pPr>
        <w:pStyle w:val="BodyText"/>
      </w:pPr>
      <w:r>
        <w:t xml:space="preserve">giving</w:t>
      </w:r>
    </w:p>
    <w:p>
      <w:pPr>
        <w:pStyle w:val="BodyText"/>
      </w:pPr>
      <w:r>
        <w:t xml:space="preserve">[</w:t>
      </w:r>
      <w:r>
        <w:t xml:space="preserve"> </w:t>
      </w:r>
      <w:r>
        <w:t xml:space="preserve">\boxed{N_U=1,015,000}.</w:t>
      </w:r>
      <w:r>
        <w:t xml:space="preserve"> </w:t>
      </w:r>
      <w:r>
        <w:t xml:space="preserve">]</w:t>
      </w:r>
    </w:p>
    <w:p>
      <w:r>
        <w:pict>
          <v:rect style="width:0;height:1.5pt" o:hralign="center" o:hrstd="t" o:hr="t"/>
        </w:pict>
      </w:r>
    </w:p>
    <w:bookmarkEnd w:id="27"/>
    <w:bookmarkStart w:id="28" w:name="X63a53d17e5f59e1e2e35f6f7f5a77a25fea60a2"/>
    <w:p>
      <w:pPr>
        <w:pStyle w:val="Heading1"/>
      </w:pPr>
      <w:r>
        <w:t xml:space="preserve">4. Generation of Finite Integer Addresses</w:t>
      </w:r>
    </w:p>
    <w:p>
      <w:pPr>
        <w:pStyle w:val="FirstParagraph"/>
      </w:pPr>
      <w:r>
        <w:t xml:space="preserve">Let</w:t>
      </w:r>
    </w:p>
    <w:p>
      <w:pPr>
        <w:pStyle w:val="BodyText"/>
      </w:pPr>
      <w:r>
        <w:t xml:space="preserve">[</w:t>
      </w:r>
      <w:r>
        <w:t xml:space="preserve"> </w:t>
      </w:r>
      <w:r>
        <w:t xml:space="preserve">0\le\ell&lt;L,\qquad</w:t>
      </w:r>
      <w:r>
        <w:t xml:space="preserve"> </w:t>
      </w:r>
      <w:r>
        <w:t xml:space="preserve">0\le h&lt;H,\qquad</w:t>
      </w:r>
      <w:r>
        <w:t xml:space="preserve"> </w:t>
      </w:r>
      <w:r>
        <w:t xml:space="preserve">1\le z\le C.</w:t>
      </w:r>
      <w:r>
        <w:t xml:space="preserve"> </w:t>
      </w:r>
      <w:r>
        <w:t xml:space="preserve">]</w:t>
      </w:r>
    </w:p>
    <w:p>
      <w:pPr>
        <w:pStyle w:val="BodyText"/>
      </w:pPr>
      <w:r>
        <w:t xml:space="preserve">The product state is serialized by</w:t>
      </w:r>
    </w:p>
    <w:p>
      <w:pPr>
        <w:pStyle w:val="BodyText"/>
      </w:pPr>
      <w:r>
        <w:t xml:space="preserve">[</w:t>
      </w:r>
      <w:r>
        <w:t xml:space="preserve"> </w:t>
      </w:r>
      <w:r>
        <w:t xml:space="preserve">n=1+\ell+L[h+H(z-1)].</w:t>
      </w:r>
      <w:r>
        <w:t xml:space="preserve"> </w:t>
      </w:r>
      <w:r>
        <w:t xml:space="preserve">]</w:t>
      </w:r>
    </w:p>
    <w:p>
      <w:pPr>
        <w:pStyle w:val="BodyText"/>
      </w:pPr>
      <w:r>
        <w:t xml:space="preserve">Thus</w:t>
      </w:r>
    </w:p>
    <w:p>
      <w:pPr>
        <w:pStyle w:val="BodyText"/>
      </w:pPr>
      <w:r>
        <w:t xml:space="preserve">[</w:t>
      </w:r>
      <w:r>
        <w:t xml:space="preserve"> </w:t>
      </w:r>
      <w:r>
        <w:t xml:space="preserve">1\le n\le1,015,000.</w:t>
      </w:r>
      <w:r>
        <w:t xml:space="preserve"> </w:t>
      </w:r>
      <w:r>
        <w:t xml:space="preserve">]</w:t>
      </w:r>
    </w:p>
    <w:p>
      <w:pPr>
        <w:pStyle w:val="BodyText"/>
      </w:pPr>
      <w:r>
        <w:t xml:space="preserve">Label 1 remains an inactive multiplicative/vacuum reference and the executable domain is</w:t>
      </w:r>
    </w:p>
    <w:p>
      <w:pPr>
        <w:pStyle w:val="BodyText"/>
      </w:pPr>
      <w:r>
        <w:t xml:space="preserve">[</w:t>
      </w:r>
      <w:r>
        <w:t xml:space="preserve"> </w:t>
      </w:r>
      <w:r>
        <w:t xml:space="preserve">\boxed{n=2,\ldots,1,015,000}.</w:t>
      </w:r>
      <w:r>
        <w:t xml:space="preserve"> </w:t>
      </w:r>
      <w:r>
        <w:t xml:space="preserve">]</w:t>
      </w:r>
    </w:p>
    <w:p>
      <w:pPr>
        <w:pStyle w:val="BodyText"/>
      </w:pPr>
      <w:r>
        <w:t xml:space="preserve">Integers are therefore used as finite execution addresses rather than as a physically presupposed infinite substrate.</w:t>
      </w:r>
    </w:p>
    <w:p>
      <w:r>
        <w:pict>
          <v:rect style="width:0;height:1.5pt" o:hralign="center" o:hrstd="t" o:hr="t"/>
        </w:pict>
      </w:r>
    </w:p>
    <w:bookmarkEnd w:id="28"/>
    <w:bookmarkStart w:id="29" w:name="X0e2ebb9bf0af047568f78b5b6aa4033023e303b"/>
    <w:p>
      <w:pPr>
        <w:pStyle w:val="Heading1"/>
      </w:pPr>
      <w:r>
        <w:t xml:space="preserve">5. Prime/Composite Filter</w:t>
      </w:r>
    </w:p>
    <w:p>
      <w:pPr>
        <w:pStyle w:val="FirstParagraph"/>
      </w:pPr>
      <w:r>
        <w:t xml:space="preserve">Address weight is</w:t>
      </w:r>
    </w:p>
    <w:p>
      <w:pPr>
        <w:pStyle w:val="BodyText"/>
      </w:pPr>
      <w:r>
        <w:t xml:space="preserve">[</w:t>
      </w:r>
      <w:r>
        <w:t xml:space="preserve"> </w:t>
      </w:r>
      <w:r>
        <w:t xml:space="preserve">w_n\propto n^{-\alpha}.</w:t>
      </w:r>
      <w:r>
        <w:t xml:space="preserve"> </w:t>
      </w:r>
      <w:r>
        <w:t xml:space="preserve">]</w:t>
      </w:r>
    </w:p>
    <w:p>
      <w:pPr>
        <w:pStyle w:val="BodyText"/>
      </w:pPr>
      <w:r>
        <w:t xml:space="preserve">The legacy exponent is</w:t>
      </w:r>
    </w:p>
    <w:p>
      <w:pPr>
        <w:pStyle w:val="BodyText"/>
      </w:pPr>
      <w:r>
        <w:t xml:space="preserve">[</w:t>
      </w:r>
      <w:r>
        <w:t xml:space="preserve"> </w:t>
      </w:r>
      <w:r>
        <w:t xml:space="preserve">\alpha_0=1.8996876950554356.</w:t>
      </w:r>
      <w:r>
        <w:t xml:space="preserve"> </w:t>
      </w:r>
      <w:r>
        <w:t xml:space="preserve">]</w:t>
      </w:r>
    </w:p>
    <w:p>
      <w:pPr>
        <w:pStyle w:val="BodyText"/>
      </w:pPr>
      <w:r>
        <w:t xml:space="preserve">With the old α0,h0 held fixed at the new N_U, the ledger becomes</w:t>
      </w:r>
    </w:p>
    <w:p>
      <w:pPr>
        <w:pStyle w:val="BodyText"/>
      </w:pPr>
      <w:r>
        <w:t xml:space="preserve">[</w:t>
      </w:r>
      <w:r>
        <w:t xml:space="preserve"> </w:t>
      </w:r>
      <w:r>
        <w:t xml:space="preserve">0.05000002538983289,\quad</w:t>
      </w:r>
      <w:r>
        <w:t xml:space="preserve"> </w:t>
      </w:r>
      <w:r>
        <w:t xml:space="preserve">0.26800001828881304,\quad</w:t>
      </w:r>
      <w:r>
        <w:t xml:space="preserve"> </w:t>
      </w:r>
      <w:r>
        <w:t xml:space="preserve">0.6819999563213559.</w:t>
      </w:r>
      <w:r>
        <w:t xml:space="preserve"> </w:t>
      </w:r>
      <w:r>
        <w:t xml:space="preserve">]</w:t>
      </w:r>
    </w:p>
    <w:p>
      <w:pPr>
        <w:pStyle w:val="BodyText"/>
      </w:pPr>
      <w:r>
        <w:t xml:space="preserve">The new finite address counts are:</w:t>
      </w:r>
    </w:p>
    <w:p>
      <w:pPr>
        <w:numPr>
          <w:ilvl w:val="0"/>
          <w:numId w:val="1001"/>
        </w:numPr>
        <w:pStyle w:val="Compact"/>
      </w:pPr>
      <w:r>
        <w:t xml:space="preserve">primes: 79,608,</w:t>
      </w:r>
    </w:p>
    <w:p>
      <w:pPr>
        <w:numPr>
          <w:ilvl w:val="0"/>
          <w:numId w:val="1001"/>
        </w:numPr>
        <w:pStyle w:val="Compact"/>
      </w:pPr>
      <w:r>
        <w:t xml:space="preserve">even composites: 507,499,</w:t>
      </w:r>
    </w:p>
    <w:p>
      <w:pPr>
        <w:numPr>
          <w:ilvl w:val="0"/>
          <w:numId w:val="1001"/>
        </w:numPr>
        <w:pStyle w:val="Compact"/>
      </w:pPr>
      <w:r>
        <w:t xml:space="preserve">odd composites: 427,892.</w:t>
      </w:r>
    </w:p>
    <w:p>
      <w:pPr>
        <w:pStyle w:val="FirstParagraph"/>
      </w:pPr>
      <w:r>
        <w:t xml:space="preserve">The same two previously declared calibration freedoms give</w:t>
      </w:r>
    </w:p>
    <w:p>
      <w:pPr>
        <w:pStyle w:val="BodyText"/>
      </w:pPr>
      <w:r>
        <w:t xml:space="preserve">[</w:t>
      </w:r>
      <w:r>
        <w:t xml:space="preserve"> </w:t>
      </w:r>
      <w:r>
        <w:t xml:space="preserve">\boxed{\alpha_1=1.8996877935161325},</w:t>
      </w:r>
      <w:r>
        <w:t xml:space="preserve"> </w:t>
      </w:r>
      <w:r>
        <w:t xml:space="preserve">]</w:t>
      </w:r>
    </w:p>
    <w:p>
      <w:pPr>
        <w:pStyle w:val="BodyText"/>
      </w:pPr>
      <w:r>
        <w:t xml:space="preserve">[</w:t>
      </w:r>
      <w:r>
        <w:t xml:space="preserve"> </w:t>
      </w:r>
      <w:r>
        <w:t xml:space="preserve">\boxed{h_1=1.4476744689338703}.</w:t>
      </w:r>
      <w:r>
        <w:t xml:space="preserve"> </w:t>
      </w:r>
      <w:r>
        <w:t xml:space="preserve">]</w:t>
      </w:r>
    </w:p>
    <w:p>
      <w:pPr>
        <w:pStyle w:val="BodyText"/>
      </w:pPr>
      <w:r>
        <w:t xml:space="preserve">The scalar admission comparison</w:t>
      </w:r>
    </w:p>
    <w:p>
      <w:pPr>
        <w:pStyle w:val="BodyText"/>
      </w:pPr>
      <w:r>
        <w:t xml:space="preserve">[</w:t>
      </w:r>
      <w:r>
        <w:t xml:space="preserve"> </w:t>
      </w:r>
      <w:r>
        <w:t xml:space="preserve">\boxed{\beta_{\rm eff}=0.8654567230719301}</w:t>
      </w:r>
      <w:r>
        <w:t xml:space="preserve"> </w:t>
      </w:r>
      <w:r>
        <w:t xml:space="preserve">]</w:t>
      </w:r>
    </w:p>
    <w:p>
      <w:pPr>
        <w:pStyle w:val="BodyText"/>
      </w:pPr>
      <w:r>
        <w:t xml:space="preserve">is a derived readout, not a third fit.</w:t>
      </w:r>
    </w:p>
    <w:p>
      <w:pPr>
        <w:pStyle w:val="BodyText"/>
      </w:pPr>
      <w:r>
        <w:t xml:space="preserve">The common ledger then closes at</w:t>
      </w:r>
    </w:p>
    <w:p>
      <w:pPr>
        <w:pStyle w:val="BodyText"/>
      </w:pPr>
      <w:r>
        <w:t xml:space="preserve">[</w:t>
      </w:r>
      <w:r>
        <w:t xml:space="preserve"> </w:t>
      </w:r>
      <w:r>
        <w:t xml:space="preserve">\boxed{0.05/0.268/0.682}.</w:t>
      </w:r>
      <w:r>
        <w:t xml:space="preserve"> </w:t>
      </w:r>
      <w:r>
        <w:t xml:space="preserve">]</w:t>
      </w:r>
    </w:p>
    <w:p>
      <w:r>
        <w:pict>
          <v:rect style="width:0;height:1.5pt" o:hralign="center" o:hrstd="t" o:hr="t"/>
        </w:pict>
      </w:r>
    </w:p>
    <w:bookmarkEnd w:id="29"/>
    <w:bookmarkStart w:id="30" w:name="X6cca658694f0cf271f19078df8c409c457fe24f"/>
    <w:p>
      <w:pPr>
        <w:pStyle w:val="Heading1"/>
      </w:pPr>
      <w:r>
        <w:t xml:space="preserve">6. Residue and Component Structure</w:t>
      </w:r>
    </w:p>
    <w:p>
      <w:pPr>
        <w:pStyle w:val="FirstParagraph"/>
      </w:pPr>
      <w:r>
        <w:t xml:space="preserve">The arithmetic filter does not directly name physical particles. It first partitions the address measure into phenotype φ, resident nonphenotype D, and return R.</w:t>
      </w:r>
    </w:p>
    <w:p>
      <w:pPr>
        <w:pStyle w:val="BodyText"/>
      </w:pPr>
      <w:r>
        <w:t xml:space="preserve">[</w:t>
      </w:r>
      <w:r>
        <w:t xml:space="preserve"> </w:t>
      </w:r>
      <w:r>
        <w:t xml:space="preserve">\text{address}\rightarrow{\phi,D,R}.</w:t>
      </w:r>
      <w:r>
        <w:t xml:space="preserve"> </w:t>
      </w:r>
      <w:r>
        <w:t xml:space="preserve">]</w:t>
      </w:r>
    </w:p>
    <w:p>
      <w:pPr>
        <w:pStyle w:val="BodyText"/>
      </w:pPr>
      <w:r>
        <w:t xml:space="preserve">Stage 3 uses the actual phase-aware phenotype measure</w:t>
      </w:r>
    </w:p>
    <w:p>
      <w:pPr>
        <w:pStyle w:val="BodyText"/>
      </w:pPr>
      <w:r>
        <w:t xml:space="preserve">[</w:t>
      </w:r>
      <w:r>
        <w:t xml:space="preserve"> </w:t>
      </w:r>
      <w:r>
        <w:t xml:space="preserve">p_n\propto w_ne_\phi(n)</w:t>
      </w:r>
      <w:r>
        <w:t xml:space="preserve"> </w:t>
      </w:r>
      <w:r>
        <w:t xml:space="preserve">]</w:t>
      </w:r>
    </w:p>
    <w:p>
      <w:pPr>
        <w:pStyle w:val="BodyText"/>
      </w:pPr>
      <w:r>
        <w:t xml:space="preserve">rather than replacing it with a scalar approximation.</w:t>
      </w:r>
    </w:p>
    <w:p>
      <w:pPr>
        <w:pStyle w:val="BodyText"/>
      </w:pPr>
      <w:r>
        <w:t xml:space="preserve">The candidate contains 427,892 admitted odd-composite addresses with total phenotype weight 0.05.</w:t>
      </w:r>
    </w:p>
    <w:p>
      <w:pPr>
        <w:pStyle w:val="BodyText"/>
      </w:pPr>
      <w:r>
        <w:t xml:space="preserve">Using the inherited 15-prime one-each cyclic assembly and the historical fitted neutron candidate labels {5,47}, the neutron fractions are</w:t>
      </w:r>
    </w:p>
    <w:p>
      <w:pPr>
        <w:numPr>
          <w:ilvl w:val="0"/>
          <w:numId w:val="1002"/>
        </w:numPr>
        <w:pStyle w:val="Compact"/>
      </w:pPr>
      <w:r>
        <w:t xml:space="preserve">small-first: 0.12947198694,</w:t>
      </w:r>
    </w:p>
    <w:p>
      <w:pPr>
        <w:numPr>
          <w:ilvl w:val="0"/>
          <w:numId w:val="1002"/>
        </w:numPr>
        <w:pStyle w:val="Compact"/>
      </w:pPr>
      <w:r>
        <w:t xml:space="preserve">large-first: 0.12715941170.</w:t>
      </w:r>
    </w:p>
    <w:p>
      <w:pPr>
        <w:pStyle w:val="FirstParagraph"/>
      </w:pPr>
      <w:r>
        <w:t xml:space="preserve">The total-variation distance between the two 15-component number distributions is approximately</w:t>
      </w:r>
    </w:p>
    <w:p>
      <w:pPr>
        <w:pStyle w:val="BodyText"/>
      </w:pPr>
      <w:r>
        <w:t xml:space="preserve">[</w:t>
      </w:r>
      <w:r>
        <w:t xml:space="preserve"> </w:t>
      </w:r>
      <w:r>
        <w:t xml:space="preserve">0.20472100116.</w:t>
      </w:r>
      <w:r>
        <w:t xml:space="preserve"> </w:t>
      </w:r>
      <w:r>
        <w:t xml:space="preserve">]</w:t>
      </w:r>
    </w:p>
    <w:p>
      <w:pPr>
        <w:pStyle w:val="BodyText"/>
      </w:pPr>
      <w:r>
        <w:t xml:space="preserve">Therefore arithmetic assembly is executable, but order sensitivity prevents a unique particle-species decoder.</w:t>
      </w:r>
    </w:p>
    <w:p>
      <w:r>
        <w:pict>
          <v:rect style="width:0;height:1.5pt" o:hralign="center" o:hrstd="t" o:hr="t"/>
        </w:pict>
      </w:r>
    </w:p>
    <w:bookmarkEnd w:id="30"/>
    <w:bookmarkStart w:id="31" w:name="Xe47a72cc4a50ec6efa6fda32f5f6f8c1bd806cb"/>
    <w:p>
      <w:pPr>
        <w:pStyle w:val="Heading1"/>
      </w:pPr>
      <w:r>
        <w:t xml:space="preserve">7. Particles and Phenotype</w:t>
      </w:r>
    </w:p>
    <w:p>
      <w:pPr>
        <w:pStyle w:val="FirstParagraph"/>
      </w:pPr>
      <w:r>
        <w:t xml:space="preserve">The inherited 16-channel charge table remains compatible with the finite-source state. Declared proton-electron, neutron, electron-conjugate and neutral motifs remain exactly charge neutral.</w:t>
      </w:r>
    </w:p>
    <w:p>
      <w:pPr>
        <w:pStyle w:val="BodyText"/>
      </w:pPr>
      <w:r>
        <w:t xml:space="preserve">The fully antisymmetric three-quark color state retains unit norm and is annihilated by all eight total color generators within numerical precision.</w:t>
      </w:r>
    </w:p>
    <w:p>
      <w:pPr>
        <w:pStyle w:val="BodyText"/>
      </w:pPr>
      <w:r>
        <w:t xml:space="preserve">Using the inherited conditional p/n/e decoder:</w:t>
      </w:r>
    </w:p>
    <w:p>
      <w:pPr>
        <w:numPr>
          <w:ilvl w:val="0"/>
          <w:numId w:val="1003"/>
        </w:numPr>
        <w:pStyle w:val="Compact"/>
      </w:pPr>
      <w:r>
        <w:t xml:space="preserve">small-first: neutron fraction 0.12947198694, u/d=1.65641446069,</w:t>
      </w:r>
    </w:p>
    <w:p>
      <w:pPr>
        <w:numPr>
          <w:ilvl w:val="0"/>
          <w:numId w:val="1003"/>
        </w:numPr>
        <w:pStyle w:val="Compact"/>
      </w:pPr>
      <w:r>
        <w:t xml:space="preserve">large-first: neutron fraction 0.12715941170, u/d=1.66166981400.</w:t>
      </w:r>
    </w:p>
    <w:p>
      <w:pPr>
        <w:pStyle w:val="FirstParagraph"/>
      </w:pPr>
      <w:r>
        <w:t xml:space="preserve">Electric neutrality closes by construction, but baryon/lepton origin is not derived.</w:t>
      </w:r>
    </w:p>
    <w:p>
      <w:pPr>
        <w:pStyle w:val="BodyText"/>
      </w:pPr>
      <w:r>
        <w:t xml:space="preserve">The following remain OPEN: full spin-flavor wavefunction, confinement Hamiltonian, binding-energy derivation, unique hadron/species assignment and sea/gluon completion.</w:t>
      </w:r>
    </w:p>
    <w:p>
      <w:r>
        <w:pict>
          <v:rect style="width:0;height:1.5pt" o:hralign="center" o:hrstd="t" o:hr="t"/>
        </w:pict>
      </w:r>
    </w:p>
    <w:bookmarkEnd w:id="31"/>
    <w:bookmarkStart w:id="32" w:name="X4d9c2668e6937c41bc1bdb2eb4ce90b096192f7"/>
    <w:p>
      <w:pPr>
        <w:pStyle w:val="Heading1"/>
      </w:pPr>
      <w:r>
        <w:t xml:space="preserve">8. Information Load and Energy</w:t>
      </w:r>
    </w:p>
    <w:p>
      <w:pPr>
        <w:pStyle w:val="FirstParagraph"/>
      </w:pPr>
      <w:r>
        <w:t xml:space="preserve">The cosmic additive ledger contains only</w:t>
      </w:r>
    </w:p>
    <w:p>
      <w:pPr>
        <w:pStyle w:val="BodyText"/>
      </w:pPr>
      <w:r>
        <w:t xml:space="preserve">[</w:t>
      </w:r>
      <w:r>
        <w:t xml:space="preserve"> </w:t>
      </w:r>
      <w:r>
        <w:t xml:space="preserve">\boxed{\phi\oplus D\oplus R}.</w:t>
      </w:r>
      <w:r>
        <w:t xml:space="preserve"> </w:t>
      </w:r>
      <w:r>
        <w:t xml:space="preserve">]</w:t>
      </w:r>
    </w:p>
    <w:p>
      <w:pPr>
        <w:pStyle w:val="BodyText"/>
      </w:pPr>
      <w:r>
        <w:t xml:space="preserve">Address response is</w:t>
      </w:r>
    </w:p>
    <w:bookmarkEnd w:id="32"/>
    <w:bookmarkStart w:id="33" w:name="X1bd5080573eb7a5895640cd546088d2f077e8bc"/>
    <w:p>
      <w:pPr>
        <w:pStyle w:val="Heading1"/>
      </w:pPr>
      <w:r>
        <w:t xml:space="preserve">[</w:t>
      </w:r>
      <w:r>
        <w:t xml:space="preserve"> </w:t>
      </w:r>
      <w:r>
        <w:t xml:space="preserve">g_s(n)</w:t>
      </w:r>
    </w:p>
    <w:p>
      <w:pPr>
        <w:pStyle w:val="FirstParagraph"/>
      </w:pPr>
      <w:r>
        <w:t xml:space="preserve">1+\lambda_s\frac{\log n}{\log N_U},</w:t>
      </w:r>
      <w:r>
        <w:t xml:space="preserve"> </w:t>
      </w:r>
      <w:r>
        <w:t xml:space="preserve">]</w:t>
      </w:r>
    </w:p>
    <w:p>
      <w:pPr>
        <w:pStyle w:val="BodyText"/>
      </w:pPr>
      <w:r>
        <w:t xml:space="preserve">with</w:t>
      </w:r>
    </w:p>
    <w:p>
      <w:pPr>
        <w:pStyle w:val="BodyText"/>
      </w:pPr>
      <w:r>
        <w:t xml:space="preserve">[</w:t>
      </w:r>
      <w:r>
        <w:t xml:space="preserve"> </w:t>
      </w:r>
      <w:r>
        <w:t xml:space="preserve">(\lambda_\phi,\lambda_D,\lambda_R)=(0,0.25,0.1).</w:t>
      </w:r>
      <w:r>
        <w:t xml:space="preserve"> </w:t>
      </w:r>
      <w:r>
        <w:t xml:space="preserve">]</w:t>
      </w:r>
    </w:p>
    <w:p>
      <w:pPr>
        <w:pStyle w:val="BodyText"/>
      </w:pPr>
      <w:r>
        <w:t xml:space="preserve">The finite-source address moments are</w:t>
      </w:r>
    </w:p>
    <w:bookmarkEnd w:id="33"/>
    <w:bookmarkStart w:id="34" w:name="X61f1f4bcb979789d0d1f61d3c5a71a4e5acf919"/>
    <w:p>
      <w:pPr>
        <w:pStyle w:val="Heading1"/>
      </w:pPr>
      <w:r>
        <w:t xml:space="preserve">[</w:t>
      </w:r>
      <w:r>
        <w:t xml:space="preserve"> </w:t>
      </w:r>
      <w:r>
        <w:t xml:space="preserve">\boxed{</w:t>
      </w:r>
      <w:r>
        <w:t xml:space="preserve"> </w:t>
      </w:r>
      <w:r>
        <w:t xml:space="preserve">(\mu_\phi,\mu_D,\mu_R)</w:t>
      </w:r>
    </w:p>
    <w:p>
      <w:pPr>
        <w:pStyle w:val="FirstParagraph"/>
      </w:pPr>
      <w:r>
        <w:t xml:space="preserve">(0.0500000000000001,</w:t>
      </w:r>
      <w:r>
        <w:t xml:space="preserve"> </w:t>
      </w:r>
      <w:r>
        <w:t xml:space="preserve">0.278925610976744,</w:t>
      </w:r>
      <w:r>
        <w:t xml:space="preserve"> </w:t>
      </w:r>
      <w:r>
        <w:t xml:space="preserve">0.687742539854239)</w:t>
      </w:r>
      <w:r>
        <w:t xml:space="preserve"> </w:t>
      </w:r>
      <w:r>
        <w:t xml:space="preserve">}.</w:t>
      </w:r>
      <w:r>
        <w:t xml:space="preserve"> </w:t>
      </w:r>
      <w:r>
        <w:t xml:space="preserve">]</w:t>
      </w:r>
    </w:p>
    <w:p>
      <w:pPr>
        <w:pStyle w:val="BodyText"/>
      </w:pPr>
      <w:r>
        <w:t xml:space="preserve">The frozen SI coefficients are</w:t>
      </w:r>
    </w:p>
    <w:p>
      <w:pPr>
        <w:pStyle w:val="BodyText"/>
      </w:pPr>
      <w:r>
        <w:t xml:space="preserve">[</w:t>
      </w:r>
      <w:r>
        <w:t xml:space="preserve"> </w:t>
      </w:r>
      <w:r>
        <w:t xml:space="preserve">\eta_\phi=7.561582499072265\times10^{-10},</w:t>
      </w:r>
      <w:r>
        <w:t xml:space="preserve"> </w:t>
      </w:r>
      <w:r>
        <w:t xml:space="preserve">]</w:t>
      </w:r>
    </w:p>
    <w:p>
      <w:pPr>
        <w:pStyle w:val="BodyText"/>
      </w:pPr>
      <w:r>
        <w:t xml:space="preserve">[</w:t>
      </w:r>
      <w:r>
        <w:t xml:space="preserve"> </w:t>
      </w:r>
      <w:r>
        <w:t xml:space="preserve">\eta_D=7.285761328795971\times10^{-10},</w:t>
      </w:r>
      <w:r>
        <w:t xml:space="preserve"> </w:t>
      </w:r>
      <w:r>
        <w:t xml:space="preserve">]</w:t>
      </w:r>
    </w:p>
    <w:p>
      <w:pPr>
        <w:pStyle w:val="BodyText"/>
      </w:pPr>
      <w:r>
        <w:t xml:space="preserve">[</w:t>
      </w:r>
      <w:r>
        <w:t xml:space="preserve"> </w:t>
      </w:r>
      <w:r>
        <w:t xml:space="preserve">\eta_R=7.646102818811323\times10^{-10}</w:t>
      </w:r>
      <w:r>
        <w:t xml:space="preserve"> </w:t>
      </w:r>
      <w:r>
        <w:t xml:space="preserve">\ {\rm J,m^{-3}}.</w:t>
      </w:r>
      <w:r>
        <w:t xml:space="preserve"> </w:t>
      </w:r>
      <w:r>
        <w:t xml:space="preserve">]</w:t>
      </w:r>
    </w:p>
    <w:p>
      <w:pPr>
        <w:pStyle w:val="BodyText"/>
      </w:pPr>
      <w:r>
        <w:t xml:space="preserve">At V0=1 m^3,</w:t>
      </w:r>
    </w:p>
    <w:p>
      <w:pPr>
        <w:pStyle w:val="BodyText"/>
      </w:pPr>
      <w:r>
        <w:t xml:space="preserve">[</w:t>
      </w:r>
      <w:r>
        <w:t xml:space="preserve"> </w:t>
      </w:r>
      <w:r>
        <w:t xml:space="preserve">E_\phi=3.78079124953614\times10^{-11}{\rm J},</w:t>
      </w:r>
      <w:r>
        <w:t xml:space="preserve"> </w:t>
      </w:r>
      <w:r>
        <w:t xml:space="preserve">]</w:t>
      </w:r>
    </w:p>
    <w:p>
      <w:pPr>
        <w:pStyle w:val="BodyText"/>
      </w:pPr>
      <w:r>
        <w:t xml:space="preserve">[</w:t>
      </w:r>
      <w:r>
        <w:t xml:space="preserve"> </w:t>
      </w:r>
      <w:r>
        <w:t xml:space="preserve">E_D=2.03218543006515\times10^{-10}{\rm J},</w:t>
      </w:r>
      <w:r>
        <w:t xml:space="preserve"> </w:t>
      </w:r>
      <w:r>
        <w:t xml:space="preserve">]</w:t>
      </w:r>
    </w:p>
    <w:p>
      <w:pPr>
        <w:pStyle w:val="BodyText"/>
      </w:pPr>
      <w:r>
        <w:t xml:space="preserve">[</w:t>
      </w:r>
      <w:r>
        <w:t xml:space="preserve"> </w:t>
      </w:r>
      <w:r>
        <w:t xml:space="preserve">E_R=5.25855017259595\times10^{-10}{\rm J},</w:t>
      </w:r>
      <w:r>
        <w:t xml:space="preserve"> </w:t>
      </w:r>
      <w:r>
        <w:t xml:space="preserve">]</w:t>
      </w:r>
    </w:p>
    <w:p>
      <w:pPr>
        <w:pStyle w:val="BodyText"/>
      </w:pPr>
      <w:r>
        <w:t xml:space="preserve">and</w:t>
      </w:r>
    </w:p>
    <w:p>
      <w:pPr>
        <w:pStyle w:val="BodyText"/>
      </w:pPr>
      <w:r>
        <w:t xml:space="preserve">[</w:t>
      </w:r>
      <w:r>
        <w:t xml:space="preserve"> </w:t>
      </w:r>
      <w:r>
        <w:t xml:space="preserve">\boxed{</w:t>
      </w:r>
      <w:r>
        <w:t xml:space="preserve"> </w:t>
      </w:r>
      <w:r>
        <w:t xml:space="preserve">E_{\rm total}=7.668814727614716\times10^{-10}{\rm J}</w:t>
      </w:r>
      <w:r>
        <w:t xml:space="preserve"> </w:t>
      </w:r>
      <w:r>
        <w:t xml:space="preserve">}.</w:t>
      </w:r>
      <w:r>
        <w:t xml:space="preserve"> </w:t>
      </w:r>
      <w:r>
        <w:t xml:space="preserve">]</w:t>
      </w:r>
    </w:p>
    <w:p>
      <w:pPr>
        <w:pStyle w:val="BodyText"/>
      </w:pPr>
      <w:r>
        <w:t xml:space="preserve">Prime-part and 48-channel descriptions are nested nonadditive views of the phenotype budget. Each view separately sums back to Eφ; alternative views must never be added as new cosmic energy.</w:t>
      </w:r>
    </w:p>
    <w:p>
      <w:r>
        <w:pict>
          <v:rect style="width:0;height:1.5pt" o:hralign="center" o:hrstd="t" o:hr="t"/>
        </w:pict>
      </w:r>
    </w:p>
    <w:bookmarkEnd w:id="34"/>
    <w:bookmarkStart w:id="35" w:name="X07dbb77955da310e4052523819521dab495351c"/>
    <w:p>
      <w:pPr>
        <w:pStyle w:val="Heading1"/>
      </w:pPr>
      <w:r>
        <w:t xml:space="preserve">9. Gravity and Twist</w:t>
      </w:r>
    </w:p>
    <w:p>
      <w:pPr>
        <w:pStyle w:val="FirstParagraph"/>
      </w:pPr>
      <w:r>
        <w:t xml:space="preserve">The precursor finite-boundaryless work interpreted accumulated spatial twist as a possible owner of hidden gravitational stress [1]. Later WRRA twist-stress work connected that owner to a dark-mass phenotype and a low-acceleration gravitational response [5].</w:t>
      </w:r>
    </w:p>
    <w:p>
      <w:pPr>
        <w:pStyle w:val="BodyText"/>
      </w:pPr>
      <w:r>
        <w:t xml:space="preserve">MCC 3.0 does not add a second fundamental force. The resident D-sector is mapped through the already frozen local response.</w:t>
      </w:r>
    </w:p>
    <w:p>
      <w:pPr>
        <w:pStyle w:val="BodyText"/>
      </w:pPr>
      <w:r>
        <w:t xml:space="preserve">With the inherited reference fc=0.265,</w:t>
      </w:r>
    </w:p>
    <w:p>
      <w:pPr>
        <w:pStyle w:val="BodyText"/>
      </w:pPr>
      <w:r>
        <w:t xml:space="preserve">[</w:t>
      </w:r>
      <w:r>
        <w:t xml:space="preserve"> </w:t>
      </w:r>
      <w:r>
        <w:t xml:space="preserve">a_{T,0}=cH_0\sqrt{\frac{f_c}{8}},</w:t>
      </w:r>
      <w:r>
        <w:t xml:space="preserve"> </w:t>
      </w:r>
      <w:r>
        <w:t xml:space="preserve">]</w:t>
      </w:r>
    </w:p>
    <w:p>
      <w:pPr>
        <w:pStyle w:val="BodyText"/>
      </w:pPr>
      <w:r>
        <w:t xml:space="preserve">and the candidate state uses</w:t>
      </w:r>
    </w:p>
    <w:bookmarkEnd w:id="35"/>
    <w:bookmarkStart w:id="36" w:name="X05d0d3e8143912d2674a7d2ac569a5a2b41fa78"/>
    <w:p>
      <w:pPr>
        <w:pStyle w:val="Heading1"/>
      </w:pPr>
      <w:r>
        <w:t xml:space="preserve">[</w:t>
      </w:r>
      <w:r>
        <w:t xml:space="preserve"> </w:t>
      </w:r>
      <w:r>
        <w:t xml:space="preserve">a_T</w:t>
      </w:r>
    </w:p>
    <w:p>
      <w:pPr>
        <w:pStyle w:val="FirstParagraph"/>
      </w:pPr>
      <w:r>
        <w:t xml:space="preserve">a_{T,0}</w:t>
      </w:r>
      <w:r>
        <w:t xml:space="preserve"> </w:t>
      </w:r>
      <w:r>
        <w:t xml:space="preserve">\sqrt{</w:t>
      </w:r>
      <w:r>
        <w:t xml:space="preserve"> </w:t>
      </w:r>
      <w:r>
        <w:t xml:space="preserve">\frac{\rho_D}</w:t>
      </w:r>
      <w:r>
        <w:t xml:space="preserve"> </w:t>
      </w:r>
      <w:r>
        <w:t xml:space="preserve">{u_{\rm crit}f_c}</w:t>
      </w:r>
      <w:r>
        <w:t xml:space="preserve"> </w:t>
      </w:r>
      <w:r>
        <w:t xml:space="preserve">}.</w:t>
      </w:r>
      <w:r>
        <w:t xml:space="preserve"> </w:t>
      </w:r>
      <w:r>
        <w:t xml:space="preserve">]</w:t>
      </w:r>
    </w:p>
    <w:p>
      <w:pPr>
        <w:pStyle w:val="BodyText"/>
      </w:pPr>
      <w:r>
        <w:t xml:space="preserve">At a=1,</w:t>
      </w:r>
    </w:p>
    <w:p>
      <w:pPr>
        <w:pStyle w:val="BodyText"/>
      </w:pPr>
      <w:r>
        <w:t xml:space="preserve">[</w:t>
      </w:r>
      <w:r>
        <w:t xml:space="preserve"> </w:t>
      </w:r>
      <w:r>
        <w:t xml:space="preserve">\boxed{</w:t>
      </w:r>
      <w:r>
        <w:t xml:space="preserve"> </w:t>
      </w:r>
      <w:r>
        <w:t xml:space="preserve">a_T=1.1917875313971119\times10^{-10}</w:t>
      </w:r>
      <w:r>
        <w:t xml:space="preserve"> </w:t>
      </w:r>
      <w:r>
        <w:t xml:space="preserve">\ {\rm m,s^{-2}}</w:t>
      </w:r>
      <w:r>
        <w:t xml:space="preserve"> </w:t>
      </w:r>
      <w:r>
        <w:t xml:space="preserve">}.</w:t>
      </w:r>
      <w:r>
        <w:t xml:space="preserve"> </w:t>
      </w:r>
      <w:r>
        <w:t xml:space="preserve">]</w:t>
      </w:r>
    </w:p>
    <w:p>
      <w:pPr>
        <w:pStyle w:val="BodyText"/>
      </w:pPr>
      <w:r>
        <w:t xml:space="preserve">The same aT is used for both rotation and conditional lensing.</w:t>
      </w:r>
    </w:p>
    <w:p>
      <w:r>
        <w:pict>
          <v:rect style="width:0;height:1.5pt" o:hralign="center" o:hrstd="t" o:hr="t"/>
        </w:pict>
      </w:r>
    </w:p>
    <w:bookmarkEnd w:id="36"/>
    <w:bookmarkStart w:id="37" w:name="Xc236f26775d9441b93fdcda7b6f67e9ebd470c0"/>
    <w:p>
      <w:pPr>
        <w:pStyle w:val="Heading1"/>
      </w:pPr>
      <w:r>
        <w:t xml:space="preserve">10. Galaxy Rotation and Lensing</w:t>
      </w:r>
    </w:p>
    <w:p>
      <w:pPr>
        <w:pStyle w:val="FirstParagraph"/>
      </w:pPr>
      <w:r>
        <w:t xml:space="preserve">The frozen test source has mass 6×10^10 solar masses, Plummer scale 3 kpc, test radius 8.2 kpc, finite lens patch radius 200 kpc and impact parameter 10 kpc.</w:t>
      </w:r>
    </w:p>
    <w:p>
      <w:pPr>
        <w:pStyle w:val="BodyText"/>
      </w:pPr>
      <w:r>
        <w:t xml:space="preserve">The direct baryonic reference rotation remains</w:t>
      </w:r>
    </w:p>
    <w:p>
      <w:pPr>
        <w:pStyle w:val="BodyText"/>
      </w:pPr>
      <w:r>
        <w:t xml:space="preserve">[</w:t>
      </w:r>
      <w:r>
        <w:t xml:space="preserve"> </w:t>
      </w:r>
      <w:r>
        <w:t xml:space="preserve">161.4505105\ {\rm km,s^{-1}}.</w:t>
      </w:r>
      <w:r>
        <w:t xml:space="preserve"> </w:t>
      </w:r>
      <w:r>
        <w:t xml:space="preserve">]</w:t>
      </w:r>
    </w:p>
    <w:p>
      <w:pPr>
        <w:pStyle w:val="BodyText"/>
      </w:pPr>
      <w:r>
        <w:t xml:space="preserve">The finite-source total reference rotation is</w:t>
      </w:r>
    </w:p>
    <w:p>
      <w:pPr>
        <w:pStyle w:val="BodyText"/>
      </w:pPr>
      <w:r>
        <w:t xml:space="preserve">[</w:t>
      </w:r>
      <w:r>
        <w:t xml:space="preserve"> </w:t>
      </w:r>
      <w:r>
        <w:t xml:space="preserve">\boxed{</w:t>
      </w:r>
      <w:r>
        <w:t xml:space="preserve"> </w:t>
      </w:r>
      <w:r>
        <w:t xml:space="preserve">207.5102419\ {\rm km,s^{-1}}</w:t>
      </w:r>
      <w:r>
        <w:t xml:space="preserve"> </w:t>
      </w:r>
      <w:r>
        <w:t xml:space="preserve">}.</w:t>
      </w:r>
      <w:r>
        <w:t xml:space="preserve"> </w:t>
      </w:r>
      <w:r>
        <w:t xml:space="preserve">]</w:t>
      </w:r>
    </w:p>
    <w:p>
      <w:pPr>
        <w:pStyle w:val="BodyText"/>
      </w:pPr>
      <w:r>
        <w:t xml:space="preserve">The same local gravity response yields conditional finite-patch lensing</w:t>
      </w:r>
    </w:p>
    <w:p>
      <w:pPr>
        <w:pStyle w:val="BodyText"/>
      </w:pPr>
      <w:r>
        <w:t xml:space="preserve">[</w:t>
      </w:r>
      <w:r>
        <w:t xml:space="preserve"> </w:t>
      </w:r>
      <w:r>
        <w:t xml:space="preserve">\boxed{</w:t>
      </w:r>
      <w:r>
        <w:t xml:space="preserve"> </w:t>
      </w:r>
      <w:r>
        <w:t xml:space="preserve">0.5355822400''</w:t>
      </w:r>
      <w:r>
        <w:t xml:space="preserve"> </w:t>
      </w:r>
      <w:r>
        <w:t xml:space="preserve">}.</w:t>
      </w:r>
      <w:r>
        <w:t xml:space="preserve"> </w:t>
      </w:r>
      <w:r>
        <w:t xml:space="preserve">]</w:t>
      </w:r>
    </w:p>
    <w:p>
      <w:pPr>
        <w:pStyle w:val="BodyText"/>
      </w:pPr>
      <w:r>
        <w:t xml:space="preserve">Relative shifts from the legacy one-million-address branch are approximately 3.20×10^-6 for rotation and 7.97×10^-6 for lensing.</w:t>
      </w:r>
    </w:p>
    <w:p>
      <w:pPr>
        <w:pStyle w:val="BodyText"/>
      </w:pPr>
      <w:r>
        <w:t xml:space="preserve">These are model continuity outputs, not new astronomical measurements.</w:t>
      </w:r>
    </w:p>
    <w:p>
      <w:r>
        <w:pict>
          <v:rect style="width:0;height:1.5pt" o:hralign="center" o:hrstd="t" o:hr="t"/>
        </w:pict>
      </w:r>
    </w:p>
    <w:bookmarkEnd w:id="37"/>
    <w:bookmarkStart w:id="38" w:name="Xe7be644218ba2da519fcc4312b4e2c7e2c637d8"/>
    <w:p>
      <w:pPr>
        <w:pStyle w:val="Heading1"/>
      </w:pPr>
      <w:r>
        <w:t xml:space="preserve">11. Cosmic Expansion</w:t>
      </w:r>
    </w:p>
    <w:p>
      <w:pPr>
        <w:pStyle w:val="FirstParagraph"/>
      </w:pPr>
      <w:r>
        <w:t xml:space="preserve">The inherited volume exponents are</w:t>
      </w:r>
    </w:p>
    <w:p>
      <w:pPr>
        <w:pStyle w:val="BodyText"/>
      </w:pPr>
      <w:r>
        <w:t xml:space="preserve">[</w:t>
      </w:r>
      <w:r>
        <w:t xml:space="preserve"> </w:t>
      </w:r>
      <w:r>
        <w:t xml:space="preserve">(n_\phi,n_D,n_R)=(0,0,3).</w:t>
      </w:r>
      <w:r>
        <w:t xml:space="preserve"> </w:t>
      </w:r>
      <w:r>
        <w:t xml:space="preserve">]</w:t>
      </w:r>
    </w:p>
    <w:p>
      <w:pPr>
        <w:pStyle w:val="BodyText"/>
      </w:pPr>
      <w:r>
        <w:t xml:space="preserve">Thus</w:t>
      </w:r>
    </w:p>
    <w:p>
      <w:pPr>
        <w:pStyle w:val="BodyText"/>
      </w:pPr>
      <w:r>
        <w:t xml:space="preserve">[</w:t>
      </w:r>
      <w:r>
        <w:t xml:space="preserve"> </w:t>
      </w:r>
      <w:r>
        <w:t xml:space="preserve">\rho_\phi(a)=E_\phi/a^3,</w:t>
      </w:r>
      <w:r>
        <w:t xml:space="preserve"> </w:t>
      </w:r>
      <w:r>
        <w:t xml:space="preserve">\qquad</w:t>
      </w:r>
      <w:r>
        <w:t xml:space="preserve"> </w:t>
      </w:r>
      <w:r>
        <w:t xml:space="preserve">\rho_D(a)=E_D/a^3,</w:t>
      </w:r>
      <w:r>
        <w:t xml:space="preserve"> </w:t>
      </w:r>
      <w:r>
        <w:t xml:space="preserve">\qquad</w:t>
      </w:r>
      <w:r>
        <w:t xml:space="preserve"> </w:t>
      </w:r>
      <w:r>
        <w:t xml:space="preserve">\rho_R(a)=E_R.</w:t>
      </w:r>
      <w:r>
        <w:t xml:space="preserve"> </w:t>
      </w:r>
      <w:r>
        <w:t xml:space="preserve">]</w:t>
      </w:r>
    </w:p>
    <w:p>
      <w:pPr>
        <w:pStyle w:val="BodyText"/>
      </w:pPr>
      <w:r>
        <w:t xml:space="preserve">Pressure is</w:t>
      </w:r>
    </w:p>
    <w:p>
      <w:pPr>
        <w:pStyle w:val="BodyText"/>
      </w:pPr>
      <w:r>
        <w:t xml:space="preserve">[</w:t>
      </w:r>
      <w:r>
        <w:t xml:space="preserve"> </w:t>
      </w:r>
      <w:r>
        <w:t xml:space="preserve">P_\phi=P_D=0,</w:t>
      </w:r>
      <w:r>
        <w:t xml:space="preserve"> </w:t>
      </w:r>
      <w:r>
        <w:t xml:space="preserve">\qquad</w:t>
      </w:r>
      <w:r>
        <w:t xml:space="preserve"> </w:t>
      </w:r>
      <w:r>
        <w:t xml:space="preserve">P_R=-\rho_R.</w:t>
      </w:r>
      <w:r>
        <w:t xml:space="preserve"> </w:t>
      </w:r>
      <w:r>
        <w:t xml:space="preserve">]</w:t>
      </w:r>
    </w:p>
    <w:p>
      <w:pPr>
        <w:pStyle w:val="BodyText"/>
      </w:pPr>
      <w:r>
        <w:t xml:space="preserve">The homogeneous diagnostics are</w:t>
      </w:r>
    </w:p>
    <w:bookmarkEnd w:id="38"/>
    <w:bookmarkStart w:id="39" w:name="X1a0cd064b1b7cb84bb51731f24ef01d0e9df0ff"/>
    <w:p>
      <w:pPr>
        <w:pStyle w:val="Heading1"/>
      </w:pPr>
      <w:r>
        <w:t xml:space="preserve">[</w:t>
      </w:r>
      <w:r>
        <w:t xml:space="preserve"> </w:t>
      </w:r>
      <w:r>
        <w:t xml:space="preserve">\frac{H(a)}{H_0}</w:t>
      </w:r>
    </w:p>
    <w:p>
      <w:pPr>
        <w:pStyle w:val="FirstParagraph"/>
      </w:pPr>
      <w:r>
        <w:t xml:space="preserve">\sqrt{\frac{\rho(a)}{u_{\rm crit}}},</w:t>
      </w:r>
      <w:r>
        <w:t xml:space="preserve"> </w:t>
      </w:r>
      <w:r>
        <w:t xml:space="preserve">]</w:t>
      </w:r>
    </w:p>
    <w:p>
      <w:pPr>
        <w:pStyle w:val="BodyText"/>
      </w:pPr>
      <w:r>
        <w:t xml:space="preserve">[</w:t>
      </w:r>
      <w:r>
        <w:t xml:space="preserve"> </w:t>
      </w:r>
      <w:r>
        <w:t xml:space="preserve">q(a)=</w:t>
      </w:r>
      <w:r>
        <w:t xml:space="preserve"> </w:t>
      </w:r>
      <w:r>
        <w:t xml:space="preserve">\frac12</w:t>
      </w:r>
      <w:r>
        <w:t xml:space="preserve"> </w:t>
      </w:r>
      <w:r>
        <w:t xml:space="preserve">\frac{\rho(a)+3P(a)}{\rho(a)}.</w:t>
      </w:r>
      <w:r>
        <w:t xml:space="preserve"> </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a</w:t>
            </w:r>
          </w:p>
        </w:tc>
        <w:tc>
          <w:tcPr/>
          <w:p>
            <w:pPr>
              <w:pStyle w:val="Compact"/>
              <w:jc w:val="right"/>
            </w:pPr>
            <w:r>
              <w:t xml:space="preserve">density J/m^3</w:t>
            </w:r>
          </w:p>
        </w:tc>
        <w:tc>
          <w:tcPr/>
          <w:p>
            <w:pPr>
              <w:pStyle w:val="Compact"/>
              <w:jc w:val="right"/>
            </w:pPr>
            <w:r>
              <w:t xml:space="preserve">H/H0</w:t>
            </w:r>
          </w:p>
        </w:tc>
        <w:tc>
          <w:tcPr/>
          <w:p>
            <w:pPr>
              <w:pStyle w:val="Compact"/>
              <w:jc w:val="right"/>
            </w:pPr>
            <w:r>
              <w:t xml:space="preserve">q</w:t>
            </w:r>
          </w:p>
        </w:tc>
      </w:tr>
      <w:tr>
        <w:tc>
          <w:tcPr/>
          <w:p>
            <w:pPr>
              <w:pStyle w:val="Compact"/>
              <w:jc w:val="right"/>
            </w:pPr>
            <w:r>
              <w:t xml:space="preserve">0.5</w:t>
            </w:r>
          </w:p>
        </w:tc>
        <w:tc>
          <w:tcPr/>
          <w:p>
            <w:pPr>
              <w:pStyle w:val="Compact"/>
              <w:jc w:val="right"/>
            </w:pPr>
            <w:r>
              <w:t xml:space="preserve">2.4540666613×10^-9</w:t>
            </w:r>
          </w:p>
        </w:tc>
        <w:tc>
          <w:tcPr/>
          <w:p>
            <w:pPr>
              <w:pStyle w:val="Compact"/>
              <w:jc w:val="right"/>
            </w:pPr>
            <w:r>
              <w:t xml:space="preserve">1.7888556123</w:t>
            </w:r>
          </w:p>
        </w:tc>
        <w:tc>
          <w:tcPr/>
          <w:p>
            <w:pPr>
              <w:pStyle w:val="Compact"/>
              <w:jc w:val="right"/>
            </w:pPr>
            <w:r>
              <w:t xml:space="preserve">0.1785814590</w:t>
            </w:r>
          </w:p>
        </w:tc>
      </w:tr>
      <w:tr>
        <w:tc>
          <w:tcPr/>
          <w:p>
            <w:pPr>
              <w:pStyle w:val="Compact"/>
              <w:jc w:val="right"/>
            </w:pPr>
            <w:r>
              <w:t xml:space="preserve">1.0</w:t>
            </w:r>
          </w:p>
        </w:tc>
        <w:tc>
          <w:tcPr/>
          <w:p>
            <w:pPr>
              <w:pStyle w:val="Compact"/>
              <w:jc w:val="right"/>
            </w:pPr>
            <w:r>
              <w:t xml:space="preserve">7.6688147276×10^-10</w:t>
            </w:r>
          </w:p>
        </w:tc>
        <w:tc>
          <w:tcPr/>
          <w:p>
            <w:pPr>
              <w:pStyle w:val="Compact"/>
              <w:jc w:val="right"/>
            </w:pPr>
            <w:r>
              <w:t xml:space="preserve">0.9999913260</w:t>
            </w:r>
          </w:p>
        </w:tc>
        <w:tc>
          <w:tcPr/>
          <w:p>
            <w:pPr>
              <w:pStyle w:val="Compact"/>
              <w:jc w:val="right"/>
            </w:pPr>
            <w:r>
              <w:t xml:space="preserve">-0.5285585894</w:t>
            </w:r>
          </w:p>
        </w:tc>
      </w:tr>
      <w:tr>
        <w:tc>
          <w:tcPr/>
          <w:p>
            <w:pPr>
              <w:pStyle w:val="Compact"/>
              <w:jc w:val="right"/>
            </w:pPr>
            <w:r>
              <w:t xml:space="preserve">2.0</w:t>
            </w:r>
          </w:p>
        </w:tc>
        <w:tc>
          <w:tcPr/>
          <w:p>
            <w:pPr>
              <w:pStyle w:val="Compact"/>
              <w:jc w:val="right"/>
            </w:pPr>
            <w:r>
              <w:t xml:space="preserve">5.5598332420×10^-10</w:t>
            </w:r>
          </w:p>
        </w:tc>
        <w:tc>
          <w:tcPr/>
          <w:p>
            <w:pPr>
              <w:pStyle w:val="Compact"/>
              <w:jc w:val="right"/>
            </w:pPr>
            <w:r>
              <w:t xml:space="preserve">0.8514575347</w:t>
            </w:r>
          </w:p>
        </w:tc>
        <w:tc>
          <w:tcPr/>
          <w:p>
            <w:pPr>
              <w:pStyle w:val="Compact"/>
              <w:jc w:val="right"/>
            </w:pPr>
            <w:r>
              <w:t xml:space="preserve">-0.9187161585</w:t>
            </w:r>
          </w:p>
        </w:tc>
      </w:tr>
    </w:tbl>
    <w:p>
      <w:pPr>
        <w:pStyle w:val="BodyText"/>
      </w:pPr>
      <w:r>
        <w:t xml:space="preserve">The uniform-branch acceleration transition is</w:t>
      </w:r>
    </w:p>
    <w:p>
      <w:pPr>
        <w:pStyle w:val="BodyText"/>
      </w:pPr>
      <w:r>
        <w:t xml:space="preserve">[</w:t>
      </w:r>
      <w:r>
        <w:t xml:space="preserve"> </w:t>
      </w:r>
      <w:r>
        <w:t xml:space="preserve">\boxed{</w:t>
      </w:r>
      <w:r>
        <w:t xml:space="preserve"> </w:t>
      </w:r>
      <w:r>
        <w:t xml:space="preserve">a_{\rm trans}=0.6119598067968817</w:t>
      </w:r>
      <w:r>
        <w:t xml:space="preserve"> </w:t>
      </w:r>
      <w:r>
        <w:t xml:space="preserve">}.</w:t>
      </w:r>
      <w:r>
        <w:t xml:space="preserve"> </w:t>
      </w:r>
      <w:r>
        <w:t xml:space="preserve">]</w:t>
      </w:r>
    </w:p>
    <w:p>
      <w:r>
        <w:pict>
          <v:rect style="width:0;height:1.5pt" o:hralign="center" o:hrstd="t" o:hr="t"/>
        </w:pict>
      </w:r>
    </w:p>
    <w:bookmarkEnd w:id="39"/>
    <w:bookmarkStart w:id="40" w:name="X81af0c30ec13e172918bfda7d547c698ba8c9ae"/>
    <w:p>
      <w:pPr>
        <w:pStyle w:val="Heading1"/>
      </w:pPr>
      <w:r>
        <w:t xml:space="preserve">12. Proper Time and Record</w:t>
      </w:r>
    </w:p>
    <w:p>
      <w:pPr>
        <w:pStyle w:val="FirstParagraph"/>
      </w:pPr>
      <w:r>
        <w:t xml:space="preserve">The inherited proper-time step is</w:t>
      </w:r>
    </w:p>
    <w:p>
      <w:pPr>
        <w:pStyle w:val="BodyText"/>
      </w:pPr>
      <w:r>
        <w:t xml:space="preserve">[</w:t>
      </w:r>
      <w:r>
        <w:t xml:space="preserve"> </w:t>
      </w:r>
      <w:r>
        <w:t xml:space="preserve">\Delta\tau=</w:t>
      </w:r>
      <w:r>
        <w:t xml:space="preserve"> </w:t>
      </w:r>
      <w:r>
        <w:t xml:space="preserve">1.4813019664158691\times10^{-21}{\rm s}.</w:t>
      </w:r>
      <w:r>
        <w:t xml:space="preserve"> </w:t>
      </w:r>
      <w:r>
        <w:t xml:space="preserve">]</w:t>
      </w:r>
    </w:p>
    <w:p>
      <w:pPr>
        <w:pStyle w:val="BodyText"/>
      </w:pPr>
      <w:r>
        <w:t xml:space="preserve">MCC 3.0 does not identify this with Planck time or an absolute minimum physical time.</w:t>
      </w:r>
    </w:p>
    <w:p>
      <w:pPr>
        <w:pStyle w:val="BodyText"/>
      </w:pPr>
      <w:r>
        <w:t xml:space="preserve">For the candidate finite carrier, noncommuting internal loads evolve while total energy remains conserved to a maximum relative drift of approximately</w:t>
      </w:r>
    </w:p>
    <w:p>
      <w:pPr>
        <w:pStyle w:val="BodyText"/>
      </w:pPr>
      <w:r>
        <w:t xml:space="preserve">[</w:t>
      </w:r>
      <w:r>
        <w:t xml:space="preserve"> </w:t>
      </w:r>
      <w:r>
        <w:t xml:space="preserve">\boxed{9.99\times10^{-16}}.</w:t>
      </w:r>
      <w:r>
        <w:t xml:space="preserve"> </w:t>
      </w:r>
      <w:r>
        <w:t xml:space="preserve">]</w:t>
      </w:r>
    </w:p>
    <w:p>
      <w:pPr>
        <w:pStyle w:val="BodyText"/>
      </w:pPr>
      <w:r>
        <w:t xml:space="preserve">State trace remains unity within numerical precision.</w:t>
      </w:r>
    </w:p>
    <w:p>
      <w:pPr>
        <w:pStyle w:val="BodyText"/>
      </w:pPr>
      <w:r>
        <w:t xml:space="preserve">The framework distinguishes state update and ledger conservation from a full autonomous theory of irreversible physical record formation. Physical apparatus, reset and persistent-record dynamics remain open where not explicitly executed.</w:t>
      </w:r>
    </w:p>
    <w:p>
      <w:r>
        <w:pict>
          <v:rect style="width:0;height:1.5pt" o:hralign="center" o:hrstd="t" o:hr="t"/>
        </w:pict>
      </w:r>
    </w:p>
    <w:bookmarkEnd w:id="40"/>
    <w:bookmarkStart w:id="41" w:name="X6199fd85c9a873bcefb379d864995676103eb80"/>
    <w:p>
      <w:pPr>
        <w:pStyle w:val="Heading1"/>
      </w:pPr>
      <w:r>
        <w:t xml:space="preserve">13. End-to-End Master Ledger</w:t>
      </w:r>
    </w:p>
    <w:p>
      <w:pPr>
        <w:pStyle w:val="FirstParagraph"/>
      </w:pPr>
      <w:r>
        <w:t xml:space="preserve">The integrated chain is</w:t>
      </w:r>
    </w:p>
    <w:p>
      <w:pPr>
        <w:pStyle w:val="BodyText"/>
      </w:pPr>
      <w:r>
        <w:t xml:space="preserve">[</w:t>
      </w:r>
      <w:r>
        <w:t xml:space="preserve"> </w:t>
      </w:r>
      <w:r>
        <w:t xml:space="preserve">\boxed{</w:t>
      </w:r>
      <w:r>
        <w:t xml:space="preserve"> </w:t>
      </w:r>
      <w:r>
        <w:t xml:space="preserve">\text{finite rule}</w:t>
      </w:r>
      <w:r>
        <w:t xml:space="preserve"> </w:t>
      </w:r>
      <w:r>
        <w:t xml:space="preserve">\rightarrow</w:t>
      </w:r>
      <w:r>
        <w:t xml:space="preserve"> </w:t>
      </w:r>
      <w:r>
        <w:t xml:space="preserve">\text{finite addresses}</w:t>
      </w:r>
      <w:r>
        <w:t xml:space="preserve"> </w:t>
      </w:r>
      <w:r>
        <w:t xml:space="preserve">\rightarrow</w:t>
      </w:r>
      <w:r>
        <w:t xml:space="preserve"> </w:t>
      </w:r>
      <w:r>
        <w:t xml:space="preserve">\text{filter}</w:t>
      </w:r>
      <w:r>
        <w:t xml:space="preserve"> </w:t>
      </w:r>
      <w:r>
        <w:t xml:space="preserve">\rightarrow</w:t>
      </w:r>
      <w:r>
        <w:t xml:space="preserve"> </w:t>
      </w:r>
      <w:r>
        <w:t xml:space="preserve">\text{residue}</w:t>
      </w:r>
      <w:r>
        <w:t xml:space="preserve"> </w:t>
      </w:r>
      <w:r>
        <w:t xml:space="preserve">\rightarrow</w:t>
      </w:r>
      <w:r>
        <w:t xml:space="preserve"> </w:t>
      </w:r>
      <w:r>
        <w:t xml:space="preserve">\text{component/phenotype}</w:t>
      </w:r>
      <w:r>
        <w:t xml:space="preserve"> </w:t>
      </w:r>
      <w:r>
        <w:t xml:space="preserve">\rightarrow</w:t>
      </w:r>
      <w:r>
        <w:t xml:space="preserve"> </w:t>
      </w:r>
      <w:r>
        <w:t xml:space="preserve">\text{information load}</w:t>
      </w:r>
      <w:r>
        <w:t xml:space="preserve"> </w:t>
      </w:r>
      <w:r>
        <w:t xml:space="preserve">\rightarrow</w:t>
      </w:r>
      <w:r>
        <w:t xml:space="preserve"> </w:t>
      </w:r>
      <w:r>
        <w:t xml:space="preserve">\text{energy}</w:t>
      </w:r>
      <w:r>
        <w:t xml:space="preserve"> </w:t>
      </w:r>
      <w:r>
        <w:t xml:space="preserve">\rightarrow</w:t>
      </w:r>
      <w:r>
        <w:t xml:space="preserve"> </w:t>
      </w:r>
      <w:r>
        <w:t xml:space="preserve">\text{pressure/gravity}</w:t>
      </w:r>
      <w:r>
        <w:t xml:space="preserve"> </w:t>
      </w:r>
      <w:r>
        <w:t xml:space="preserve">\rightarrow</w:t>
      </w:r>
      <w:r>
        <w:t xml:space="preserve"> </w:t>
      </w:r>
      <w:r>
        <w:t xml:space="preserve">\text{rotation/lensing}</w:t>
      </w:r>
      <w:r>
        <w:t xml:space="preserve"> </w:t>
      </w:r>
      <w:r>
        <w:t xml:space="preserve">\rightarrow</w:t>
      </w:r>
      <w:r>
        <w:t xml:space="preserve"> </w:t>
      </w:r>
      <w:r>
        <w:t xml:space="preserve">\text{expansion}</w:t>
      </w:r>
      <w:r>
        <w:t xml:space="preserve"> </w:t>
      </w:r>
      <w:r>
        <w:t xml:space="preserve">}.</w:t>
      </w:r>
      <w:r>
        <w:t xml:space="preserve"> </w:t>
      </w:r>
      <w:r>
        <w:t xml:space="preserve">]</w:t>
      </w:r>
    </w:p>
    <w:p>
      <w:pPr>
        <w:pStyle w:val="BodyText"/>
      </w:pPr>
      <w:r>
        <w:t xml:space="preserve">Only the φ,D,R sector energies are additive. Component and channel descriptions are internal alternative decompositions of Eφ, not new resources.</w:t>
      </w:r>
    </w:p>
    <w:p>
      <w:pPr>
        <w:pStyle w:val="BodyText"/>
      </w:pPr>
      <w:r>
        <w:t xml:space="preserve">This ownership rule prevents a common failure of unification attempts: explaining the same physical content twice and then counting both descriptions as additional energy.</w:t>
      </w:r>
    </w:p>
    <w:p>
      <w:r>
        <w:pict>
          <v:rect style="width:0;height:1.5pt" o:hralign="center" o:hrstd="t" o:hr="t"/>
        </w:pict>
      </w:r>
    </w:p>
    <w:bookmarkEnd w:id="41"/>
    <w:bookmarkStart w:id="42" w:name="X3eba372890de3627d177c6e32ae1973f8957e34"/>
    <w:p>
      <w:pPr>
        <w:pStyle w:val="Heading1"/>
      </w:pPr>
      <w:r>
        <w:t xml:space="preserve">14. Reproduction of Verified Values</w:t>
      </w:r>
    </w:p>
    <w:p>
      <w:pPr>
        <w:pStyle w:val="FirstParagraph"/>
      </w:pPr>
      <w:r>
        <w:t xml:space="preserve">The frozen legacy branch reproduces</w:t>
      </w:r>
    </w:p>
    <w:p>
      <w:pPr>
        <w:pStyle w:val="BodyText"/>
      </w:pPr>
      <w:r>
        <w:t xml:space="preserve">[</w:t>
      </w:r>
      <w:r>
        <w:t xml:space="preserve"> </w:t>
      </w:r>
      <w:r>
        <w:t xml:space="preserve">(0.05,0.268,0.682)</w:t>
      </w:r>
      <w:r>
        <w:t xml:space="preserve"> </w:t>
      </w:r>
      <w:r>
        <w:t xml:space="preserve">]</w:t>
      </w:r>
    </w:p>
    <w:p>
      <w:pPr>
        <w:pStyle w:val="BodyText"/>
      </w:pPr>
      <w:r>
        <w:t xml:space="preserve">and the reference outputs</w:t>
      </w:r>
    </w:p>
    <w:p>
      <w:pPr>
        <w:pStyle w:val="BodyText"/>
      </w:pPr>
      <w:r>
        <w:t xml:space="preserve">[</w:t>
      </w:r>
      <w:r>
        <w:t xml:space="preserve"> </w:t>
      </w:r>
      <w:r>
        <w:t xml:space="preserve">q_0=-0.52855,</w:t>
      </w:r>
      <w:r>
        <w:t xml:space="preserve"> </w:t>
      </w:r>
      <w:r>
        <w:t xml:space="preserve">]</w:t>
      </w:r>
    </w:p>
    <w:p>
      <w:pPr>
        <w:pStyle w:val="BodyText"/>
      </w:pPr>
      <w:r>
        <w:t xml:space="preserve">[</w:t>
      </w:r>
      <w:r>
        <w:t xml:space="preserve"> </w:t>
      </w:r>
      <w:r>
        <w:t xml:space="preserve">v=207.5109051266\ {\rm km,s^{-1}},</w:t>
      </w:r>
      <w:r>
        <w:t xml:space="preserve"> </w:t>
      </w:r>
      <w:r>
        <w:t xml:space="preserve">]</w:t>
      </w:r>
    </w:p>
    <w:p>
      <w:pPr>
        <w:pStyle w:val="BodyText"/>
      </w:pPr>
      <w:r>
        <w:t xml:space="preserve">[</w:t>
      </w:r>
      <w:r>
        <w:t xml:space="preserve"> </w:t>
      </w:r>
      <w:r>
        <w:t xml:space="preserve">\theta=0.5355865106''.</w:t>
      </w:r>
      <w:r>
        <w:t xml:space="preserve"> </w:t>
      </w:r>
      <w:r>
        <w:t xml:space="preserve">]</w:t>
      </w:r>
    </w:p>
    <w:p>
      <w:pPr>
        <w:pStyle w:val="BodyText"/>
      </w:pPr>
      <w:r>
        <w:t xml:space="preserve">The finite-source branch gives</w:t>
      </w:r>
    </w:p>
    <w:p>
      <w:pPr>
        <w:pStyle w:val="BodyText"/>
      </w:pPr>
      <w:r>
        <w:t xml:space="preserve">[</w:t>
      </w:r>
      <w:r>
        <w:t xml:space="preserve"> </w:t>
      </w:r>
      <w:r>
        <w:t xml:space="preserve">q_0=-0.5285585894,</w:t>
      </w:r>
      <w:r>
        <w:t xml:space="preserve"> </w:t>
      </w:r>
      <w:r>
        <w:t xml:space="preserve">]</w:t>
      </w:r>
    </w:p>
    <w:p>
      <w:pPr>
        <w:pStyle w:val="BodyText"/>
      </w:pPr>
      <w:r>
        <w:t xml:space="preserve">[</w:t>
      </w:r>
      <w:r>
        <w:t xml:space="preserve"> </w:t>
      </w:r>
      <w:r>
        <w:t xml:space="preserve">v=207.5102418659\ {\rm km,s^{-1}},</w:t>
      </w:r>
      <w:r>
        <w:t xml:space="preserve"> </w:t>
      </w:r>
      <w:r>
        <w:t xml:space="preserve">]</w:t>
      </w:r>
    </w:p>
    <w:p>
      <w:pPr>
        <w:pStyle w:val="BodyText"/>
      </w:pPr>
      <w:r>
        <w:t xml:space="preserve">[</w:t>
      </w:r>
      <w:r>
        <w:t xml:space="preserve"> </w:t>
      </w:r>
      <w:r>
        <w:t xml:space="preserve">\theta=0.5355822400''.</w:t>
      </w:r>
      <w:r>
        <w:t xml:space="preserve"> </w:t>
      </w:r>
      <w:r>
        <w:t xml:space="preserve">]</w:t>
      </w:r>
    </w:p>
    <w:p>
      <w:pPr>
        <w:pStyle w:val="BodyText"/>
      </w:pPr>
      <w:r>
        <w:t xml:space="preserve">The repository contains 54 declared Stage 1–5 checks and 11 Stage-6 cross-stage checks, for a total of</w:t>
      </w:r>
    </w:p>
    <w:p>
      <w:pPr>
        <w:pStyle w:val="BodyText"/>
      </w:pPr>
      <w:r>
        <w:t xml:space="preserve">[</w:t>
      </w:r>
      <w:r>
        <w:t xml:space="preserve"> </w:t>
      </w:r>
      <w:r>
        <w:t xml:space="preserve">\boxed{65}</w:t>
      </w:r>
      <w:r>
        <w:t xml:space="preserve"> </w:t>
      </w:r>
      <w:r>
        <w:t xml:space="preserve">]</w:t>
      </w:r>
    </w:p>
    <w:p>
      <w:pPr>
        <w:pStyle w:val="BodyText"/>
      </w:pPr>
      <w:r>
        <w:t xml:space="preserve">passing mathematical, implementation and provenance checks. These are not 65 independent physical experiments.</w:t>
      </w:r>
    </w:p>
    <w:p>
      <w:r>
        <w:pict>
          <v:rect style="width:0;height:1.5pt" o:hralign="center" o:hrstd="t" o:hr="t"/>
        </w:pict>
      </w:r>
    </w:p>
    <w:bookmarkEnd w:id="42"/>
    <w:bookmarkStart w:id="43" w:name="Xbd49691c4dbdfc2606107bae5d688f2168ba0fe"/>
    <w:p>
      <w:pPr>
        <w:pStyle w:val="Heading1"/>
      </w:pPr>
      <w:r>
        <w:t xml:space="preserve">15. MCC/WRRA Predictions</w:t>
      </w:r>
    </w:p>
    <w:p>
      <w:pPr>
        <w:pStyle w:val="FirstParagraph"/>
      </w:pPr>
      <w:r>
        <w:t xml:space="preserve">The finite source size</w:t>
      </w:r>
    </w:p>
    <w:p>
      <w:pPr>
        <w:pStyle w:val="BodyText"/>
      </w:pPr>
      <w:r>
        <w:t xml:space="preserve">[</w:t>
      </w:r>
      <w:r>
        <w:t xml:space="preserve"> </w:t>
      </w:r>
      <w:r>
        <w:t xml:space="preserve">\boxed{N_U=1,015,000}</w:t>
      </w:r>
      <w:r>
        <w:t xml:space="preserve"> </w:t>
      </w:r>
      <w:r>
        <w:t xml:space="preserve">]</w:t>
      </w:r>
    </w:p>
    <w:p>
      <w:pPr>
        <w:pStyle w:val="BodyText"/>
      </w:pPr>
      <w:r>
        <w:t xml:space="preserve">is an unmeasured output generated after the declared KZF construction is fixed. Its status is therefore a conditional MCC/WRRA prediction.</w:t>
      </w:r>
    </w:p>
    <w:p>
      <w:pPr>
        <w:pStyle w:val="BodyText"/>
      </w:pPr>
      <w:r>
        <w:t xml:space="preserve">The homogeneous acceleration-transition scale</w:t>
      </w:r>
    </w:p>
    <w:p>
      <w:pPr>
        <w:pStyle w:val="BodyText"/>
      </w:pPr>
      <w:r>
        <w:t xml:space="preserve">[</w:t>
      </w:r>
      <w:r>
        <w:t xml:space="preserve"> </w:t>
      </w:r>
      <w:r>
        <w:t xml:space="preserve">\boxed{a_{\rm trans}=0.6119598068}</w:t>
      </w:r>
      <w:r>
        <w:t xml:space="preserve"> </w:t>
      </w:r>
      <w:r>
        <w:t xml:space="preserve">]</w:t>
      </w:r>
    </w:p>
    <w:p>
      <w:pPr>
        <w:pStyle w:val="BodyText"/>
      </w:pPr>
      <w:r>
        <w:t xml:space="preserve">is another derived output of the frozen energy/pressure branch.</w:t>
      </w:r>
    </w:p>
    <w:p>
      <w:pPr>
        <w:pStyle w:val="BodyText"/>
      </w:pPr>
      <w:r>
        <w:t xml:space="preserve">MCC 2.3.2 also carries the earlier frozen neutrino mass pattern</w:t>
      </w:r>
    </w:p>
    <w:p>
      <w:pPr>
        <w:pStyle w:val="BodyText"/>
      </w:pPr>
      <w:r>
        <w:t xml:space="preserve">[</w:t>
      </w:r>
      <w:r>
        <w:t xml:space="preserve"> </w:t>
      </w:r>
      <w:r>
        <w:t xml:space="preserve">m_1=0,\qquad</w:t>
      </w:r>
      <w:r>
        <w:t xml:space="preserve"> </w:t>
      </w:r>
      <w:r>
        <w:t xml:space="preserve">m_2=8.62965\ {\rm meV},\qquad</w:t>
      </w:r>
      <w:r>
        <w:t xml:space="preserve"> </w:t>
      </w:r>
      <w:r>
        <w:t xml:space="preserve">m_3=50.05195\ {\rm meV},</w:t>
      </w:r>
      <w:r>
        <w:t xml:space="preserve"> </w:t>
      </w:r>
      <w:r>
        <w:t xml:space="preserve">]</w:t>
      </w:r>
    </w:p>
    <w:p>
      <w:pPr>
        <w:pStyle w:val="BodyText"/>
      </w:pPr>
      <w:r>
        <w:t xml:space="preserve">[</w:t>
      </w:r>
      <w:r>
        <w:t xml:space="preserve"> </w:t>
      </w:r>
      <w:r>
        <w:t xml:space="preserve">\sum m_\nu=58.6816\ {\rm meV}.</w:t>
      </w:r>
      <w:r>
        <w:t xml:space="preserve"> </w:t>
      </w:r>
      <w:r>
        <w:t xml:space="preserve">]</w:t>
      </w:r>
    </w:p>
    <w:p>
      <w:pPr>
        <w:pStyle w:val="BodyText"/>
      </w:pPr>
      <w:r>
        <w:t xml:space="preserve">MCC 3.0 inherits H=29 from that prior ledger but does not claim to have independently rederived the neutrino masses in the present six-stage integration.</w:t>
      </w:r>
    </w:p>
    <w:p>
      <w:r>
        <w:pict>
          <v:rect style="width:0;height:1.5pt" o:hralign="center" o:hrstd="t" o:hr="t"/>
        </w:pict>
      </w:r>
    </w:p>
    <w:bookmarkEnd w:id="43"/>
    <w:bookmarkStart w:id="44" w:name="X6e28fa79ed1b58af7a9cd79c307fa16f006b630"/>
    <w:p>
      <w:pPr>
        <w:pStyle w:val="Heading1"/>
      </w:pPr>
      <w:r>
        <w:t xml:space="preserve">16. Open Assumptions and Falsification</w:t>
      </w:r>
    </w:p>
    <w:p>
      <w:pPr>
        <w:pStyle w:val="FirstParagraph"/>
      </w:pPr>
      <w:r>
        <w:t xml:space="preserve">The following remain open:</w:t>
      </w:r>
    </w:p>
    <w:p>
      <w:pPr>
        <w:numPr>
          <w:ilvl w:val="0"/>
          <w:numId w:val="1004"/>
        </w:numPr>
        <w:pStyle w:val="Compact"/>
      </w:pPr>
      <w:r>
        <w:t xml:space="preserve">necessity of T=2πH;</w:t>
      </w:r>
    </w:p>
    <w:p>
      <w:pPr>
        <w:numPr>
          <w:ilvl w:val="0"/>
          <w:numId w:val="1004"/>
        </w:numPr>
        <w:pStyle w:val="Compact"/>
      </w:pPr>
      <w:r>
        <w:t xml:space="preserve">Cartesian independence of L,H,C;</w:t>
      </w:r>
    </w:p>
    <w:p>
      <w:pPr>
        <w:numPr>
          <w:ilvl w:val="0"/>
          <w:numId w:val="1004"/>
        </w:numPr>
        <w:pStyle w:val="Compact"/>
      </w:pPr>
      <w:r>
        <w:t xml:space="preserve">uniqueness of N_U=LHC;</w:t>
      </w:r>
    </w:p>
    <w:p>
      <w:pPr>
        <w:numPr>
          <w:ilvl w:val="0"/>
          <w:numId w:val="1004"/>
        </w:numPr>
        <w:pStyle w:val="Compact"/>
      </w:pPr>
      <w:r>
        <w:t xml:space="preserve">physical necessity of the Klein-type quotient;</w:t>
      </w:r>
    </w:p>
    <w:p>
      <w:pPr>
        <w:numPr>
          <w:ilvl w:val="0"/>
          <w:numId w:val="1004"/>
        </w:numPr>
        <w:pStyle w:val="Compact"/>
      </w:pPr>
      <w:r>
        <w:t xml:space="preserve">microscopic physical status of the zeta-focus rule;</w:t>
      </w:r>
    </w:p>
    <w:p>
      <w:pPr>
        <w:numPr>
          <w:ilvl w:val="0"/>
          <w:numId w:val="1004"/>
        </w:numPr>
        <w:pStyle w:val="Compact"/>
      </w:pPr>
      <w:r>
        <w:t xml:space="preserve">unique Prime-Parts to particle-species mapping;</w:t>
      </w:r>
    </w:p>
    <w:p>
      <w:pPr>
        <w:numPr>
          <w:ilvl w:val="0"/>
          <w:numId w:val="1004"/>
        </w:numPr>
        <w:pStyle w:val="Compact"/>
      </w:pPr>
      <w:r>
        <w:t xml:space="preserve">full spin/flavor/confinement/binding Hamiltonian;</w:t>
      </w:r>
    </w:p>
    <w:p>
      <w:pPr>
        <w:numPr>
          <w:ilvl w:val="0"/>
          <w:numId w:val="1004"/>
        </w:numPr>
        <w:pStyle w:val="Compact"/>
      </w:pPr>
      <w:r>
        <w:t xml:space="preserve">baryon/lepton origin;</w:t>
      </w:r>
    </w:p>
    <w:p>
      <w:pPr>
        <w:numPr>
          <w:ilvl w:val="0"/>
          <w:numId w:val="1004"/>
        </w:numPr>
        <w:pStyle w:val="Compact"/>
      </w:pPr>
      <w:r>
        <w:t xml:space="preserve">fully covariant inhomogeneous completion;</w:t>
      </w:r>
    </w:p>
    <w:p>
      <w:pPr>
        <w:numPr>
          <w:ilvl w:val="0"/>
          <w:numId w:val="1004"/>
        </w:numPr>
        <w:pStyle w:val="Compact"/>
      </w:pPr>
      <w:r>
        <w:t xml:space="preserve">autonomous physical measurement and persistent-record dynamics.</w:t>
      </w:r>
    </w:p>
    <w:p>
      <w:pPr>
        <w:pStyle w:val="FirstParagraph"/>
      </w:pPr>
      <w:r>
        <w:t xml:space="preserve">The integrated model must be revised if the finite source fails its frozen checks, a hidden third arithmetic fit or new SI refit becomes necessary, internal component views are double-counted as energy, rotation and lensing require different tuned gravity responses, proper-time conservation fails, cross-stage handoffs disagree, or an open microscopic rule becomes necessary and cannot be consistently supplied.</w:t>
      </w:r>
    </w:p>
    <w:p>
      <w:pPr>
        <w:pStyle w:val="BodyText"/>
      </w:pPr>
      <w:r>
        <w:t xml:space="preserve">Undefined calculations remain OPEN rather than being counted as successes.</w:t>
      </w:r>
    </w:p>
    <w:p>
      <w:r>
        <w:pict>
          <v:rect style="width:0;height:1.5pt" o:hralign="center" o:hrstd="t" o:hr="t"/>
        </w:pict>
      </w:r>
    </w:p>
    <w:bookmarkEnd w:id="44"/>
    <w:bookmarkStart w:id="45" w:name="Xbb6198e669d987492a4e2a483d07f4110c2658f"/>
    <w:p>
      <w:pPr>
        <w:pStyle w:val="Heading1"/>
      </w:pPr>
      <w:r>
        <w:t xml:space="preserve">17. Conclusion</w:t>
      </w:r>
    </w:p>
    <w:p>
      <w:pPr>
        <w:pStyle w:val="FirstParagraph"/>
      </w:pPr>
      <w:r>
        <w:t xml:space="preserve">MCC 3.0 does not attempt to enlarge the model indefinitely. Its purpose is to close one chain that had remained split between an upstream finite-universe intuition and a downstream executable cosmology.</w:t>
      </w:r>
    </w:p>
    <w:p>
      <w:pPr>
        <w:pStyle w:val="BodyText"/>
      </w:pPr>
      <w:r>
        <w:t xml:space="preserve">The final structure is</w:t>
      </w:r>
    </w:p>
    <w:p>
      <w:pPr>
        <w:pStyle w:val="BodyText"/>
      </w:pPr>
      <w:r>
        <w:t xml:space="preserve">[</w:t>
      </w:r>
      <w:r>
        <w:t xml:space="preserve"> </w:t>
      </w:r>
      <w:r>
        <w:t xml:space="preserve">\boxed{</w:t>
      </w:r>
      <w:r>
        <w:t xml:space="preserve"> </w:t>
      </w:r>
      <w:r>
        <w:t xml:space="preserve">\text{finite generator}</w:t>
      </w:r>
      <w:r>
        <w:t xml:space="preserve"> </w:t>
      </w:r>
      <w:r>
        <w:t xml:space="preserve">\rightarrow</w:t>
      </w:r>
      <w:r>
        <w:t xml:space="preserve"> </w:t>
      </w:r>
      <w:r>
        <w:t xml:space="preserve">\text{finite universe address space}</w:t>
      </w:r>
      <w:r>
        <w:t xml:space="preserve"> </w:t>
      </w:r>
      <w:r>
        <w:t xml:space="preserve">\rightarrow</w:t>
      </w:r>
      <w:r>
        <w:t xml:space="preserve"> </w:t>
      </w:r>
      <w:r>
        <w:t xml:space="preserve">\text{component/phenotype}</w:t>
      </w:r>
      <w:r>
        <w:t xml:space="preserve"> </w:t>
      </w:r>
      <w:r>
        <w:t xml:space="preserve">\rightarrow</w:t>
      </w:r>
      <w:r>
        <w:t xml:space="preserve"> </w:t>
      </w:r>
      <w:r>
        <w:t xml:space="preserve">\text{energy}</w:t>
      </w:r>
      <w:r>
        <w:t xml:space="preserve"> </w:t>
      </w:r>
      <w:r>
        <w:t xml:space="preserve">\rightarrow</w:t>
      </w:r>
      <w:r>
        <w:t xml:space="preserve"> </w:t>
      </w:r>
      <w:r>
        <w:t xml:space="preserve">\text{gravity}</w:t>
      </w:r>
      <w:r>
        <w:t xml:space="preserve"> </w:t>
      </w:r>
      <w:r>
        <w:t xml:space="preserve">\rightarrow</w:t>
      </w:r>
      <w:r>
        <w:t xml:space="preserve"> </w:t>
      </w:r>
      <w:r>
        <w:t xml:space="preserve">\text{galaxy}</w:t>
      </w:r>
      <w:r>
        <w:t xml:space="preserve"> </w:t>
      </w:r>
      <w:r>
        <w:t xml:space="preserve">\rightarrow</w:t>
      </w:r>
      <w:r>
        <w:t xml:space="preserve"> </w:t>
      </w:r>
      <w:r>
        <w:t xml:space="preserve">\text{cosmic expansion}</w:t>
      </w:r>
      <w:r>
        <w:t xml:space="preserve"> </w:t>
      </w:r>
      <w:r>
        <w:t xml:space="preserve">}.</w:t>
      </w:r>
      <w:r>
        <w:t xml:space="preserve"> </w:t>
      </w:r>
      <w:r>
        <w:t xml:space="preserve">]</w:t>
      </w:r>
    </w:p>
    <w:p>
      <w:pPr>
        <w:pStyle w:val="BodyText"/>
      </w:pPr>
      <w:r>
        <w:t xml:space="preserve">The starting point is no longer “assume an infinite set of integers” and not even “choose a convenient million-address cutoff.” It is a finite candidate generation rule whose output becomes the address domain on which the rest of the model runs.</w:t>
      </w:r>
    </w:p>
    <w:p>
      <w:pPr>
        <w:pStyle w:val="BodyText"/>
      </w:pPr>
      <w:r>
        <w:t xml:space="preserve">The six-stage computational integration passes. The integrated scientific model remains PASS-C because the finite-source product law and several microscopic particle claims are still conditional.</w:t>
      </w:r>
    </w:p>
    <w:p>
      <w:pPr>
        <w:pStyle w:val="BodyText"/>
      </w:pPr>
      <w:r>
        <w:t xml:space="preserve">The image that began with KOO JEONG A: OUSSSMOS was not evidence. It was a question: if a form can be finite without terminating at an edge, can the universe itself be executed from a finite rule rather than from an infinite prewritten catalog? MCC 3.0 gives a first executable candidate answer.</w:t>
      </w:r>
    </w:p>
    <w:p>
      <w:r>
        <w:pict>
          <v:rect style="width:0;height:1.5pt" o:hralign="center" o:hrstd="t" o:hr="t"/>
        </w:pict>
      </w:r>
    </w:p>
    <w:bookmarkEnd w:id="45"/>
    <w:bookmarkStart w:id="46" w:name="reproducibility"/>
    <w:p>
      <w:pPr>
        <w:pStyle w:val="Heading1"/>
      </w:pPr>
      <w:r>
        <w:t xml:space="preserve">Reproducibility</w:t>
      </w:r>
    </w:p>
    <w:p>
      <w:pPr>
        <w:pStyle w:val="FirstParagraph"/>
      </w:pPr>
      <w:r>
        <w:t xml:space="preserve">From the repository root:</w:t>
      </w:r>
    </w:p>
    <w:p>
      <w:pPr>
        <w:pStyle w:val="BodyText"/>
      </w:pPr>
      <w:r>
        <w:t xml:space="preserve">python -m pip install -r mcc_3_0/requirements.txt</w:t>
      </w:r>
      <w:r>
        <w:br/>
      </w:r>
      <w:r>
        <w:t xml:space="preserve">python mcc_3_0/reproduce_mcc_3_0.py</w:t>
      </w:r>
    </w:p>
    <w:p>
      <w:pPr>
        <w:pStyle w:val="BodyText"/>
      </w:pPr>
      <w:r>
        <w:t xml:space="preserve">Stage 1 is an immutable provenance freeze. Stages 2–5 are replayed in dependency order and Stage 6 audits cross-stage consistency.</w:t>
      </w:r>
    </w:p>
    <w:p>
      <w:pPr>
        <w:pStyle w:val="BodyText"/>
      </w:pPr>
      <w:r>
        <w:t xml:space="preserve">The published Stage-6 repository audit has passed. A fully independent clean-machine replay remains an operational reproduction step to be performed by an external verifier.</w:t>
      </w:r>
    </w:p>
    <w:p>
      <w:r>
        <w:pict>
          <v:rect style="width:0;height:1.5pt" o:hralign="center" o:hrstd="t" o:hr="t"/>
        </w:pict>
      </w:r>
    </w:p>
    <w:bookmarkEnd w:id="46"/>
    <w:bookmarkStart w:id="48" w:name="references"/>
    <w:p>
      <w:pPr>
        <w:pStyle w:val="Heading1"/>
      </w:pPr>
      <w:r>
        <w:t xml:space="preserve">References</w:t>
      </w:r>
    </w:p>
    <w:p>
      <w:pPr>
        <w:numPr>
          <w:ilvl w:val="0"/>
          <w:numId w:val="1005"/>
        </w:numPr>
        <w:pStyle w:val="Compact"/>
      </w:pPr>
      <w:r>
        <w:t xml:space="preserve">Choi, W. (2026). Finite but Boundaryless: A WRRA Hybrid Expansion and Accumulated Twist Cosmology with Hidden Gravitational State, Version 1.0. GitHub: Wonsik-Choi-janefather/wrra-finite-boundaryless-twist-cosmology. The paper explicitly acknowledges KOO JEONG A: OUSSSMOS, Leeum Museum of Art, Seoul, as conceptual inspiration rather than scientific evidence.</w:t>
      </w:r>
    </w:p>
    <w:p>
      <w:pPr>
        <w:numPr>
          <w:ilvl w:val="0"/>
          <w:numId w:val="1005"/>
        </w:numPr>
        <w:pStyle w:val="Compact"/>
      </w:pPr>
      <w:r>
        <w:t xml:space="preserve">Choi, W. (2026). Minimal Computing Cosmology 2.3.2: Integrated Model. Zenodo. DOI: 10.5281/zenodo.22733000.</w:t>
      </w:r>
    </w:p>
    <w:p>
      <w:pPr>
        <w:numPr>
          <w:ilvl w:val="0"/>
          <w:numId w:val="1005"/>
        </w:numPr>
        <w:pStyle w:val="Compact"/>
      </w:pPr>
      <w:r>
        <w:t xml:space="preserve">Choi, W.; Choi, J. (2026). WRRA M Integrated Upstream–Downstream Model 1.0 r1. Zenodo. DOI: 10.5281/zenodo.23126800.</w:t>
      </w:r>
    </w:p>
    <w:p>
      <w:pPr>
        <w:numPr>
          <w:ilvl w:val="0"/>
          <w:numId w:val="1005"/>
        </w:numPr>
        <w:pStyle w:val="Compact"/>
      </w:pPr>
      <w:r>
        <w:t xml:space="preserve">Choi, W.; Choi, J. (2026). WRRA_M Finite Klein–Zeta Generation Window v0.1. GitHub: Wonsik-Choi-janefather/wrra-m-0.1/upstream/finite_klein_zeta_window_v0_1.</w:t>
      </w:r>
    </w:p>
    <w:p>
      <w:pPr>
        <w:numPr>
          <w:ilvl w:val="0"/>
          <w:numId w:val="1005"/>
        </w:numPr>
        <w:pStyle w:val="Compact"/>
      </w:pPr>
      <w:r>
        <w:t xml:space="preserve">Choi, W. (2026). Twist Stress Universe and the Mass Phenotype of Dark Matter. Zenodo. DOI: 10.5281/zenodo.22700557.</w:t>
      </w:r>
    </w:p>
    <w:p>
      <w:pPr>
        <w:numPr>
          <w:ilvl w:val="0"/>
          <w:numId w:val="1005"/>
        </w:numPr>
        <w:pStyle w:val="Compact"/>
      </w:pPr>
      <w:r>
        <w:t xml:space="preserve">Choi, W. (2026). WRRA Spatial Twist Selection of Galactic Disk Planes and the Dark Mass Phenotype. Zenodo. DOI: 10.5281/zenodo.23003875.</w:t>
      </w:r>
    </w:p>
    <w:p>
      <w:pPr>
        <w:numPr>
          <w:ilvl w:val="0"/>
          <w:numId w:val="1005"/>
        </w:numPr>
        <w:pStyle w:val="Compact"/>
      </w:pPr>
      <w:r>
        <w:t xml:space="preserve">Choi, W. (2026). WRRA Prime-Parts Rendering: Finite Assembly, Neutrality, Composition and Decay. Zenodo. DOI: 10.5281/zenodo.23128482.</w:t>
      </w:r>
    </w:p>
    <w:p>
      <w:pPr>
        <w:numPr>
          <w:ilvl w:val="0"/>
          <w:numId w:val="1005"/>
        </w:numPr>
        <w:pStyle w:val="Compact"/>
      </w:pPr>
      <w:r>
        <w:t xml:space="preserve">NIST Digital Library of Mathematical Functions. Riemann Zeta Function: zeros and Euler–Maclaurin representations.</w:t>
      </w:r>
    </w:p>
    <w:p>
      <w:pPr>
        <w:numPr>
          <w:ilvl w:val="0"/>
          <w:numId w:val="1005"/>
        </w:numPr>
        <w:pStyle w:val="Compact"/>
      </w:pPr>
      <w:r>
        <w:t xml:space="preserve">mpmath documentation. zetazero.</w:t>
      </w:r>
    </w:p>
    <w:p>
      <w:r>
        <w:pict>
          <v:rect style="width:0;height:1.5pt" o:hralign="center" o:hrstd="t" o:hr="t"/>
        </w:pict>
      </w:r>
    </w:p>
    <w:bookmarkStart w:id="47" w:name="final-assessment"/>
    <w:p>
      <w:pPr>
        <w:pStyle w:val="Heading2"/>
      </w:pPr>
      <w:r>
        <w:t xml:space="preserve">Final assessment</w:t>
      </w:r>
    </w:p>
    <w:p>
      <w:pPr>
        <w:pStyle w:val="FirstParagraph"/>
      </w:pPr>
      <w:r>
        <w:t xml:space="preserve">Six-stage execution integration: PASS</w:t>
      </w:r>
    </w:p>
    <w:p>
      <w:pPr>
        <w:pStyle w:val="BodyText"/>
      </w:pPr>
      <w:r>
        <w:t xml:space="preserve">MCC 3.0 integrated scientific model: PASS-C</w:t>
      </w:r>
    </w:p>
    <w:p>
      <w:pPr>
        <w:pStyle w:val="BodyText"/>
      </w:pPr>
      <w:r>
        <w:t xml:space="preserve">Current finite SOURCE candidate:</w:t>
      </w:r>
    </w:p>
    <w:p>
      <w:pPr>
        <w:pStyle w:val="BodyText"/>
      </w:pPr>
      <w:r>
        <w:t xml:space="preserve">[</w:t>
      </w:r>
      <w:r>
        <w:t xml:space="preserve"> </w:t>
      </w:r>
      <w:r>
        <w:t xml:space="preserve">\boxed{N_U=1,015,000}</w:t>
      </w:r>
      <w:r>
        <w:t xml:space="preserve"> </w:t>
      </w:r>
      <w:r>
        <w:t xml:space="preserv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2026-10-07T04:30:13Z</dcterms:created>
  <dcterms:modified xsi:type="dcterms:W3CDTF">2026-10-07T04:30:13Z</dcterms:modified>
</cp:coreProperties>
</file>

<file path=docProps/custom.xml><?xml version="1.0" encoding="utf-8"?>
<Properties xmlns="http://schemas.openxmlformats.org/officeDocument/2006/custom-properties" xmlns:vt="http://schemas.openxmlformats.org/officeDocument/2006/docPropsVTypes"/>
</file>