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상류 0.4–0.6 전체 검토와 교정</w:t>
      </w:r>
    </w:p>
    <w:p>
      <w:pPr>
        <w:pStyle w:val="Subtitle"/>
      </w:pPr>
      <w:r>
        <w:t>WRRA M · 교정 자료집 r1 · 논문, 계산 코드와 계승 계약의 재검토</w:t>
      </w:r>
    </w:p>
    <w:p>
      <w:pPr>
        <w:spacing w:after="40"/>
      </w:pPr>
      <w:r>
        <w:t>최원식 Wonsik Choi   Seoul   2026년 10월 3일</w:t>
      </w:r>
    </w:p>
    <w:p>
      <w:pPr>
        <w:spacing w:after="120"/>
      </w:pPr>
      <w:r>
        <w:t>ORCID 0009-0001-4263-9772   janefather@gmail.com</w:t>
      </w:r>
    </w:p>
    <w:p>
      <w:pPr>
        <w:pStyle w:val="Caption"/>
      </w:pPr>
      <w:r>
        <w:t>교정 자료집 DOI 10.5281/zenodo.23112253</w:t>
      </w:r>
    </w:p>
    <w:p>
      <w:pPr>
        <w:pStyle w:val="Heading1"/>
      </w:pPr>
      <w:r>
        <w:t>1. 검토 결과와 범위</w:t>
      </w:r>
    </w:p>
    <w:p>
      <w:r>
        <w:t>0.4의 공간 결합, 0.5의 안정성·척도 보정, 0.6의 유한 운동량 전류·β 보정을 원고, 실제 실행 코드, 고정 입력과 결과 장부에 걸쳐 검토했다. 교정판은 0.4-r1, 0.5-r1, 0.6-r1이며 기존 원본과 고정 계승 계산을 보존한다. 수정의 목적은 기저 정의와 전류 해석을 분명히 하고 입력·수렴 검증의 실제 결함을 고치는 것이다.</w:t>
      </w:r>
    </w:p>
    <w:p>
      <w:r>
        <w:t>세 연구의 구현 검사와 별도 검증 390개, 단계 간·원본 비교 5개를 합쳐 395개가 통과했다. 새 폴더의 결과 재현을 포함한다. 아래 검사 수는 독립적인 실험 확인의 횟수나 모형 타당성의 확률을 뜻하지 않는다.</w:t>
      </w:r>
    </w:p>
    <w:p>
      <w:pPr>
        <w:pStyle w:val="Caption"/>
        <w:keepNext/>
      </w:pPr>
      <w:r>
        <w:t>표 1. 교정한 사항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5904"/>
        <w:gridCol w:w="2880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발견·수정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영향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0.4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식 (3)의 원시 E 모드와 정렬 O 이후 모드를 식 (3a)로 분리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0.5의 X₂ 음의 부호와 같은 기저 관례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0.4–0.6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NaN·무한대 κ, 수명과 자기모멘트 거부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잘못된 입력의 계산 진입 차단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0.4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미지원 모델 이름, 비유한 장과 잘못된 갭·구적 차수 거부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오타가 scalar 대조군으로 바뀌는 경로 제거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shell 순서·중복·범위 및 기준/홀드아웃 구적 차수 검사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수렴표의 입력 계약 명시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curves[-2] 대신 Q²=0.1의 고정 수렴점 계산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역순·축소 운동량 목록에서도 동일 검증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조절 길이 대조를 고정 0.5ℓ·2ℓ로 계산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단일 길이 목록도 유효하게 실행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Word</w:t>
            </w:r>
          </w:p>
        </w:tc>
        <w:tc>
          <w:tcPr>
            <w:tcW w:type="dxa" w:w="59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OMML 괄호 속성과 run 속성의 XML 순서 교정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대괄호 및 수식 글꼴의 PDF 표시 정정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0.6에는 Fourier 전류의 수반 관계, 실제 유한 차분 Dirac 반지름과 GF·Vud의 제곱 붕괴율 의존성을 추가했다. 실제 전체 실행에서 Q²=[0.2, 0.03, 0]과 조절 길이 목록 [2ℓ]를 사용하여 회귀 검증했다.</w:t>
      </w:r>
    </w:p>
    <w:p>
      <w:pPr>
        <w:pStyle w:val="Heading1"/>
        <w:pageBreakBefore/>
      </w:pPr>
      <w:r>
        <w:t>2. 유지된 물리 결과와 보정 역할</w:t>
      </w:r>
    </w:p>
    <w:p>
      <w:pPr>
        <w:pStyle w:val="Caption"/>
        <w:keepNext/>
      </w:pPr>
      <w:r>
        <w:t>표 2. 원본과 교정판의 주요 수치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888"/>
        <w:gridCol w:w="3600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단계·항목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유지된 수치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0.4 C·η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13.193474298 · 0.438092893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정적 축벡터·자기모멘트 공동 보정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0.4 혼합 E 가중치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0.293525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같은 상태의 조건부 보정 결과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0.5 Δ·ℓ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507.032217686 MeV · 0.616196218 fm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극 중심 및 양성자 점전하 반지름 입력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0.5 중성자 rE²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−0.186911738 fm²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미보정 출력, 자료 −0.1155와 불일치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 ℓ·cE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0.657150598 fm · −0.097082903 fm²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두 Sachs 전하 반지름에 의한 공동 보정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 F₂V(0)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3.709133450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공통 핵자 질량의 자석온 변환 포함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 중성자 자기 반지름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0.831987107 fm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미보정 출력, PDG 0.864와 불일치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 β 붕괴율 비율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1.037929262609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고정 부모 허용 근사 대비 명시한 보정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고정 κ의 평균수명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846.204102380 s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기존 κ=12.200294834431 유지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별도 재보정 κ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11.975301265858</w:t>
            </w:r>
          </w:p>
        </w:tc>
        <w:tc>
          <w:tcPr>
            <w:tcW w:type="dxa" w:w="3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878.3 s를 반환하도록 다시 정한 값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0.5→0.6의 Hamiltonian, 혼합 상태와 계승 보정 매개변수는 같다. 0.6의 길이 변경은 새 전하 구성에서 두 반지름을 함께 맞춘 것임을 명시했다. 기존 점전하 반지름을 Dirac 반지름으로 이름만 바꾸거나 Sachs 반지름에 Foldy 항을 다시 더하지 않는다.</w:t>
      </w:r>
    </w:p>
    <w:p>
      <w:r>
        <w:t>원본 비교에서 0.5 결과 JSON은 바이트까지 같았다. 0.6은 추가한 네 수반 관계 검사와 검사 수를 제외하면 전체 장부가 같았다. 0.4는 물리 출력과 검사 판단이 같고, 반올림하지 않은 순열 잔차 하나가 2.5075645305164553×10⁻¹³에서 2.507564530516456×10⁻¹³으로 달랐다. 약 5×10⁻²⁹의 마지막 비트 차이이며 각각의 새 폴더 재실행에서는 바이트 일치를 확인했다.</w:t>
      </w:r>
    </w:p>
    <w:p>
      <w:pPr>
        <w:pStyle w:val="Caption"/>
        <w:keepNext/>
      </w:pPr>
      <w:r>
        <w:t>표 3. 현재 검증 장부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2160"/>
        <w:gridCol w:w="2304"/>
        <w:gridCol w:w="2448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교정판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구현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별도 검증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합계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0.4-r1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86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112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0.5-r1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118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150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0.6-r1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128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원본·단계 간 비교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전체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304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44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395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pPr>
        <w:pStyle w:val="Heading1"/>
        <w:pageBreakBefore/>
      </w:pPr>
      <w:r>
        <w:t>3. 해석을 분명히 한 정의와 남은 한계</w:t>
      </w:r>
    </w:p>
    <w:p>
      <w:r>
        <w:t>0.4의 원시 야코비 함수와 스핀·맛 표현에 정렬된 함수를 구분한다. 기준 정렬은 O≈diag(1,−1)이므로 0.5의 음의 X₂ 정의와 충돌하지 않는다. 원시 함수의 부호를 정렬된 함수로 읽으면 같은 결합 연산자를 재구성할 수 없다.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t>a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rFonts w:ascii="Latin Modern Math" w:hAnsi="Latin Modern Math"/>
                <w:sz w:val="21"/>
              </w:rPr>
              <m:t>b</m:t>
            </m:r>
          </m:sub>
          <m:sup>
            <m:r>
              <w:rPr>
                <w:rFonts w:ascii="Latin Modern Math" w:hAnsi="Latin Modern Math"/>
                <w:sz w:val="21"/>
              </w:rPr>
              <m:t>​</m:t>
            </m:r>
          </m:sup>
          <m:e>
            <m:sSubSup>
              <m:e>
                <m:r>
                  <w:rPr>
                    <w:rFonts w:ascii="Latin Modern Math" w:hAnsi="Latin Modern Math"/>
                    <w:sz w:val="21"/>
                  </w:rPr>
                  <m:t>X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b</m:t>
                </m:r>
              </m:sub>
              <m:sup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r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a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w</m:t>
                </m:r>
              </m:sup>
            </m:sSubSup>
            <m:sSub>
              <m:e>
                <m:r>
                  <w:rPr>
                    <w:rFonts w:ascii="Latin Modern Math" w:hAnsi="Latin Modern Math"/>
                    <w:sz w:val="21"/>
                  </w:rPr>
                  <m:t>O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b</m:t>
                </m:r>
                <m:r>
                  <w:rPr>
                    <w:rFonts w:ascii="Latin Modern Math" w:hAnsi="Latin Modern Math"/>
                    <w:sz w:val="21"/>
                  </w:rPr>
                  <m:t>a</m:t>
                </m:r>
              </m:sub>
            </m:sSub>
          </m:e>
        </m:nary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  </m:t>
        </m:r>
        <m:sSub>
          <m:e>
            <m:r>
              <w:rPr>
                <w:rFonts w:ascii="Latin Modern Math" w:hAnsi="Latin Modern Math"/>
                <w:sz w:val="21"/>
              </w:rPr>
              <m:t>ϕ</m:t>
            </m:r>
          </m:e>
          <m:sub>
            <m:sSub>
              <m:e>
                <m:r>
                  <w:rPr>
                    <w:rFonts w:ascii="Latin Modern Math" w:hAnsi="Latin Modern Math"/>
                    <w:sz w:val="21"/>
                  </w:rPr>
                  <m:t>E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a</m:t>
                </m:r>
              </m:sub>
            </m:sSub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b>
          <m:e>
            <m:r>
              <w:rPr>
                <w:rFonts w:ascii="Latin Modern Math" w:hAnsi="Latin Modern Math"/>
                <w:sz w:val="21"/>
              </w:rPr>
              <m:t>X</m:t>
            </m:r>
          </m:e>
          <m:sub>
            <m:r>
              <w:rPr>
                <w:rFonts w:ascii="Latin Modern Math" w:hAnsi="Latin Modern Math"/>
                <w:sz w:val="21"/>
              </w:rPr>
              <m:t>a</m:t>
            </m:r>
          </m:sub>
        </m:sSub>
        <m:sSub>
          <m:e>
            <m:r>
              <w:rPr>
                <w:rFonts w:ascii="Latin Modern Math" w:hAnsi="Latin Modern Math"/>
                <w:sz w:val="21"/>
              </w:rPr>
              <m:t>ϕ</m:t>
            </m:r>
          </m:e>
          <m:sub>
            <m:r>
              <w:rPr>
                <w:rFonts w:ascii="Latin Modern Math" w:hAnsi="Latin Modern Math"/>
                <w:sz w:val="21"/>
              </w:rPr>
              <m:t>S</m:t>
            </m:r>
          </m:sub>
        </m:sSub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(1)</w:t>
      </w:r>
    </w:p>
    <w:p>
      <w:r>
        <w:t>0.6의 ρ(q)는 짝수 Hermitian 단극자 밀도이다. 아래 JL은 홀수 Fourier 종방향 진폭이다. 수반 관계는 −q에서 성립하며, q&gt;0의 행렬 자체를 위치 공간의 Hermitian 전류라고 부르지 않는다. 이 구성은 투영된 연속 관계를 정하지만 횡전류, 미시 교환 전하 및 완전한 상대론적 게이지 구성을 결정하지 않는다.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J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q</m:t>
            </m:r>
          </m:e>
        </m:d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H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,</m:t>
                </m:r>
                <m:r>
                  <w:rPr>
                    <w:rFonts w:ascii="Latin Modern Math" w:hAnsi="Latin Modern Math"/>
                    <w:sz w:val="21"/>
                  </w:rPr>
                  <m:t>ρ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rFonts w:ascii="Latin Modern Math" w:hAnsi="Latin Modern Math"/>
                        <w:sz w:val="21"/>
                      </w:rPr>
                      <m:t>q</m:t>
                    </m:r>
                  </m:e>
                </m:d>
              </m:e>
            </m:d>
          </m:num>
          <m:den>
            <m:r>
              <w:rPr>
                <w:rFonts w:ascii="Latin Modern Math" w:hAnsi="Latin Modern Math"/>
                <w:sz w:val="21"/>
              </w:rPr>
              <m:t>q</m:t>
            </m:r>
          </m:den>
        </m:f>
        <m:r>
          <m:rPr>
            <m:sty m:val="p"/>
          </m:rPr>
          <w:rPr>
            <w:rFonts w:ascii="Latin Modern Math" w:hAnsi="Latin Modern Math"/>
            <w:sz w:val="21"/>
          </w:rPr>
          <m:t>,</m:t>
        </m:r>
        <m:r>
          <w:rPr>
            <w:rFonts w:ascii="Latin Modern Math" w:hAnsi="Latin Modern Math"/>
            <w:sz w:val="21"/>
          </w:rPr>
          <m:t>  </m:t>
        </m:r>
        <m:sSub>
          <m:e>
            <m:r>
              <w:rPr>
                <w:rFonts w:ascii="Latin Modern Math" w:hAnsi="Latin Modern Math"/>
                <w:sz w:val="21"/>
              </w:rPr>
              <m:t>J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Latin Modern Math" w:hAnsi="Latin Modern Math"/>
                    <w:sz w:val="21"/>
                  </w:rPr>
                  <m:t>q</m:t>
                </m:r>
              </m:e>
            </m:d>
          </m:e>
          <m:sup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†</m:t>
            </m:r>
          </m:sup>
        </m:sSup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sSub>
          <m:e>
            <m:r>
              <w:rPr>
                <w:rFonts w:ascii="Latin Modern Math" w:hAnsi="Latin Modern Math"/>
                <w:sz w:val="21"/>
              </w:rPr>
              <m:t>J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−</m:t>
            </m:r>
            <m:r>
              <w:rPr>
                <w:rFonts w:ascii="Latin Modern Math" w:hAnsi="Latin Modern Math"/>
                <w:sz w:val="21"/>
              </w:rPr>
              <m:t>q</m:t>
            </m:r>
          </m:e>
        </m:d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r>
          <m:rPr>
            <m:sty m:val="p"/>
          </m:rPr>
          <w:rPr>
            <w:rFonts w:ascii="Latin Modern Math" w:hAnsi="Latin Modern Math"/>
            <w:sz w:val="21"/>
          </w:rPr>
          <m:t>−</m:t>
        </m:r>
        <m:sSub>
          <m:e>
            <m:r>
              <w:rPr>
                <w:rFonts w:ascii="Latin Modern Math" w:hAnsi="Latin Modern Math"/>
                <w:sz w:val="21"/>
              </w:rPr>
              <m:t>J</m:t>
            </m:r>
          </m:e>
          <m:sub>
            <m:r>
              <w:rPr>
                <w:rFonts w:ascii="Latin Modern Math" w:hAnsi="Latin Modern Math"/>
                <w:sz w:val="21"/>
              </w:rP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q</m:t>
            </m:r>
          </m:e>
        </m:d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(2)</w:t>
      </w:r>
    </w:p>
    <w:p>
      <w:r>
        <w:t>β 외부 보정은 전자 포괄 선도 함수이며, 정확한 tree 반동률에 선도 허용 스펙트럼 외부 증가분을 더한 뒤 내부 인자를 곱한다. 내부 ΔRV=0.02467(22)는 Seng 등 2018의 고정 참고값이며 최신 권고값이라는 주장이 아니다. 완전한 복사·반동 혼합항이나 미시 γW 상자 계산을 포함했다고 해석하지 않는다.</w:t>
      </w:r>
    </w:p>
    <w:p>
      <w:pPr>
        <w:keepLines/>
        <w:spacing w:line="240" w:lineRule="auto" w:before="40" w:after="140"/>
        <w:jc w:val="center"/>
      </w:pPr>
      <m:oMath>
        <m:sSub>
          <m:e>
            <m:r>
              <w:rPr>
                <w:rFonts w:ascii="Latin Modern Math" w:hAnsi="Latin Modern Math"/>
                <w:sz w:val="21"/>
              </w:rPr>
              <m:t>K</m:t>
            </m:r>
          </m:e>
          <m:sub>
            <m:r>
              <w:rPr>
                <w:rFonts w:ascii="Latin Modern Math" w:hAnsi="Latin Modern Math"/>
                <w:sz w:val="21"/>
              </w:rPr>
              <m:t>β</m:t>
            </m:r>
          </m:sub>
        </m:sSub>
        <m:r>
          <m:rPr>
            <m:sty m:val="p"/>
          </m:rPr>
          <w:rPr>
            <w:rFonts w:ascii="Latin Modern Math" w:hAnsi="Latin Modern Math"/>
            <w:sz w:val="21"/>
          </w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rFonts w:ascii="Latin Modern Math" w:hAnsi="Latin Modern Math"/>
                    <w:sz w:val="21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t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r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e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+</m:t>
            </m:r>
            <m:r>
              <w:rPr>
                <w:rFonts w:ascii="Latin Modern Math" w:hAnsi="Latin Modern Math"/>
                <w:sz w:val="21"/>
              </w:rPr>
              <m:t>δ</m:t>
            </m:r>
            <m:sSub>
              <m:e>
                <m:r>
                  <w:rPr>
                    <w:rFonts w:ascii="Latin Modern Math" w:hAnsi="Latin Modern Math"/>
                    <w:sz w:val="21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o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u</m:t>
                </m:r>
                <m:r>
                  <m:rPr>
                    <m:sty m:val="p"/>
                  </m:rPr>
                  <w:rPr>
                    <w:rFonts w:ascii="Latin Modern Math" w:hAnsi="Latin Modern Math"/>
                    <w:sz w:val="21"/>
                  </w:rPr>
                  <m:t>t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w:rPr>
                <w:rFonts w:ascii="Latin Modern Math" w:hAnsi="Latin Modern Math"/>
                <w:sz w:val="21"/>
              </w:rPr>
              <m:t>1</m:t>
            </m:r>
            <m:r>
              <m:rPr>
                <m:sty m:val="p"/>
              </m:rPr>
              <w:rPr>
                <w:rFonts w:ascii="Latin Modern Math" w:hAnsi="Latin Modern Math"/>
                <w:sz w:val="21"/>
              </w:rPr>
              <m:t>+</m:t>
            </m:r>
            <m:sSubSup>
              <m:e>
                <m:r>
                  <w:rPr>
                    <w:rFonts w:ascii="Latin Modern Math" w:hAnsi="Latin Modern Math"/>
                    <w:sz w:val="21"/>
                  </w:rPr>
                  <m:t>Δ</m:t>
                </m:r>
              </m:e>
              <m:sub>
                <m:r>
                  <w:rPr>
                    <w:rFonts w:ascii="Latin Modern Math" w:hAnsi="Latin Modern Math"/>
                    <w:sz w:val="21"/>
                  </w:rPr>
                  <m:t>R</m:t>
                </m:r>
              </m:sub>
              <m:sup>
                <m:r>
                  <w:rPr>
                    <w:rFonts w:ascii="Latin Modern Math" w:hAnsi="Latin Modern Math"/>
                    <w:sz w:val="21"/>
                  </w:rPr>
                  <m:t>V</m:t>
                </m:r>
              </m:sup>
            </m:sSubSup>
          </m:e>
        </m:d>
      </m:oMath>
      <w:r>
        <w:rPr>
          <w:rFonts w:ascii="NanumGothic" w:hAnsi="NanumGothic" w:eastAsia="NanumGothic"/>
          <w:b w:val="0"/>
          <w:color w:val="000000"/>
          <w:sz w:val="18"/>
        </w:rPr>
        <w:t xml:space="preserve">  (3)</w:t>
      </w:r>
    </w:p>
    <w:p>
      <w:r>
        <w:t>GP·pion pole, second-class 전류, 고차 QED, 완전한 αE/M 보정, 아이소스핀 파괴 및 전체 공변 게이지 동역학은 남은 항이다. 10⁻⁴ 정밀도 계산이라는 주장을 하지 않는다. 전자 포괄 스펙트럼은 광자·전자·중성미자의 완전한 배타적 사건 분포가 아니다.</w:t>
      </w:r>
    </w:p>
    <w:p>
      <w:r>
        <w:t>0.5의 N(1440) 실수 극 중심 배정은 에너지 척도 보정이다. 폭과 산란 채널은 예측하지 않는다. 전하 곡률은 조절 길이에 의존하고 외부 유한 Q² 자료에 보정되지 않았다. 자기장 이차 직접항 dB는 정적 모멘트에 영향 없이 응답에 더해질 수 있으므로 현재 내부 응답을 완전한 실험 자기 편극률로 동일시하지 않는다.</w:t>
      </w:r>
    </w:p>
    <w:p>
      <w:r>
        <w:t>이 자료가 남기는 것은 공개된 입력으로 재현되는 공간 결합, 안정화의 필요성과 선택, 같은 상태의 공동 전류, 수치 수렴과 실험 불일치의 구분, 고정·재보정 정규화의 장부이다. 이후 연구는 이 정의를 받아 외부 자료 비교와 미정 전류·직접항을 검증해야 한다.</w:t>
      </w:r>
    </w:p>
    <w:p>
      <w:pPr>
        <w:pStyle w:val="Heading1"/>
        <w:pageBreakBefore/>
      </w:pPr>
      <w:r>
        <w:t>4. 재현·공개 자료와 출처</w:t>
      </w:r>
    </w:p>
    <w:p>
      <w:r>
        <w:t>Python 3.12.14, NumPy 2.3.5, SciPy 1.17.0에서 검증했다. requirements.txt 설치 후 OPENBLAS_NUM_THREADS=2 python reproduce_all.py를 실행하면 세 compute.py, 세 verify_release.py와 원본·단계 비교가 실행된다. 결과는 reproduction_results.json이다. 각 연구의 verify_release.py는 별도 새 디렉터리에서 결과 바이트 일치를 확인한다.</w:t>
      </w:r>
    </w:p>
    <w:p>
      <w:r>
        <w:t>보존된 inherited_v0_3_r1.py, inherited_v0_4.py, inherited_v0_5.py와 parent_kernel.py는 공개 당시의 고정 snapshot이다. 교정 입력 계약은 각 교정판 실행 진입점과 review_contracts.py에서 적용한다. snapshot 파일을 교정판으로 바꾼 뒤 원래 해시를 주장하지 않는다. baseline 폴더에는 비교할 원본 결과·검증 장부를 동봉했다.</w:t>
      </w:r>
    </w:p>
    <w:p>
      <w:pPr>
        <w:pStyle w:val="Caption"/>
        <w:keepNext/>
      </w:pPr>
      <w:r>
        <w:t>표 4. 공개 자료의 역할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5760"/>
      </w:tblGrid>
      <w:tr>
        <w:trPr>
          <w:tblHeader/>
          <w:cantSplit/>
        </w:trPr>
        <w:tc>
          <w:tcPr>
            <w:tcW w:type="dxa" w:w="41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파일·경로</w:t>
            </w:r>
          </w:p>
        </w:tc>
        <w:tc>
          <w:tcPr>
            <w:tcW w:type="dxa" w:w="57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shd w:fill="E7E7E7"/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studies/v0_4_r1, v0_5_r1, v0_6_r1</w:t>
            </w:r>
          </w:p>
        </w:tc>
        <w:tc>
          <w:tcPr>
            <w:tcW w:type="dxa" w:w="57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교정 코드·입력·결과·별도 검증·한국어 원고·Word/PDF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report</w:t>
            </w:r>
          </w:p>
        </w:tc>
        <w:tc>
          <w:tcPr>
            <w:tcW w:type="dxa" w:w="57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이 검토보고서 Word/PDF와 재생성 소스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baseline</w:t>
            </w:r>
          </w:p>
        </w:tc>
        <w:tc>
          <w:tcPr>
            <w:tcW w:type="dxa" w:w="57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원본 결과·검증 장부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reproduce_all.py / reproduction_results.json</w:t>
            </w:r>
          </w:p>
        </w:tc>
        <w:tc>
          <w:tcPr>
            <w:tcW w:type="dxa" w:w="57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전체 재현 경로 및 검증 결과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CHANGES.md / CITATION.cff / SHA256SUMS</w:t>
            </w:r>
          </w:p>
        </w:tc>
        <w:tc>
          <w:tcPr>
            <w:tcW w:type="dxa" w:w="57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수정 기록·인용 정보·파일 무결성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재현 ZIP</w:t>
            </w:r>
          </w:p>
        </w:tc>
        <w:tc>
          <w:tcPr>
            <w:tcW w:type="dxa" w:w="57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위 자료를 묶은 독립 실행 가능 공개본</w:t>
            </w:r>
          </w:p>
        </w:tc>
      </w:tr>
    </w:tbl>
    <w:p>
      <w:pPr>
        <w:spacing w:after="0" w:line="80" w:lineRule="exact"/>
      </w:pPr>
      <w:r>
        <w:rPr>
          <w:rFonts w:ascii="NanumGothic" w:hAnsi="NanumGothic" w:eastAsia="NanumGothic"/>
          <w:b w:val="0"/>
          <w:color w:val="000000"/>
          <w:sz w:val="6"/>
        </w:rPr>
        <w:t xml:space="preserve"> </w:t>
      </w:r>
    </w:p>
    <w:p>
      <w:r>
        <w:t>교정 자료집 DOI 10.5281/zenodo.23112253. 기존 0.3까지의 전체 검토 자료집은 DOI 10.5281/zenodo.23092499이다. 새 자료집은 기존 기록을 참고 문헌으로 연결하고, 그 파일·DOI를 대체하지 않는다. GitHub의 교정 자료 경로는 upstream/review_0_4_0_6_r1이며 원본 internal_coupling_v0_4, spatial_scale_v0_5, finite_currents_v0_6은 보존한다.</w:t>
      </w:r>
    </w:p>
    <w:p>
      <w:pPr>
        <w:pStyle w:val="Heading1"/>
      </w:pPr>
      <w:r>
        <w:t>참고 자료</w:t>
      </w:r>
    </w:p>
    <w:p>
      <w:r>
        <w:t>[1] PDG, Review of Particle Physics (2026), Baryon summary tables. https://pdg.lbl.gov/2026/tables/rpp2026-sum-baryons.pdf. [2] NIST CODATA 2022, proton rms charge radius 0.84075(64) fm. https://physics.nist.gov/cgi-bin/cuu/Value?rp=</w:t>
      </w:r>
    </w:p>
    <w:p>
      <w:r>
        <w:t>[3] C.-Y. Seng, Particles 4, 397–467 (2021), DOI 10.3390/particles4040034, 식 108·126. [4] C.-Y. Seng et al., Phys. Rev. Lett. 121, 241804 (2018), arXiv:1807.10197. [5] W. R. B. de Araújo et al., Neutron Charge Radius: Relativistic Effects and the Foldy Term, arXiv:hep-ph/0305120 (2003). 각 단계 원고에 전체 참고문헌과 적용 범위를 제시했다.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separate"/>
    </w:r>
    <w:r>
      <w:rPr>
        <w:rFonts w:ascii="NanumGothic" w:hAnsi="NanumGothic" w:eastAsia="NanumGothic"/>
        <w:b w:val="0"/>
        <w:color w:val="000000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 w:val="0"/>
        <w:color w:val="000000"/>
        <w:sz w:val="16"/>
      </w:rPr>
      <w:t>WRRA M 상류 0.4–0.6 검토 r1   최원식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20"/>
      <w:ind w:firstLine="0"/>
      <w:jc w:val="left"/>
    </w:pPr>
    <w:rPr>
      <w:rFonts w:ascii="NanumGothic" w:hAnsi="NanumGothic" w:eastAsia="NanumGothi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left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ind w:firstLine="0"/>
      <w:contextualSpacing/>
      <w:jc w:val="left"/>
    </w:pPr>
    <w:rPr>
      <w:rFonts w:asciiTheme="majorHAnsi" w:eastAsiaTheme="majorEastAsia" w:hAnsiTheme="majorHAnsi" w:cstheme="majorBidi" w:ascii="NanumGothic" w:hAnsi="NanumGothic" w:eastAsia="NanumGothic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  <w:ind w:firstLine="0"/>
      <w:jc w:val="left"/>
    </w:pPr>
    <w:rPr>
      <w:rFonts w:asciiTheme="majorHAnsi" w:eastAsiaTheme="majorEastAsia" w:hAnsiTheme="majorHAnsi" w:cstheme="majorBidi" w:ascii="NanumGothic" w:hAnsi="NanumGothic" w:eastAsia="NanumGothi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00"/>
      <w:ind w:firstLine="0"/>
      <w:jc w:val="left"/>
    </w:pPr>
    <w:rPr>
      <w:rFonts w:ascii="NanumGothic" w:hAnsi="NanumGothic" w:eastAsia="NanumGothi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상류 0.4–0.6 전체 검토와 교정</dc:title>
  <dc:subject>WRRA M · 교정 자료집 r1 · 논문, 계산 코드와 계승 계약의 재검토</dc:subject>
  <dc:creator>Wonsik Choi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