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rra-m-0-7-actual과-표현형의-에너지-가중-정보-장부"/>
    <w:p>
      <w:pPr>
        <w:pStyle w:val="Title"/>
        <w:ind w:firstLine="0"/>
        <w:jc w:val="left"/>
      </w:pPr>
      <w:r>
        <w:rPr>
          <w:color w:val="000000"/>
        </w:rPr>
        <w:t xml:space="preserve">WRRA M 0 7 Actual과 표현형의 에너지 가중 정보 장부</w:t>
      </w:r>
    </w:p>
    <w:p>
      <w:pPr>
        <w:pStyle w:val="FirstParagraph"/>
        <w:ind w:firstLine="0"/>
        <w:jc w:val="left"/>
      </w:pPr>
      <w:r>
        <w:t xml:space="preserve">우리 우주 모형의 공통 정의와 부하 측도 및 재현 가능한 계산</w:t>
      </w:r>
    </w:p>
    <w:p>
      <w:pPr>
        <w:pStyle w:val="BodyText"/>
        <w:ind w:firstLine="0"/>
        <w:jc w:val="left"/>
      </w:pPr>
      <w:r>
        <w:t xml:space="preserve">최원식 Wonsik Choi</w:t>
      </w:r>
      <w:r>
        <w:br/>
      </w:r>
      <w:r>
        <w:t xml:space="preserve">WRRA-M 0.7-r1 | 2026년 10월 2일</w:t>
      </w:r>
      <w:r>
        <w:br/>
      </w:r>
      <w:r>
        <w:t xml:space="preserve">Independent Researcher Seoul Republic of Korea</w:t>
      </w:r>
      <w:r>
        <w:br/>
      </w:r>
      <w:r>
        <w:t xml:space="preserve">ORCID 0009-0001-4263-9772 | janefather@gmail.com</w:t>
      </w:r>
    </w:p>
    <w:bookmarkStart w:id="20" w:name="판정-순서와-연구-결과"/>
    <w:p>
      <w:pPr>
        <w:pStyle w:val="Heading2"/>
        <w:ind w:firstLine="0"/>
        <w:jc w:val="left"/>
      </w:pPr>
      <w:r>
        <w:rPr>
          <w:color w:val="000000"/>
        </w:rPr>
        <w:t xml:space="preserve">판정 순서와 연구 결과</w:t>
      </w:r>
    </w:p>
    <w:p>
      <w:pPr>
        <w:pStyle w:val="FirstParagraph"/>
        <w:ind w:firstLine="0"/>
        <w:jc w:val="left"/>
      </w:pPr>
      <w:r>
        <w:t xml:space="preserve">검증 입력은 WRRA Core 1.0과 MCC 2.3.2를 이어받은 0.6-r2의 공개 코드와 보정 장부다. 광속은 SI 정의값으로 고정하고, 후기 우주 구성비와 국소 시험원의 조건은 갱신 가능한 입력으로 유지한다. WRRA 고유 변환은 양의 상태 부하를 세 부문으로 합산하고, 그 전체를 Actual의 에너지 가중 정보부하로 정규화하여 표현형과 비표현형 비율을 계산하는 것이다. 같은 부하를 기존 에너지 함수와 압력 및 중력·팽창 계산에 전달한다.</w:t>
      </w:r>
    </w:p>
    <w:p>
      <w:pPr>
        <w:pStyle w:val="BodyText"/>
        <w:ind w:firstLine="0"/>
        <w:jc w:val="left"/>
      </w:pPr>
      <w:r>
        <w:t xml:space="preserve">산출값은 기준 상태의 표현형 4.93%와 비표현형 95.07%, 상태·공간 크기 변경에 따른 비율, 그리고 기존 회전·렌즈·팽창 산출값의 재현이다. 반증조건은 허용 상태에서 음의 부하가 생기는 경우, 분해 합계가 맞지 않는 경우, 같은 입력의 0.6 에너지·압력과 어긋나는 경우, 또는 실행되지 않은 전환을 완료했다고 주장하는 경우다.</w:t>
      </w:r>
    </w:p>
    <w:p>
      <w:pPr>
        <w:pStyle w:val="BodyText"/>
        <w:ind w:firstLine="0"/>
        <w:jc w:val="left"/>
      </w:pPr>
      <w:r>
        <w:t xml:space="preserve">0.7은 Actual·양자화·표현형을 잇는 공통 정의와 측도를 확정하고 장부를 실제 계산한다. 이 판에서 닫힌 것은 가중 측도와 기존 부하 계산의 연결이다. 물리적 양자화 사건과 입자 필터 선택은 다음 판에서 실행한다. 알려진 값의 보정을 정당한 모형 구성으로 인정하며, 독립예측을 완료 조건으로 요구하지 않는다.</w:t>
      </w:r>
    </w:p>
    <w:bookmarkEnd w:id="20"/>
    <w:bookmarkStart w:id="21" w:name="actual과-양자화-및-표현형의-정의"/>
    <w:p>
      <w:pPr>
        <w:pStyle w:val="Heading2"/>
        <w:ind w:firstLine="0"/>
        <w:jc w:val="left"/>
      </w:pPr>
      <w:r>
        <w:rPr>
          <w:color w:val="000000"/>
        </w:rPr>
        <w:t xml:space="preserve">Actual과 양자화 및 표현형의 정의</w:t>
      </w:r>
    </w:p>
    <w:p>
      <w:pPr>
        <w:pStyle w:val="FirstParagraph"/>
        <w:keepNext/>
        <w:ind w:firstLine="0"/>
        <w:jc w:val="left"/>
      </w:pPr>
      <w:r>
        <w:t xml:space="preserve">Actual은 현재 모형이 보유하는 상태·공간 크기·구성 입력·기록의 전체다. 100%는 이 전체의 채택한 가중 부하를 분모로 정규화한 값이다. 무한한 비트 목록이나 우주의 모든 미시 상태를 이미 관측했다는 뜻으로 사용하지 않는다. Θ는 상수·보정·연산자·시험원 조건의 공통 입력 장부이며, R은 물리적 결과 기록이다. 0.7에서 물리적 결과 기록은 빈 목록으로 유지한다.</w:t>
      </w:r>
    </w:p>
    <w:p>
      <w:pPr>
        <w:pStyle w:val="BodyText"/>
        <w:keepLines/>
        <w:spacing w:before="80" w:after="180"/>
        <w:ind w:firstLine="0"/>
        <w:jc w:val="left"/>
      </w:pPr>
      <m:oMathPara>
        <m:oMathParaPr>
          <m:jc m:val="center"/>
        </m:oMathParaPr>
        <m:oMath>
          <m:r>
            <m:rPr>
              <m:sty m:val="p"/>
              <m:scr m:val="script"/>
            </m:rPr>
            <m:t>A</m:t>
          </m:r>
          <m:r>
            <m:rPr>
              <m:sty m:val="p"/>
            </m:rPr>
            <m:t>=</m:t>
          </m:r>
          <m:d>
            <m:dPr>
              <m:begChr m:val="("/>
              <m:endChr m:val=")"/>
              <m:sepChr m:val=""/>
              <m:grow/>
            </m:dPr>
            <m:e>
              <m:r>
                <m:t>a</m:t>
              </m:r>
              <m:r>
                <m:rPr>
                  <m:sty m:val="p"/>
                </m:rPr>
                <m:t>,</m:t>
              </m:r>
              <m:r>
                <m:t>ρ</m:t>
              </m:r>
              <m:r>
                <m:rPr>
                  <m:sty m:val="p"/>
                </m:rPr>
                <m:t>,</m:t>
              </m:r>
              <m:r>
                <m:t>Θ</m:t>
              </m:r>
              <m:r>
                <m:rPr>
                  <m:sty m:val="p"/>
                </m:rPr>
                <m:t>,</m:t>
              </m:r>
              <m:r>
                <m:rPr>
                  <m:sty m:val="p"/>
                  <m:scr m:val="script"/>
                </m:rPr>
                <m:t>R</m:t>
              </m:r>
            </m:e>
          </m:d>
          <m:r>
            <m:rPr>
              <m:sty m:val="p"/>
            </m:rPr>
            <m:t>,</m:t>
          </m:r>
          <m:r>
            <m:t>  </m:t>
          </m:r>
          <m:r>
            <m:t>ρ</m:t>
          </m:r>
          <m:r>
            <m:rPr>
              <m:sty m:val="p"/>
            </m:rPr>
            <m:t>≽</m:t>
          </m:r>
          <m:r>
            <m:t>0</m:t>
          </m:r>
          <m:r>
            <m:rPr>
              <m:sty m:val="p"/>
            </m:rPr>
            <m:t>,</m:t>
          </m:r>
          <m:r>
            <m:t> </m:t>
          </m:r>
          <m:r>
            <m:rPr>
              <m:sty m:val="p"/>
            </m:rPr>
            <m:t>T</m:t>
          </m:r>
          <m:r>
            <m:rPr>
              <m:sty m:val="p"/>
            </m:rPr>
            <m:t>r</m:t>
          </m:r>
          <m:r>
            <m:t>ρ</m:t>
          </m:r>
          <m:r>
            <m:rPr>
              <m:sty m:val="p"/>
            </m:rPr>
            <m:t>=</m:t>
          </m:r>
          <m:r>
            <m:t>1</m:t>
          </m:r>
          <m:r>
            <m:rPr>
              <m:sty m:val="p"/>
            </m:rPr>
            <m:t>.</m:t>
          </m:r>
          <m:r>
            <m:rPr>
              <m:sty m:val="p"/>
            </m:rPr>
            <m:t xml:space="preserve">   (1)</m:t>
          </m:r>
        </m:oMath>
      </m:oMathPara>
    </w:p>
    <w:p>
      <w:pPr>
        <w:pStyle w:val="FirstParagraph"/>
        <w:ind w:firstLine="0"/>
        <w:jc w:val="left"/>
      </w:pPr>
      <w:r>
        <w:t xml:space="preserve">양자화는 Actual 상태가 이산적인 표현형 결과와 관측 뒤 상태 및 물리적 기록으로 전환되는 연산 과정으로 정의한다. 0.7은 그 연산의 입출력과 부하 장부를 준비한다. 0/1 경계 선택, 발생확률, 관측 뒤 상태갱신을 아직 실행하지 않았으므로 결과 파일에 quantization_status를 미실행으로 명시한다.</w:t>
      </w:r>
    </w:p>
    <w:p>
      <w:pPr>
        <w:pStyle w:val="BodyText"/>
        <w:ind w:firstLine="0"/>
        <w:jc w:val="left"/>
      </w:pPr>
      <w:r>
        <w:t xml:space="preserve">표현형은 채택한 우리 우주 가지에서 현재 확정되어 표현된 부문의 부하다. 비표현형은 그 밖에 남아 있는 모이는 부하와 배경 부하다. 비표현형도 Actual에 포함되고 중력·팽창 장부에 기여한다. 비표현형의 존재를 관측 여부에 따라 0으로 처리하지 않는다. 잔여는 표현되지 않은 상태 내용의 보존을 가리키며, 이를 별도의 네 번째 에너지 성분으로 더하지 않는다.</w:t>
      </w:r>
    </w:p>
    <w:p>
      <w:pPr>
        <w:pStyle w:val="BodyText"/>
        <w:ind w:firstLine="0"/>
        <w:jc w:val="left"/>
      </w:pPr>
      <w:r>
        <w:t xml:space="preserve">물리적 기록은 전환 결과를 보유한 계의 상태다. 입력 출처와 코드 실행 로그는 재현 기록이며 물리적 관측 기록과 구분한다. 이후 기록계의 에너지는 기존 부문 안의 하위 배정으로 계산한다. 같은 에너지를 기록 비용이라는 이름으로 다시 더하지 않는다.</w:t>
      </w:r>
    </w:p>
    <w:bookmarkEnd w:id="21"/>
    <w:bookmarkStart w:id="22" w:name="공통운반자와-양의-부하-연산자"/>
    <w:p>
      <w:pPr>
        <w:pStyle w:val="Heading2"/>
        <w:ind w:firstLine="0"/>
        <w:jc w:val="left"/>
      </w:pPr>
      <w:r>
        <w:rPr>
          <w:color w:val="000000"/>
        </w:rPr>
        <w:t xml:space="preserve">공통운반자와 양의 부하 연산자</w:t>
      </w:r>
    </w:p>
    <w:p>
      <w:pPr>
        <w:pStyle w:val="FirstParagraph"/>
        <w:keepNext/>
        <w:ind w:firstLine="0"/>
        <w:jc w:val="left"/>
      </w:pPr>
      <w:r>
        <w:t xml:space="preserve">0.6의 16개 시험 채널과 N개 내부 격자를 유지한다. N=128은 공간 부하를 계산하는 격자 크기이고, 입자 채널의 수가 아니다. 채널 공통 상태 I16/16과 내부 상태 ρ의 곱 구조를 이어받는다. 0.7은 이 구조에서 내부 부하를 계산하며 채널별 입자 배치나 필터 선택을 새로 확정하지 않는다.</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
            <m:e>
              <m:r>
                <m:t>K</m:t>
              </m:r>
            </m:e>
            <m:sub>
              <m:r>
                <m:t>b</m:t>
              </m:r>
            </m:sub>
          </m:sSub>
          <m:r>
            <m:rPr>
              <m:sty m:val="p"/>
            </m:rPr>
            <m:t>=</m:t>
          </m:r>
          <m:f>
            <m:fPr>
              <m:type m:val="bar"/>
            </m:fPr>
            <m:num>
              <m:sSub>
                <m:e>
                  <m:r>
                    <m:t>K</m:t>
                  </m:r>
                </m:e>
                <m:sub>
                  <m:r>
                    <m:t>c</m:t>
                  </m:r>
                </m:sub>
              </m:sSub>
              <m:r>
                <m:rPr>
                  <m:sty m:val="p"/>
                </m:rPr>
                <m:t>+</m:t>
              </m:r>
              <m:r>
                <m:t>ϵ</m:t>
              </m:r>
              <m:d>
                <m:dPr>
                  <m:begChr m:val="|"/>
                  <m:endChr m:val="|"/>
                  <m:sepChr m:val=""/>
                  <m:grow/>
                </m:dPr>
                <m:e>
                  <m:r>
                    <m:t>0</m:t>
                  </m:r>
                  <m:r>
                    <m:rPr>
                      <m:sty m:val="p"/>
                    </m:rPr>
                    <m:t>⟩</m:t>
                  </m:r>
                  <m:r>
                    <m:rPr>
                      <m:sty m:val="p"/>
                    </m:rPr>
                    <m:t>⟨</m:t>
                  </m:r>
                  <m:r>
                    <m:t>0</m:t>
                  </m:r>
                </m:e>
              </m:d>
            </m:num>
            <m:den>
              <m:r>
                <m:t>1</m:t>
              </m:r>
              <m:r>
                <m:rPr>
                  <m:sty m:val="p"/>
                </m:rPr>
                <m:t>+</m:t>
              </m:r>
              <m:r>
                <m:t>ϵ</m:t>
              </m:r>
              <m:r>
                <m:rPr>
                  <m:sty m:val="p"/>
                </m:rPr>
                <m:t>/</m:t>
              </m:r>
              <m:d>
                <m:dPr>
                  <m:begChr m:val="("/>
                  <m:endChr m:val=")"/>
                  <m:sepChr m:val=""/>
                  <m:grow/>
                </m:dPr>
                <m:e>
                  <m:r>
                    <m:t>2</m:t>
                  </m:r>
                  <m:r>
                    <m:t>N</m:t>
                  </m:r>
                </m:e>
              </m:d>
            </m:den>
          </m:f>
          <m:r>
            <m:rPr>
              <m:sty m:val="p"/>
            </m:rPr>
            <m:t>.</m:t>
          </m:r>
          <m:r>
            <m:rPr>
              <m:sty m:val="p"/>
            </m:rPr>
            <m:t xml:space="preserve">   (2)</m:t>
          </m:r>
        </m:oMath>
      </m:oMathPara>
    </w:p>
    <w:p>
      <w:pPr>
        <w:pStyle w:val="FirstParagraph"/>
        <w:keepNext/>
        <w:ind w:firstLine="0"/>
        <w:jc w:val="left"/>
      </w:pPr>
      <w:r>
        <w:t xml:space="preserve">균등 상태에서는 Jc=Tr(ρKc)=2이고 Jb=Tr(ρKb)=2다. ε=0은 기준 운반자, ε=8은 0.6에서 사용한 비가환 시험 입력이다. 이는 실제 우주의 ε를 측정한 값이 아니다. 부문별 가중 연산자를 다음처럼 둔다. 배경 비율 fb는 1−fφ−fc로 계산하며 세 비율을 서로 독립적으로 다시 입력하지 않는다.</w:t>
      </w:r>
    </w:p>
    <w:p>
      <w:pPr>
        <w:pStyle w:val="BodyText"/>
        <w:keepLines/>
        <w:spacing w:before="80" w:after="180"/>
        <w:ind w:firstLine="0"/>
        <w:jc w:val="left"/>
      </w:pPr>
      <m:oMathPara>
        <m:oMathParaPr>
          <m:jc m:val="center"/>
        </m:oMathParaPr>
        <m:oMath>
          <m:sSub>
            <m:e>
              <m:r>
                <m:t>A</m:t>
              </m:r>
            </m:e>
            <m:sub>
              <m:r>
                <m:t>ϕ</m:t>
              </m:r>
            </m:sub>
          </m:sSub>
          <m:r>
            <m:rPr>
              <m:sty m:val="p"/>
            </m:rPr>
            <m:t>=</m:t>
          </m:r>
          <m:sSub>
            <m:e>
              <m:r>
                <m:t>f</m:t>
              </m:r>
            </m:e>
            <m:sub>
              <m:r>
                <m:t>ϕ</m:t>
              </m:r>
            </m:sub>
          </m:sSub>
          <m:r>
            <m:t>I</m:t>
          </m:r>
          <m:r>
            <m:rPr>
              <m:sty m:val="p"/>
            </m:rPr>
            <m:t>,</m:t>
          </m:r>
          <m:r>
            <m:t> </m:t>
          </m:r>
          <m:sSub>
            <m:e>
              <m:r>
                <m:t>A</m:t>
              </m:r>
            </m:e>
            <m:sub>
              <m:r>
                <m:t>c</m:t>
              </m:r>
            </m:sub>
          </m:sSub>
          <m:r>
            <m:rPr>
              <m:sty m:val="p"/>
            </m:rPr>
            <m:t>=</m:t>
          </m:r>
          <m:f>
            <m:fPr>
              <m:type m:val="bar"/>
            </m:fPr>
            <m:num>
              <m:sSub>
                <m:e>
                  <m:r>
                    <m:t>f</m:t>
                  </m:r>
                </m:e>
                <m:sub>
                  <m:r>
                    <m:t>c</m:t>
                  </m:r>
                </m:sub>
              </m:sSub>
            </m:num>
            <m:den>
              <m:r>
                <m:t>2</m:t>
              </m:r>
            </m:den>
          </m:f>
          <m:sSup>
            <m:e>
              <m:r>
                <m:t>a</m:t>
              </m:r>
            </m:e>
            <m:sup>
              <m:sSub>
                <m:e>
                  <m:r>
                    <m:t>n</m:t>
                  </m:r>
                </m:e>
                <m:sub>
                  <m:r>
                    <m:t>c</m:t>
                  </m:r>
                </m:sub>
              </m:sSub>
            </m:sup>
          </m:sSup>
          <m:sSub>
            <m:e>
              <m:r>
                <m:t>K</m:t>
              </m:r>
            </m:e>
            <m:sub>
              <m:r>
                <m:t>c</m:t>
              </m:r>
            </m:sub>
          </m:sSub>
          <m:r>
            <m:rPr>
              <m:sty m:val="p"/>
            </m:rPr>
            <m:t>,</m:t>
          </m:r>
          <m:r>
            <m:t> </m:t>
          </m:r>
          <m:sSub>
            <m:e>
              <m:r>
                <m:t>A</m:t>
              </m:r>
            </m:e>
            <m:sub>
              <m:r>
                <m:t>b</m:t>
              </m:r>
            </m:sub>
          </m:sSub>
          <m:r>
            <m:rPr>
              <m:sty m:val="p"/>
            </m:rPr>
            <m:t>=</m:t>
          </m:r>
          <m:f>
            <m:fPr>
              <m:type m:val="bar"/>
            </m:fPr>
            <m:num>
              <m:sSub>
                <m:e>
                  <m:r>
                    <m:t>f</m:t>
                  </m:r>
                </m:e>
                <m:sub>
                  <m:r>
                    <m:t>b</m:t>
                  </m:r>
                </m:sub>
              </m:sSub>
            </m:num>
            <m:den>
              <m:r>
                <m:t>2</m:t>
              </m:r>
            </m:den>
          </m:f>
          <m:sSup>
            <m:e>
              <m:r>
                <m:t>a</m:t>
              </m:r>
            </m:e>
            <m:sup>
              <m:sSub>
                <m:e>
                  <m:r>
                    <m:t>n</m:t>
                  </m:r>
                </m:e>
                <m:sub>
                  <m:r>
                    <m:t>b</m:t>
                  </m:r>
                </m:sub>
              </m:sSub>
            </m:sup>
          </m:sSup>
          <m:sSub>
            <m:e>
              <m:r>
                <m:t>K</m:t>
              </m:r>
            </m:e>
            <m:sub>
              <m:r>
                <m:t>b</m:t>
              </m:r>
            </m:sub>
          </m:sSub>
          <m:r>
            <m:rPr>
              <m:sty m:val="p"/>
            </m:rPr>
            <m:t>.</m:t>
          </m:r>
          <m:r>
            <m:rPr>
              <m:sty m:val="p"/>
            </m:rPr>
            <m:t xml:space="preserve">   (3)</m:t>
          </m:r>
        </m:oMath>
      </m:oMathPara>
    </w:p>
    <w:p>
      <w:pPr>
        <w:pStyle w:val="FirstParagraph"/>
        <w:ind w:firstLine="0"/>
        <w:jc w:val="left"/>
      </w:pPr>
      <w:r>
        <w:t xml:space="preserve">fφ=0.0493, fc=0.265, fb=0.6857, nc=0, nb=3을 기준으로 채택한다. Aφ=fφI는 0.6의 압력 없는 표현형 공변 에너지를 유지하는 구성이다. 이 항 자체가 미시적 관측 사건을 생성하지는 않는다. 세 부문은 가중 부하의 장부 항목이며 직교하는 측정 결과 투영자라고 해석하지 않는다.</w:t>
      </w:r>
    </w:p>
    <w:bookmarkEnd w:id="22"/>
    <w:bookmarkStart w:id="23" w:name="약-5퍼센트를-계산하는-측도"/>
    <w:p>
      <w:pPr>
        <w:pStyle w:val="Heading2"/>
        <w:ind w:firstLine="0"/>
        <w:jc w:val="left"/>
      </w:pPr>
      <w:r>
        <w:rPr>
          <w:color w:val="000000"/>
        </w:rPr>
        <w:t xml:space="preserve">약 5퍼센트를 계산하는 측도</w:t>
      </w:r>
    </w:p>
    <w:p>
      <w:pPr>
        <w:pStyle w:val="FirstParagraph"/>
        <w:keepNext/>
        <w:ind w:firstLine="0"/>
        <w:jc w:val="left"/>
      </w:pPr>
      <w:r>
        <w:t xml:space="preserve">가중 정보부하 측도는 부문 집합 S에 대해 상태와 양의 연산자의 trace를 합산하여 정의한다. 허용된 상태와 연산자에서는 각 가중치가 음수가 아니며, 서로 겹치지 않는 부문 라벨 집합의 합에 대해 가법성이 성립한다.</w:t>
      </w:r>
    </w:p>
    <w:p>
      <w:pPr>
        <w:pStyle w:val="BodyText"/>
        <w:keepLines/>
        <w:spacing w:before="80" w:after="180"/>
        <w:ind w:firstLine="0"/>
        <w:jc w:val="left"/>
      </w:pPr>
      <m:oMathPara>
        <m:oMathParaPr>
          <m:jc m:val="center"/>
        </m:oMathParaPr>
        <m:oMath>
          <m:sSub>
            <m:e>
              <m:r>
                <m:t>μ</m:t>
              </m:r>
            </m:e>
            <m:sub>
              <m:r>
                <m:t>a</m:t>
              </m:r>
            </m:sub>
          </m:sSub>
          <m:d>
            <m:dPr>
              <m:begChr m:val="("/>
              <m:endChr m:val=")"/>
              <m:sepChr m:val=""/>
              <m:grow/>
            </m:dPr>
            <m:e>
              <m:r>
                <m:t>S</m:t>
              </m:r>
            </m:e>
          </m:d>
          <m:r>
            <m:rPr>
              <m:sty m:val="p"/>
            </m:rPr>
            <m:t>=</m:t>
          </m:r>
          <m:nary>
            <m:naryPr>
              <m:chr m:val="∑"/>
              <m:limLoc m:val="undOvr"/>
              <m:subHide m:val="off"/>
              <m:supHide m:val="on"/>
            </m:naryPr>
            <m:sub>
              <m:r>
                <m:t>s</m:t>
              </m:r>
              <m:r>
                <m:rPr>
                  <m:sty m:val="p"/>
                </m:rPr>
                <m:t>∈</m:t>
              </m:r>
              <m:r>
                <m:t>S</m:t>
              </m:r>
            </m:sub>
            <m:sup>
              <m:r>
                <m:t>​</m:t>
              </m:r>
            </m:sup>
            <m:e>
              <m:r>
                <m:rPr>
                  <m:sty m:val="p"/>
                </m:rPr>
                <m:t>T</m:t>
              </m:r>
              <m:r>
                <m:rPr>
                  <m:sty m:val="p"/>
                </m:rPr>
                <m:t>r</m:t>
              </m:r>
            </m:e>
          </m:nary>
          <m:d>
            <m:dPr>
              <m:begChr m:val="("/>
              <m:endChr m:val=")"/>
              <m:sepChr m:val=""/>
              <m:grow/>
            </m:dPr>
            <m:e>
              <m:r>
                <m:t>ρ</m:t>
              </m:r>
              <m:sSub>
                <m:e>
                  <m:r>
                    <m:t>A</m:t>
                  </m:r>
                </m:e>
                <m:sub>
                  <m:r>
                    <m:t>s</m:t>
                  </m:r>
                </m:sub>
              </m:sSub>
            </m:e>
          </m:d>
          <m:r>
            <m:rPr>
              <m:sty m:val="p"/>
            </m:rPr>
            <m:t>,</m:t>
          </m:r>
          <m:r>
            <m:t>  </m:t>
          </m:r>
          <m:r>
            <m:t>W</m:t>
          </m:r>
          <m:r>
            <m:rPr>
              <m:sty m:val="p"/>
            </m:rPr>
            <m:t>=</m:t>
          </m:r>
          <m:sSub>
            <m:e>
              <m:r>
                <m:t>μ</m:t>
              </m:r>
            </m:e>
            <m:sub>
              <m:r>
                <m:t>a</m:t>
              </m:r>
            </m:sub>
          </m:sSub>
          <m:d>
            <m:dPr>
              <m:begChr m:val="("/>
              <m:endChr m:val=")"/>
              <m:sepChr m:val=""/>
              <m:grow/>
            </m:dPr>
            <m:e>
              <m:r>
                <m:rPr>
                  <m:sty m:val="p"/>
                </m:rPr>
                <m:t>{</m:t>
              </m:r>
              <m:r>
                <m:t>ϕ</m:t>
              </m:r>
              <m:r>
                <m:rPr>
                  <m:sty m:val="p"/>
                </m:rPr>
                <m:t>,</m:t>
              </m:r>
              <m:r>
                <m:t>c</m:t>
              </m:r>
              <m:r>
                <m:rPr>
                  <m:sty m:val="p"/>
                </m:rPr>
                <m:t>,</m:t>
              </m:r>
              <m:r>
                <m:t>b</m:t>
              </m:r>
              <m:r>
                <m:rPr>
                  <m:sty m:val="p"/>
                </m:rPr>
                <m:t>}</m:t>
              </m:r>
            </m:e>
          </m:d>
          <m:r>
            <m:rPr>
              <m:sty m:val="p"/>
            </m:rPr>
            <m:t>.</m:t>
          </m:r>
          <m:r>
            <m:rPr>
              <m:sty m:val="p"/>
            </m:rPr>
            <m:t xml:space="preserve">   (4)</m:t>
          </m:r>
        </m:oMath>
      </m:oMathPara>
    </w:p>
    <w:p>
      <w:pPr>
        <w:pStyle w:val="FirstParagraph"/>
        <w:keepNext/>
        <w:ind w:firstLine="0"/>
        <w:jc w:val="left"/>
      </w:pPr>
      <w:r>
        <w:t xml:space="preserve">여기서 정보의 무게는 에너지 응답을 만드는 상태별 기대 부하다. Shannon 정보량, von Neumann 엔트로피, 정보 비트 수 또는 채널 수와 동일한 측도가 아니다. 상태의 trace가 모두 1이어도 부하가 다를 수 있다. 상태 엔트로피는 별도의 진단값으로 결과 장부에 함께 기록한다.</w:t>
      </w:r>
    </w:p>
    <w:p>
      <w:pPr>
        <w:pStyle w:val="BodyText"/>
        <w:keepLines/>
        <w:spacing w:before="80" w:after="180"/>
        <w:ind w:firstLine="0"/>
        <w:jc w:val="left"/>
      </w:pPr>
      <m:oMathPara>
        <m:oMathParaPr>
          <m:jc m:val="center"/>
        </m:oMathParaPr>
        <m:oMath>
          <m:sSub>
            <m:e>
              <m:r>
                <m:t>F</m:t>
              </m:r>
            </m:e>
            <m:sub>
              <m:r>
                <m:t>ϕ</m:t>
              </m:r>
            </m:sub>
          </m:sSub>
          <m:r>
            <m:rPr>
              <m:sty m:val="p"/>
            </m:rPr>
            <m:t>=</m:t>
          </m:r>
          <m:f>
            <m:fPr>
              <m:type m:val="bar"/>
            </m:fPr>
            <m:num>
              <m:r>
                <m:rPr>
                  <m:sty m:val="p"/>
                </m:rPr>
                <m:t>T</m:t>
              </m:r>
              <m:r>
                <m:rPr>
                  <m:sty m:val="p"/>
                </m:rPr>
                <m:t>r</m:t>
              </m:r>
              <m:d>
                <m:dPr>
                  <m:begChr m:val="("/>
                  <m:endChr m:val=")"/>
                  <m:sepChr m:val=""/>
                  <m:grow/>
                </m:dPr>
                <m:e>
                  <m:r>
                    <m:t>ρ</m:t>
                  </m:r>
                  <m:sSub>
                    <m:e>
                      <m:r>
                        <m:t>A</m:t>
                      </m:r>
                    </m:e>
                    <m:sub>
                      <m:r>
                        <m:t>ϕ</m:t>
                      </m:r>
                    </m:sub>
                  </m:sSub>
                </m:e>
              </m:d>
            </m:num>
            <m:den>
              <m:r>
                <m:t>W</m:t>
              </m:r>
            </m:den>
          </m:f>
          <m:r>
            <m:rPr>
              <m:sty m:val="p"/>
            </m:rPr>
            <m:t>,</m:t>
          </m:r>
          <m:r>
            <m:t> </m:t>
          </m:r>
          <m:sSub>
            <m:e>
              <m:r>
                <m:t>F</m:t>
              </m:r>
            </m:e>
            <m:sub>
              <m:r>
                <m:t>h</m:t>
              </m:r>
            </m:sub>
          </m:sSub>
          <m:r>
            <m:rPr>
              <m:sty m:val="p"/>
            </m:rPr>
            <m:t>=</m:t>
          </m:r>
          <m:f>
            <m:fPr>
              <m:type m:val="bar"/>
            </m:fPr>
            <m:num>
              <m:r>
                <m:rPr>
                  <m:sty m:val="p"/>
                </m:rPr>
                <m:t>T</m:t>
              </m:r>
              <m:r>
                <m:rPr>
                  <m:sty m:val="p"/>
                </m:rPr>
                <m:t>r</m:t>
              </m:r>
              <m:d>
                <m:dPr>
                  <m:begChr m:val="("/>
                  <m:endChr m:val=")"/>
                  <m:sepChr m:val=""/>
                  <m:grow/>
                </m:dPr>
                <m:e>
                  <m:r>
                    <m:t>ρ</m:t>
                  </m:r>
                  <m:d>
                    <m:dPr>
                      <m:begChr m:val="("/>
                      <m:endChr m:val=")"/>
                      <m:sepChr m:val=""/>
                      <m:grow/>
                    </m:dPr>
                    <m:e>
                      <m:sSub>
                        <m:e>
                          <m:r>
                            <m:t>A</m:t>
                          </m:r>
                        </m:e>
                        <m:sub>
                          <m:r>
                            <m:t>c</m:t>
                          </m:r>
                        </m:sub>
                      </m:sSub>
                      <m:r>
                        <m:rPr>
                          <m:sty m:val="p"/>
                        </m:rPr>
                        <m:t>+</m:t>
                      </m:r>
                      <m:sSub>
                        <m:e>
                          <m:r>
                            <m:t>A</m:t>
                          </m:r>
                        </m:e>
                        <m:sub>
                          <m:r>
                            <m:t>b</m:t>
                          </m:r>
                        </m:sub>
                      </m:sSub>
                    </m:e>
                  </m:d>
                </m:e>
              </m:d>
            </m:num>
            <m:den>
              <m:r>
                <m:t>W</m:t>
              </m:r>
            </m:den>
          </m:f>
          <m:r>
            <m:rPr>
              <m:sty m:val="p"/>
            </m:rPr>
            <m:t>,</m:t>
          </m:r>
          <m:r>
            <m:t> </m:t>
          </m:r>
          <m:sSub>
            <m:e>
              <m:r>
                <m:t>F</m:t>
              </m:r>
            </m:e>
            <m:sub>
              <m:r>
                <m:t>ϕ</m:t>
              </m:r>
            </m:sub>
          </m:sSub>
          <m:r>
            <m:rPr>
              <m:sty m:val="p"/>
            </m:rPr>
            <m:t>+</m:t>
          </m:r>
          <m:sSub>
            <m:e>
              <m:r>
                <m:t>F</m:t>
              </m:r>
            </m:e>
            <m:sub>
              <m:r>
                <m:t>h</m:t>
              </m:r>
            </m:sub>
          </m:sSub>
          <m:r>
            <m:rPr>
              <m:sty m:val="p"/>
            </m:rPr>
            <m:t>=</m:t>
          </m:r>
          <m:r>
            <m:t>1</m:t>
          </m:r>
          <m:r>
            <m:rPr>
              <m:sty m:val="p"/>
            </m:rPr>
            <m:t>.</m:t>
          </m:r>
          <m:r>
            <m:rPr>
              <m:sty m:val="p"/>
            </m:rPr>
            <m:t xml:space="preserve">   (5)</m:t>
          </m:r>
        </m:oMath>
      </m:oMathPara>
    </w:p>
    <w:p>
      <w:pPr>
        <w:pStyle w:val="FirstParagraph"/>
        <w:keepNext/>
        <w:ind w:firstLine="0"/>
        <w:jc w:val="left"/>
      </w:pPr>
      <w:r>
        <w:t xml:space="preserve">Fφ와 Fh는 현재 상태의 전체 가중 부하에서 각 부문이 차지하는 몫이다. 개별 측정의 0 또는 1 발생확률이 아니다. W=0이면 정규화된 몫을 정의할 수 없으므로 JSON null을 기록한다. trace가 1인 상태라도 가중 연산자의 영 공간에 놓이면 이 경우가 생길 수 있다.</w:t>
      </w:r>
    </w:p>
    <w:p>
      <w:pPr>
        <w:pStyle w:val="BodyText"/>
        <w:keepLines/>
        <w:spacing w:before="80" w:after="180"/>
        <w:ind w:firstLine="0"/>
        <w:jc w:val="left"/>
      </w:pPr>
      <m:oMathPara>
        <m:oMathParaPr>
          <m:jc m:val="center"/>
        </m:oMathParaPr>
        <m:oMath>
          <m:r>
            <m:t>a</m:t>
          </m:r>
          <m:r>
            <m:rPr>
              <m:sty m:val="p"/>
            </m:rPr>
            <m:t>=</m:t>
          </m:r>
          <m:r>
            <m:t>1</m:t>
          </m:r>
          <m:r>
            <m:rPr>
              <m:sty m:val="p"/>
            </m:rPr>
            <m:t>,</m:t>
          </m:r>
          <m:r>
            <m:t> </m:t>
          </m:r>
          <m:r>
            <m:t>ρ</m:t>
          </m:r>
          <m:r>
            <m:rPr>
              <m:sty m:val="p"/>
            </m:rPr>
            <m:t>=</m:t>
          </m:r>
          <m:r>
            <m:t>I</m:t>
          </m:r>
          <m:r>
            <m:rPr>
              <m:sty m:val="p"/>
            </m:rPr>
            <m:t>/</m:t>
          </m:r>
          <m:r>
            <m:t>N</m:t>
          </m:r>
          <m:r>
            <m:rPr>
              <m:sty m:val="p"/>
            </m:rPr>
            <m:t>:</m:t>
          </m:r>
          <m:r>
            <m:t> </m:t>
          </m:r>
          <m:d>
            <m:dPr>
              <m:begChr m:val="("/>
              <m:endChr m:val=")"/>
              <m:sepChr m:val=""/>
              <m:grow/>
            </m:dPr>
            <m:e>
              <m:sSub>
                <m:e>
                  <m:r>
                    <m:t>F</m:t>
                  </m:r>
                </m:e>
                <m:sub>
                  <m:r>
                    <m:t>ϕ</m:t>
                  </m:r>
                </m:sub>
              </m:sSub>
              <m:r>
                <m:rPr>
                  <m:sty m:val="p"/>
                </m:rPr>
                <m:t>,</m:t>
              </m:r>
              <m:sSub>
                <m:e>
                  <m:r>
                    <m:t>F</m:t>
                  </m:r>
                </m:e>
                <m:sub>
                  <m:r>
                    <m:t>c</m:t>
                  </m:r>
                </m:sub>
              </m:sSub>
              <m:r>
                <m:rPr>
                  <m:sty m:val="p"/>
                </m:rPr>
                <m:t>,</m:t>
              </m:r>
              <m:sSub>
                <m:e>
                  <m:r>
                    <m:t>F</m:t>
                  </m:r>
                </m:e>
                <m:sub>
                  <m:r>
                    <m:t>b</m:t>
                  </m:r>
                </m:sub>
              </m:sSub>
            </m:e>
          </m:d>
          <m:r>
            <m:rPr>
              <m:sty m:val="p"/>
            </m:rPr>
            <m:t>=</m:t>
          </m:r>
          <m:d>
            <m:dPr>
              <m:begChr m:val="("/>
              <m:endChr m:val=")"/>
              <m:sepChr m:val=""/>
              <m:grow/>
            </m:dPr>
            <m:e>
              <m:r>
                <m:t>0.0493</m:t>
              </m:r>
              <m:r>
                <m:rPr>
                  <m:sty m:val="p"/>
                </m:rPr>
                <m:t>,</m:t>
              </m:r>
              <m:r>
                <m:t>0.265</m:t>
              </m:r>
              <m:r>
                <m:rPr>
                  <m:sty m:val="p"/>
                </m:rPr>
                <m:t>,</m:t>
              </m:r>
              <m:r>
                <m:t>0.6857</m:t>
              </m:r>
            </m:e>
          </m:d>
          <m:r>
            <m:rPr>
              <m:sty m:val="p"/>
            </m:rPr>
            <m:t>.</m:t>
          </m:r>
          <m:r>
            <m:rPr>
              <m:sty m:val="p"/>
            </m:rPr>
            <m:t xml:space="preserve">   (6)</m:t>
          </m:r>
        </m:oMath>
      </m:oMathPara>
    </w:p>
    <w:p>
      <w:pPr>
        <w:pStyle w:val="FirstParagraph"/>
        <w:ind w:firstLine="0"/>
        <w:jc w:val="left"/>
      </w:pPr>
      <w:r>
        <w:t xml:space="preserve">후기 우주의 약 5%를 표현형 부하에 대응시키는 것은 공개한 WRRA 구성 선택이다. 기존의 에너지 가중 보정과 정보부하 측도를 같은 장부에 대응시켜 현재 기준에서 4.93%를 재현한다. 이 대응을 정보 비트 수의 직접 측정 결과로 바꾸어 부르지 않는다. 상수·관측값의 반영을 통해 우리 우주 가지를 정하는 방법을 유지한다.</w:t>
      </w:r>
    </w:p>
    <w:bookmarkEnd w:id="23"/>
    <w:bookmarkStart w:id="24" w:name="상태와-공간-크기가-바뀔-때의-비율"/>
    <w:p>
      <w:pPr>
        <w:pStyle w:val="Heading2"/>
        <w:ind w:firstLine="0"/>
        <w:jc w:val="left"/>
      </w:pPr>
      <w:r>
        <w:rPr>
          <w:color w:val="000000"/>
        </w:rPr>
        <w:t xml:space="preserve">상태와 공간 크기가 바뀔 때의 비율</w:t>
      </w:r>
    </w:p>
    <w:p>
      <w:pPr>
        <w:pStyle w:val="FirstParagraph"/>
        <w:keepNext/>
        <w:ind w:firstLine="0"/>
        <w:jc w:val="left"/>
      </w:pPr>
      <w:r>
        <w:t xml:space="preserve">4.93%는 a=1인 균등 기준 상태의 보정 재현값이다. 같은 구성에서도 상태나 공간 크기가 달라지면 실제 비율을 다시 계산한다. 균등 상태에서 모이는 에너지 지수 0과 배경 지수 3을 유지하면 다음 식을 얻는다.</w:t>
      </w:r>
    </w:p>
    <w:p>
      <w:pPr>
        <w:pStyle w:val="BodyText"/>
        <w:keepLines/>
        <w:spacing w:before="80" w:after="180"/>
        <w:ind w:firstLine="0"/>
        <w:jc w:val="left"/>
      </w:pPr>
      <m:oMathPara>
        <m:oMathParaPr>
          <m:jc m:val="center"/>
        </m:oMathParaPr>
        <m:oMath>
          <m:r>
            <m:t>ρ</m:t>
          </m:r>
          <m:r>
            <m:rPr>
              <m:sty m:val="p"/>
            </m:rPr>
            <m:t>=</m:t>
          </m:r>
          <m:r>
            <m:t>I</m:t>
          </m:r>
          <m:r>
            <m:rPr>
              <m:sty m:val="p"/>
            </m:rPr>
            <m:t>/</m:t>
          </m:r>
          <m:r>
            <m:t>N</m:t>
          </m:r>
          <m:r>
            <m:rPr>
              <m:sty m:val="p"/>
            </m:rPr>
            <m:t>:</m:t>
          </m:r>
          <m:r>
            <m:t> </m:t>
          </m:r>
          <m:sSub>
            <m:e>
              <m:r>
                <m:t>F</m:t>
              </m:r>
            </m:e>
            <m:sub>
              <m:r>
                <m:t>ϕ</m:t>
              </m:r>
            </m:sub>
          </m:sSub>
          <m:d>
            <m:dPr>
              <m:begChr m:val="("/>
              <m:endChr m:val=")"/>
              <m:sepChr m:val=""/>
              <m:grow/>
            </m:dPr>
            <m:e>
              <m:r>
                <m:t>a</m:t>
              </m:r>
            </m:e>
          </m:d>
          <m:r>
            <m:rPr>
              <m:sty m:val="p"/>
            </m:rPr>
            <m:t>=</m:t>
          </m:r>
          <m:f>
            <m:fPr>
              <m:type m:val="bar"/>
            </m:fPr>
            <m:num>
              <m:sSub>
                <m:e>
                  <m:r>
                    <m:t>f</m:t>
                  </m:r>
                </m:e>
                <m:sub>
                  <m:r>
                    <m:t>ϕ</m:t>
                  </m:r>
                </m:sub>
              </m:sSub>
            </m:num>
            <m:den>
              <m:sSub>
                <m:e>
                  <m:r>
                    <m:t>f</m:t>
                  </m:r>
                </m:e>
                <m:sub>
                  <m:r>
                    <m:t>ϕ</m:t>
                  </m:r>
                </m:sub>
              </m:sSub>
              <m:r>
                <m:rPr>
                  <m:sty m:val="p"/>
                </m:rPr>
                <m:t>+</m:t>
              </m:r>
              <m:sSub>
                <m:e>
                  <m:r>
                    <m:t>f</m:t>
                  </m:r>
                </m:e>
                <m:sub>
                  <m:r>
                    <m:t>c</m:t>
                  </m:r>
                </m:sub>
              </m:sSub>
              <m:r>
                <m:rPr>
                  <m:sty m:val="p"/>
                </m:rPr>
                <m:t>+</m:t>
              </m:r>
              <m:sSub>
                <m:e>
                  <m:r>
                    <m:t>f</m:t>
                  </m:r>
                </m:e>
                <m:sub>
                  <m:r>
                    <m:t>b</m:t>
                  </m:r>
                </m:sub>
              </m:sSub>
              <m:sSup>
                <m:e>
                  <m:r>
                    <m:t>a</m:t>
                  </m:r>
                </m:e>
                <m:sup>
                  <m:r>
                    <m:t>3</m:t>
                  </m:r>
                </m:sup>
              </m:sSup>
            </m:den>
          </m:f>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rPr>
              <m:sty m:val="p"/>
            </m:rPr>
            <m:t xml:space="preserve">   (7)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296"/>
        <w:gridCol w:w="1296"/>
        <w:gridCol w:w="2088"/>
        <w:gridCol w:w="2002"/>
      </w:tblGrid>
      <w:tr>
        <w:trPr>
          <w:tblHeader w:val="true"/>
          <w:cantSplit/>
          <w:tblHeader/>
        </w:trPr>
        <w:tc>
          <w:tcPr>
            <w:tcW w:type="dxa" w:w="3312"/>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상태</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Jc</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Jb</w:t>
            </w:r>
          </w:p>
        </w:tc>
        <w:tc>
          <w:tcPr>
            <w:tcW w:type="dxa" w:w="208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표현형 %</w:t>
            </w:r>
          </w:p>
        </w:tc>
        <w:tc>
          <w:tcPr>
            <w:tcW w:type="dxa" w:w="200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비표현형 %</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0.5</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12.324615</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87.675385</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95.070000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2</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0.850015</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99.149985</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낮은 모드</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0.152241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0.152241</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40.520194</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59.479806</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높은 모드</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4.000000</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4.000000</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2.527298</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97.472702</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영 모드</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100.000000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중첩 상태</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13.623750</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86.376250</w:t>
            </w:r>
          </w:p>
        </w:tc>
      </w:tr>
      <w:tr>
        <w:trPr>
          <w:cantSplit/>
        </w:trPr>
        <w:tc>
          <w:tcPr>
            <w:tcW w:type="dxa" w:w="3312"/>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비가환</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2.000000</w:t>
            </w:r>
          </w:p>
        </w:tc>
        <w:tc>
          <w:tcPr>
            <w:tcW w:type="dxa" w:w="208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200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95.070000</w:t>
            </w:r>
          </w:p>
        </w:tc>
      </w:tr>
      <w:tr>
        <w:trPr>
          <w:cantSplit/>
        </w:trPr>
        <w:tc>
          <w:tcPr>
            <w:tcW w:type="dxa" w:w="3312"/>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중첩 비가환</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0.657554</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0.819446</w:t>
            </w:r>
          </w:p>
        </w:tc>
        <w:tc>
          <w:tcPr>
            <w:tcW w:type="dxa" w:w="208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11.811981</w:t>
            </w:r>
          </w:p>
        </w:tc>
        <w:tc>
          <w:tcPr>
            <w:tcW w:type="dxa" w:w="200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88.188019</w:t>
            </w:r>
          </w:p>
        </w:tc>
      </w:tr>
    </w:tbl>
    <w:p>
      <w:pPr>
        <w:pStyle w:val="BodyText"/>
        <w:ind w:firstLine="0"/>
        <w:jc w:val="left"/>
      </w:pPr>
      <w:r>
        <w:t xml:space="preserve">표의 낮은 모드·높은 모드·영 모드·중첩 상태는 계산 구조를 검사하는 시험 상태다. 해당 비율을 현재 우주의 새 관측값으로 제시하지 않는다. 같은 순수 상태 엔트로피 0인 낮은 모드와 높은 모드가 서로 다른 표현형 가중비를 주므로, 채택한 측도가 엔트로피나 상태의 수와 다른 것을 확인할 수 있다.</w:t>
      </w:r>
    </w:p>
    <w:p>
      <w:pPr>
        <w:pStyle w:val="BodyText"/>
        <w:ind w:firstLine="0"/>
        <w:jc w:val="left"/>
      </w:pPr>
      <w:r>
        <w:t xml:space="preserve">균등 기준의 a=0.5에서는 표현형 비율이 약 12.324615%, a=2에서는 약 0.850015%다. 이 값은 고정된 부피 의존성과 부문 배정에서 계산된 조건부 산출값이다. 미래 우주의 관측 예측으로 사용하는 경우에는 모형과 보정 규칙을 확정한 뒤 그 조건을 함께 제시한다.</w:t>
      </w:r>
    </w:p>
    <w:bookmarkEnd w:id="24"/>
    <w:bookmarkStart w:id="25" w:name="같은-에너지-장부에서-압력과-중력-및-팽창-계산"/>
    <w:p>
      <w:pPr>
        <w:pStyle w:val="Heading2"/>
        <w:ind w:firstLine="0"/>
        <w:jc w:val="left"/>
      </w:pPr>
      <w:r>
        <w:rPr>
          <w:color w:val="000000"/>
        </w:rPr>
        <w:t xml:space="preserve">같은 에너지 장부에서 압력과 중력 및 팽창 계산</w:t>
      </w:r>
    </w:p>
    <w:p>
      <w:pPr>
        <w:pStyle w:val="FirstParagraph"/>
        <w:keepNext/>
        <w:ind w:firstLine="0"/>
        <w:jc w:val="left"/>
      </w:pPr>
      <w:r>
        <w:t xml:space="preserve">V0는 대표 공변 부피이며 기본값 1 m³는 회계 단위다. 실제 우주의 크기로 해석하지 않는다. 기준 에너지 밀도는 ucrit,0=3H0²c²/(8πG)다. 가중 부하를 물리 에너지로 대응시키면 0.6의 세 부문 에너지와 정확히 같은 값을 얻는다. 표현형의 지수는 nφ=0이다.</w:t>
      </w:r>
    </w:p>
    <w:p>
      <w:pPr>
        <w:pStyle w:val="BodyText"/>
        <w:keepLines/>
        <w:spacing w:before="80" w:after="180"/>
        <w:ind w:firstLine="0"/>
        <w:jc w:val="left"/>
      </w:pPr>
      <m:oMathPara>
        <m:oMathParaPr>
          <m:jc m:val="center"/>
        </m:oMathParaPr>
        <m:oMath>
          <m:sSub>
            <m:e>
              <m:r>
                <m:t>E</m:t>
              </m:r>
            </m:e>
            <m:sub>
              <m:r>
                <m:t>s</m:t>
              </m:r>
            </m:sub>
          </m:sSub>
          <m:r>
            <m:rPr>
              <m:sty m:val="p"/>
            </m:rPr>
            <m:t>=</m:t>
          </m:r>
          <m:sSub>
            <m:e>
              <m:r>
                <m:t>u</m:t>
              </m:r>
            </m:e>
            <m:sub>
              <m:r>
                <m:rPr>
                  <m:sty m:val="p"/>
                </m:rPr>
                <m:t>c</m:t>
              </m:r>
              <m:r>
                <m:rPr>
                  <m:sty m:val="p"/>
                </m:rPr>
                <m:t>r</m:t>
              </m:r>
              <m:r>
                <m:rPr>
                  <m:sty m:val="p"/>
                </m:rPr>
                <m:t>i</m:t>
              </m:r>
              <m:r>
                <m:rPr>
                  <m:sty m:val="p"/>
                </m:rPr>
                <m:t>t</m:t>
              </m:r>
              <m:r>
                <m:rPr>
                  <m:sty m:val="p"/>
                </m:rPr>
                <m:t>,</m:t>
              </m:r>
              <m:r>
                <m:t>0</m:t>
              </m:r>
            </m:sub>
          </m:sSub>
          <m:sSub>
            <m:e>
              <m:r>
                <m:t>V</m:t>
              </m:r>
            </m:e>
            <m:sub>
              <m:r>
                <m:t>0</m:t>
              </m:r>
            </m:sub>
          </m:sSub>
          <m:r>
            <m:rPr>
              <m:sty m:val="p"/>
            </m:rPr>
            <m:t>T</m:t>
          </m:r>
          <m:r>
            <m:rPr>
              <m:sty m:val="p"/>
            </m:rPr>
            <m:t>r</m:t>
          </m:r>
          <m:d>
            <m:dPr>
              <m:begChr m:val="("/>
              <m:endChr m:val=")"/>
              <m:sepChr m:val=""/>
              <m:grow/>
            </m:dPr>
            <m:e>
              <m:r>
                <m:t>ρ</m:t>
              </m:r>
              <m:sSub>
                <m:e>
                  <m:r>
                    <m:t>A</m:t>
                  </m:r>
                </m:e>
                <m:sub>
                  <m:r>
                    <m:t>s</m:t>
                  </m:r>
                </m:sub>
              </m:sSub>
            </m:e>
          </m:d>
          <m:r>
            <m:rPr>
              <m:sty m:val="p"/>
            </m:rPr>
            <m:t>,</m:t>
          </m:r>
          <m:r>
            <m:t> </m:t>
          </m:r>
          <m:sSub>
            <m:e>
              <m:r>
                <m:t>u</m:t>
              </m:r>
            </m:e>
            <m:sub>
              <m:r>
                <m:t>s</m:t>
              </m:r>
            </m:sub>
          </m:sSub>
          <m:r>
            <m:rPr>
              <m:sty m:val="p"/>
            </m:rPr>
            <m:t>=</m:t>
          </m:r>
          <m:f>
            <m:fPr>
              <m:type m:val="bar"/>
            </m:fPr>
            <m:num>
              <m:sSub>
                <m:e>
                  <m:r>
                    <m:t>E</m:t>
                  </m:r>
                </m:e>
                <m:sub>
                  <m:r>
                    <m:t>s</m:t>
                  </m:r>
                </m:sub>
              </m:sSub>
            </m:num>
            <m:den>
              <m:sSub>
                <m:e>
                  <m:r>
                    <m:t>V</m:t>
                  </m:r>
                </m:e>
                <m:sub>
                  <m:r>
                    <m:t>0</m:t>
                  </m:r>
                </m:sub>
              </m:sSub>
              <m:sSup>
                <m:e>
                  <m:r>
                    <m:t>a</m:t>
                  </m:r>
                </m:e>
                <m:sup>
                  <m:r>
                    <m:t>3</m:t>
                  </m:r>
                </m:sup>
              </m:sSup>
            </m:den>
          </m:f>
          <m:r>
            <m:rPr>
              <m:sty m:val="p"/>
            </m:rPr>
            <m:t>,</m:t>
          </m:r>
          <m:r>
            <m:t> </m:t>
          </m:r>
          <m:sSub>
            <m:e>
              <m:r>
                <m:t>p</m:t>
              </m:r>
            </m:e>
            <m:sub>
              <m:r>
                <m:t>s</m:t>
              </m:r>
            </m:sub>
          </m:sSub>
          <m:r>
            <m:rPr>
              <m:sty m:val="p"/>
            </m:rPr>
            <m:t>=</m:t>
          </m:r>
          <m:r>
            <m:rPr>
              <m:sty m:val="p"/>
            </m:rPr>
            <m:t>−</m:t>
          </m:r>
          <m:f>
            <m:fPr>
              <m:type m:val="bar"/>
            </m:fPr>
            <m:num>
              <m:sSub>
                <m:e>
                  <m:r>
                    <m:t>n</m:t>
                  </m:r>
                </m:e>
                <m:sub>
                  <m:r>
                    <m:t>s</m:t>
                  </m:r>
                </m:sub>
              </m:sSub>
            </m:num>
            <m:den>
              <m:r>
                <m:t>3</m:t>
              </m:r>
            </m:den>
          </m:f>
          <m:sSub>
            <m:e>
              <m:r>
                <m:t>u</m:t>
              </m:r>
            </m:e>
            <m:sub>
              <m:r>
                <m:t>s</m:t>
              </m:r>
            </m:sub>
          </m:sSub>
          <m:r>
            <m:rPr>
              <m:sty m:val="p"/>
            </m:rPr>
            <m:t>.</m:t>
          </m:r>
          <m:r>
            <m:rPr>
              <m:sty m:val="p"/>
            </m:rPr>
            <m:t xml:space="preserve">   (8)</m:t>
          </m:r>
        </m:oMath>
      </m:oMathPara>
    </w:p>
    <w:p>
      <w:pPr>
        <w:pStyle w:val="FirstParagraph"/>
        <w:keepLines/>
        <w:spacing w:before="80" w:after="180"/>
        <w:ind w:firstLine="0"/>
        <w:jc w:val="left"/>
      </w:pPr>
      <m:oMathPara>
        <m:oMathParaPr>
          <m:jc m:val="center"/>
        </m:oMathParaPr>
        <m:oMath>
          <m:sSup>
            <m:e>
              <m:r>
                <m:t>H</m:t>
              </m:r>
            </m:e>
            <m:sup>
              <m:r>
                <m:t>2</m:t>
              </m:r>
            </m:sup>
          </m:sSup>
          <m:r>
            <m:rPr>
              <m:sty m:val="p"/>
            </m:rPr>
            <m:t>=</m:t>
          </m:r>
          <m:f>
            <m:fPr>
              <m:type m:val="bar"/>
            </m:fPr>
            <m:num>
              <m:r>
                <m:t>8</m:t>
              </m:r>
              <m:r>
                <m:t>π</m:t>
              </m:r>
              <m:r>
                <m:t>G</m:t>
              </m:r>
            </m:num>
            <m:den>
              <m:r>
                <m:t>3</m:t>
              </m:r>
              <m:sSup>
                <m:e>
                  <m:r>
                    <m:t>c</m:t>
                  </m:r>
                </m:e>
                <m:sup>
                  <m:r>
                    <m:t>2</m:t>
                  </m:r>
                </m:sup>
              </m:sSup>
            </m:den>
          </m:f>
          <m:sSub>
            <m:e>
              <m:r>
                <m:t>u</m:t>
              </m:r>
            </m:e>
            <m:sub>
              <m:r>
                <m:rPr>
                  <m:sty m:val="p"/>
                </m:rPr>
                <m:t>t</m:t>
              </m:r>
              <m:r>
                <m:rPr>
                  <m:sty m:val="p"/>
                </m:rPr>
                <m:t>o</m:t>
              </m:r>
              <m:r>
                <m:rPr>
                  <m:sty m:val="p"/>
                </m:rPr>
                <m:t>t</m:t>
              </m:r>
            </m:sub>
          </m:sSub>
          <m:r>
            <m:rPr>
              <m:sty m:val="p"/>
            </m:rPr>
            <m:t>,</m:t>
          </m:r>
          <m:r>
            <m:t>  </m:t>
          </m:r>
          <m:r>
            <m:t>q</m:t>
          </m:r>
          <m:r>
            <m:rPr>
              <m:sty m:val="p"/>
            </m:rPr>
            <m:t>=</m:t>
          </m:r>
          <m:f>
            <m:fPr>
              <m:type m:val="bar"/>
            </m:fPr>
            <m:num>
              <m:sSub>
                <m:e>
                  <m:r>
                    <m:t>u</m:t>
                  </m:r>
                </m:e>
                <m:sub>
                  <m:r>
                    <m:rPr>
                      <m:sty m:val="p"/>
                    </m:rPr>
                    <m:t>t</m:t>
                  </m:r>
                  <m:r>
                    <m:rPr>
                      <m:sty m:val="p"/>
                    </m:rPr>
                    <m:t>o</m:t>
                  </m:r>
                  <m:r>
                    <m:rPr>
                      <m:sty m:val="p"/>
                    </m:rPr>
                    <m:t>t</m:t>
                  </m:r>
                </m:sub>
              </m:sSub>
              <m:r>
                <m:rPr>
                  <m:sty m:val="p"/>
                </m:rPr>
                <m:t>+</m:t>
              </m:r>
              <m:r>
                <m:t>3</m:t>
              </m:r>
              <m:sSub>
                <m:e>
                  <m:r>
                    <m:t>p</m:t>
                  </m:r>
                </m:e>
                <m:sub>
                  <m:r>
                    <m:rPr>
                      <m:sty m:val="p"/>
                    </m:rPr>
                    <m:t>t</m:t>
                  </m:r>
                  <m:r>
                    <m:rPr>
                      <m:sty m:val="p"/>
                    </m:rPr>
                    <m:t>o</m:t>
                  </m:r>
                  <m:r>
                    <m:rPr>
                      <m:sty m:val="p"/>
                    </m:rPr>
                    <m:t>t</m:t>
                  </m:r>
                </m:sub>
              </m:sSub>
            </m:num>
            <m:den>
              <m:r>
                <m:t>2</m:t>
              </m:r>
              <m:sSub>
                <m:e>
                  <m:r>
                    <m:t>u</m:t>
                  </m:r>
                </m:e>
                <m:sub>
                  <m:r>
                    <m:rPr>
                      <m:sty m:val="p"/>
                    </m:rPr>
                    <m:t>t</m:t>
                  </m:r>
                  <m:r>
                    <m:rPr>
                      <m:sty m:val="p"/>
                    </m:rPr>
                    <m:t>o</m:t>
                  </m:r>
                  <m:r>
                    <m:rPr>
                      <m:sty m:val="p"/>
                    </m:rPr>
                    <m:t>t</m:t>
                  </m:r>
                </m:sub>
              </m:sSub>
            </m:den>
          </m:f>
          <m:r>
            <m:rPr>
              <m:sty m:val="p"/>
            </m:rPr>
            <m:t>.</m:t>
          </m:r>
          <m:r>
            <m:rPr>
              <m:sty m:val="p"/>
            </m:rPr>
            <m:t xml:space="preserve">   (9)</m:t>
          </m:r>
        </m:oMath>
      </m:oMathPara>
    </w:p>
    <w:p>
      <w:pPr>
        <w:pStyle w:val="FirstParagraph"/>
        <w:ind w:firstLine="0"/>
        <w:jc w:val="left"/>
      </w:pPr>
      <w:r>
        <w:t xml:space="preserve">현재 균등 기준에서 H/H0=1과 q=−0.52855를 재현한다. 같은 모이는 부하를 기존 국소 응답에 넣으면 시험 회전속도 207.510905 km/s와 조건부 렌즈 편향 0.535586511각초를 유지한다. 국소 시험원과 Φ=Ψ 조건을 유지한 재현이며, 실제 은하 관측자료를 새로 적합한 결과는 아니다.</w:t>
      </w:r>
    </w:p>
    <w:p>
      <w:pPr>
        <w:pStyle w:val="BodyText"/>
        <w:ind w:firstLine="0"/>
        <w:jc w:val="left"/>
      </w:pPr>
      <w:r>
        <w:t xml:space="preserve">뒤틀림 기록의 크기는 현재 부하와 공간 크기에서 계산하는 집계값으로 유지한다. 이 판에서도 별도의 시간 누적 법칙을 도입하지 않는다. 같은 부하에서 뒤틀림과 팽창이 계산된다는 연결과 뒤틀림이 팽창을 일으킨다는 인과 주장도 구분한다. 압력·팽창 방정식은 0.6에서 실행한 외부 수학을 사용하며, WRRA의 구성 성과는 상태 부하와 표현형 장부를 그 계산에 실제 연결한 데 있다.</w:t>
      </w:r>
    </w:p>
    <w:bookmarkEnd w:id="25"/>
    <w:bookmarkStart w:id="26" w:name="검증-결과와-실패-조건"/>
    <w:p>
      <w:pPr>
        <w:pStyle w:val="Heading2"/>
        <w:ind w:firstLine="0"/>
        <w:jc w:val="left"/>
      </w:pPr>
      <w:r>
        <w:rPr>
          <w:color w:val="000000"/>
        </w:rPr>
        <w:t xml:space="preserve">검증 결과와 실패 조건</w:t>
      </w:r>
    </w:p>
    <w:p>
      <w:pPr>
        <w:pStyle w:val="FirstParagraph"/>
        <w:keepNext/>
        <w:ind w:firstLine="0"/>
        <w:jc w:val="left"/>
      </w:pPr>
      <w:r>
        <w:t xml:space="preserve">19개 검증 묶음을 통과했다. 대표 장부 9개 외에 혼합 상태·격자·지수 변경의 24개 경우를 실행했다. 잘못된 보정값·상태와 실행되지 않은 기록을 입력하는 9개 경우는 차단했다. 유리수로 계산한 균등 기준 비율, 별도 부피 유한차분, 기저 동시 변환과 고정 크기의 unitary 상태 변화를 사용해 장부를 대조했다.</w:t>
      </w:r>
    </w:p>
    <w:p>
      <w:pPr>
        <w:pStyle w:val="BodyText"/>
        <w:keepLines/>
        <w:spacing w:before="80" w:after="180"/>
        <w:ind w:firstLine="0"/>
        <w:jc w:val="left"/>
      </w:pPr>
      <m:oMathPara>
        <m:oMathParaPr>
          <m:jc m:val="center"/>
        </m:oMathParaPr>
        <m:oMath>
          <m:r>
            <m:t>A</m:t>
          </m:r>
          <m:r>
            <m:rPr>
              <m:sty m:val="p"/>
            </m:rPr>
            <m:t>=</m:t>
          </m:r>
          <m:sSub>
            <m:e>
              <m:r>
                <m:t>A</m:t>
              </m:r>
            </m:e>
            <m:sub>
              <m:r>
                <m:t>ϕ</m:t>
              </m:r>
            </m:sub>
          </m:sSub>
          <m:r>
            <m:rPr>
              <m:sty m:val="p"/>
            </m:rPr>
            <m:t>+</m:t>
          </m:r>
          <m:sSub>
            <m:e>
              <m:r>
                <m:t>A</m:t>
              </m:r>
            </m:e>
            <m:sub>
              <m:r>
                <m:t>c</m:t>
              </m:r>
            </m:sub>
          </m:sSub>
          <m:r>
            <m:rPr>
              <m:sty m:val="p"/>
            </m:rPr>
            <m:t>+</m:t>
          </m:r>
          <m:sSub>
            <m:e>
              <m:r>
                <m:t>A</m:t>
              </m:r>
            </m:e>
            <m:sub>
              <m:r>
                <m:t>b</m:t>
              </m:r>
            </m:sub>
          </m:sSub>
          <m:r>
            <m:rPr>
              <m:sty m:val="p"/>
            </m:rPr>
            <m:t>,</m:t>
          </m:r>
          <m:r>
            <m:t> </m:t>
          </m:r>
          <m:sSup>
            <m:e>
              <m:r>
                <m:t>ρ</m:t>
              </m:r>
            </m:e>
            <m:sup>
              <m:r>
                <m:rPr>
                  <m:sty m:val="p"/>
                </m:rPr>
                <m:t>′</m:t>
              </m:r>
            </m:sup>
          </m:sSup>
          <m:r>
            <m:rPr>
              <m:sty m:val="p"/>
            </m:rPr>
            <m:t>=</m:t>
          </m:r>
          <m:r>
            <m:t>U</m:t>
          </m:r>
          <m:r>
            <m:t>ρ</m:t>
          </m:r>
          <m:sSup>
            <m:e>
              <m:r>
                <m:t>U</m:t>
              </m:r>
            </m:e>
            <m:sup>
              <m:r>
                <m:rPr>
                  <m:sty m:val="p"/>
                </m:rPr>
                <m:t>†</m:t>
              </m:r>
            </m:sup>
          </m:sSup>
          <m:r>
            <m:rPr>
              <m:sty m:val="p"/>
            </m:rPr>
            <m:t>,</m:t>
          </m:r>
          <m:r>
            <m:t> </m:t>
          </m:r>
          <m:r>
            <m:t>U</m:t>
          </m:r>
          <m:r>
            <m:rPr>
              <m:sty m:val="p"/>
            </m:rPr>
            <m:t>=</m:t>
          </m:r>
          <m:sSup>
            <m:e>
              <m:r>
                <m:t>e</m:t>
              </m:r>
            </m:e>
            <m:sup>
              <m:r>
                <m:rPr>
                  <m:sty m:val="p"/>
                </m:rPr>
                <m:t>−</m:t>
              </m:r>
              <m:r>
                <m:t>i</m:t>
              </m:r>
              <m:r>
                <m:t>τ</m:t>
              </m:r>
              <m:r>
                <m:t>A</m:t>
              </m:r>
            </m:sup>
          </m:sSup>
          <m:r>
            <m:rPr>
              <m:sty m:val="p"/>
            </m:rPr>
            <m:t>,</m:t>
          </m:r>
          <m:r>
            <m:t> </m:t>
          </m:r>
          <m:r>
            <m:rPr>
              <m:sty m:val="p"/>
            </m:rPr>
            <m:t>T</m:t>
          </m:r>
          <m:r>
            <m:rPr>
              <m:sty m:val="p"/>
            </m:rPr>
            <m:t>r</m:t>
          </m:r>
          <m:d>
            <m:dPr>
              <m:begChr m:val="("/>
              <m:endChr m:val=")"/>
              <m:sepChr m:val=""/>
              <m:grow/>
            </m:dPr>
            <m:e>
              <m:sSup>
                <m:e>
                  <m:r>
                    <m:t>ρ</m:t>
                  </m:r>
                </m:e>
                <m:sup>
                  <m:r>
                    <m:rPr>
                      <m:sty m:val="p"/>
                    </m:rPr>
                    <m:t>′</m:t>
                  </m:r>
                </m:sup>
              </m:sSup>
              <m:r>
                <m:t>A</m:t>
              </m:r>
            </m:e>
          </m:d>
          <m:r>
            <m:rPr>
              <m:sty m:val="p"/>
            </m:rPr>
            <m:t>=</m:t>
          </m:r>
          <m:r>
            <m:rPr>
              <m:sty m:val="p"/>
            </m:rPr>
            <m:t>T</m:t>
          </m:r>
          <m:r>
            <m:rPr>
              <m:sty m:val="p"/>
            </m:rPr>
            <m:t>r</m:t>
          </m:r>
          <m:d>
            <m:dPr>
              <m:begChr m:val="("/>
              <m:endChr m:val=")"/>
              <m:sepChr m:val=""/>
              <m:grow/>
            </m:dPr>
            <m:e>
              <m:r>
                <m:t>ρ</m:t>
              </m:r>
              <m:r>
                <m:t>A</m:t>
              </m:r>
            </m:e>
          </m:d>
          <m:r>
            <m:rPr>
              <m:sty m:val="p"/>
            </m:rPr>
            <m:t>.</m:t>
          </m:r>
          <m:r>
            <m:rPr>
              <m:sty m:val="p"/>
            </m:rPr>
            <m:t xml:space="preserve">   (10)</m:t>
          </m:r>
        </m:oMath>
      </m:oMathPara>
    </w:p>
    <w:p>
      <w:pPr>
        <w:pStyle w:val="FirstParagraph"/>
        <w:ind w:firstLine="0"/>
        <w:jc w:val="left"/>
      </w:pPr>
      <w:r>
        <w:t xml:space="preserve">식 10은 고정된 공간 크기의 에너지 보존 검사다. unitary 상태 변화에서 개별 부하 항목은 달라질 수 있지만 같은 총 연산자의 에너지는 보존된다. 실제 양자화 사건의 에너지 교환 검사를 통과했다는 뜻으로 확장하지 않는다.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424"/>
        <w:gridCol w:w="994"/>
      </w:tblGrid>
      <w:tr>
        <w:trPr>
          <w:tblHeader w:val="true"/>
          <w:cantSplit/>
          <w:tblHeader/>
        </w:trPr>
        <w:tc>
          <w:tcPr>
            <w:tcW w:type="dxa" w:w="5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번호</w:t>
            </w:r>
          </w:p>
        </w:tc>
        <w:tc>
          <w:tcPr>
            <w:tcW w:type="dxa" w:w="84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검사</w:t>
            </w:r>
          </w:p>
        </w:tc>
        <w:tc>
          <w:tcPr>
            <w:tcW w:type="dxa" w:w="9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결과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세 공간 크기의 정확 분수 대조</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양의 가중치와 합계</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0.6 에너지와 압력 대조</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기존 회전과 렌즈 재현</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별도 부피 미분과 압력</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상태와 연산자의 기저 변환</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상태 스펙트럼과 에너지 보존</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혼합 상태와 지수 변경</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공개 보정값 변경의 전달</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회계 부피 변경의 불변량</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정보 가중치와 엔트로피 구분</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영 부하의 비율 미정 처리</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배경 부하 0 경계</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잘못된 입력과 상태 차단</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기록의 중복 부하 방지</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공통 입력 장부 보존</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작은 양의 부하와 중력의 일치</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허용 trace 오차의 정규화</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반올림 범위를 넘는 음의 상태 차단</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bl>
    <w:p>
      <w:pPr>
        <w:pStyle w:val="BodyText"/>
        <w:ind w:firstLine="0"/>
        <w:jc w:val="left"/>
      </w:pPr>
      <w:r>
        <w:t xml:space="preserve">균등 기준 비율의 최대 절대 오차는 6.939e-18, 부문 가중치 합계의 최대 오차는 1.776e-15다. 별도 부피 미분과 압력의 최대 상대 오차는 1.241e-11이고, 고정 크기 unitary 변화의 총 에너지 상대 오차는 2.220e-16다. 기존 회전·렌즈 재현 오차는 verification.json에 기록한다. r1은 양의 부하 10^-15를 보존하고 허용 trace 오차를 정규화하며, 반올림 범위를 넘는 음의 상태를 차단한다. 이는 선언된 모형의 계산 정합성과 재현 성과다.</w:t>
      </w:r>
    </w:p>
    <w:p>
      <w:pPr>
        <w:pStyle w:val="BodyText"/>
        <w:ind w:firstLine="0"/>
        <w:jc w:val="left"/>
      </w:pPr>
      <w:r>
        <w:t xml:space="preserve">허용 상태에서 음의 부하가 나오거나, 부문 가중치와 전체의 합이 어긋나거나, 상태 trace·양성이 깨지거나, 같은 부피 에너지의 미분과 압력이 어긋나면 대응하는 계산을 수정해야 한다. 보정 규칙을 명시하지 않고 입력을 바꾸는 것과 미실행 측정 규칙을 완료로 표시하는 것도 이 판의 실패 조건이다.</w:t>
      </w:r>
    </w:p>
    <w:bookmarkEnd w:id="26"/>
    <w:bookmarkStart w:id="27" w:name="다음-단계에-전달하는-장부"/>
    <w:p>
      <w:pPr>
        <w:pStyle w:val="Heading2"/>
        <w:ind w:firstLine="0"/>
        <w:jc w:val="left"/>
      </w:pPr>
      <w:r>
        <w:rPr>
          <w:color w:val="000000"/>
        </w:rPr>
        <w:t xml:space="preserve">다음 단계에 전달하는 장부</w:t>
      </w:r>
    </w:p>
    <w:p>
      <w:pPr>
        <w:pStyle w:val="FirstParagraph"/>
        <w:ind w:firstLine="0"/>
        <w:jc w:val="left"/>
      </w:pPr>
      <w:r>
        <w:t xml:space="preserve">parameters.json이 상수·구성비·격자·지수·시험원·회계 부피의 유일한 실행 입력이다. 결과는 이 파일의 정규 JSON 표현에 대한 SHA256을 포함한다. 입력을 변경하면 결과와 해시가 함께 바뀌며, 실행 중 입력이 변형되면 실패한다. results.json은 각 부문의 가중치·에너지·밀도·압력과 0.6 연결 출력, 상태 생성법, 측정 미실행 상태를 보유한다.</w:t>
      </w:r>
    </w:p>
    <w:p>
      <w:pPr>
        <w:pStyle w:val="BodyText"/>
        <w:keepNext/>
        <w:ind w:firstLine="0"/>
        <w:jc w:val="left"/>
      </w:pPr>
      <w:r>
        <w:t xml:space="preserve">0.8은 입자와 필터 선택을 연결하고, 0.9는 상류 입력과 공통 산술 장부를 실행한다. 0.10은 주소별 정보 가중치와 물리 에너지·압력을 연결하고, 0.11은 순차 물리 보정을 수행한다. 0.12는 셔터·고유시간·허용 스펙트럼, 0.13은 실제 양자화 결과·확률·관측 뒤 상태·기록을 계산한다. 반복 전환의 불확실성과 정보 용량은 0.14에서 다룬다. 다음 식은 그때 사용할 회계 조건이며 0.7에서 실행한 측정 법칙이 아니다.</w:t>
      </w:r>
    </w:p>
    <w:p>
      <w:pPr>
        <w:pStyle w:val="BodyText"/>
        <w:keepLines/>
        <w:spacing w:before="80" w:after="180"/>
        <w:ind w:firstLine="0"/>
        <w:jc w:val="left"/>
      </w:pPr>
      <m:oMathPara>
        <m:oMathParaPr>
          <m:jc m:val="center"/>
        </m:oMathParaPr>
        <m:oMath>
          <m:sSub>
            <m:e>
              <m:r>
                <m:t>E</m:t>
              </m:r>
            </m:e>
            <m:sub>
              <m:r>
                <m:rPr>
                  <m:sty m:val="p"/>
                </m:rPr>
                <m:t>b</m:t>
              </m:r>
              <m:r>
                <m:rPr>
                  <m:sty m:val="p"/>
                </m:rPr>
                <m:t>e</m:t>
              </m:r>
              <m:r>
                <m:rPr>
                  <m:sty m:val="p"/>
                </m:rPr>
                <m:t>f</m:t>
              </m:r>
              <m:r>
                <m:rPr>
                  <m:sty m:val="p"/>
                </m:rPr>
                <m:t>o</m:t>
              </m:r>
              <m:r>
                <m:rPr>
                  <m:sty m:val="p"/>
                </m:rPr>
                <m:t>r</m:t>
              </m:r>
              <m:r>
                <m:rPr>
                  <m:sty m:val="p"/>
                </m:rPr>
                <m:t>e</m:t>
              </m:r>
            </m:sub>
          </m:sSub>
          <m:r>
            <m:rPr>
              <m:sty m:val="p"/>
            </m:rPr>
            <m:t>+</m:t>
          </m:r>
          <m:sSub>
            <m:e>
              <m:r>
                <m:t>E</m:t>
              </m:r>
            </m:e>
            <m:sub>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r>
                <m:rPr>
                  <m:sty m:val="p"/>
                </m:rPr>
                <m:t>,</m:t>
              </m:r>
              <m:r>
                <m:rPr>
                  <m:sty m:val="p"/>
                </m:rPr>
                <m:t>b</m:t>
              </m:r>
              <m:r>
                <m:rPr>
                  <m:sty m:val="p"/>
                </m:rPr>
                <m:t>e</m:t>
              </m:r>
              <m:r>
                <m:rPr>
                  <m:sty m:val="p"/>
                </m:rPr>
                <m:t>f</m:t>
              </m:r>
              <m:r>
                <m:rPr>
                  <m:sty m:val="p"/>
                </m:rPr>
                <m:t>o</m:t>
              </m:r>
              <m:r>
                <m:rPr>
                  <m:sty m:val="p"/>
                </m:rPr>
                <m:t>r</m:t>
              </m:r>
              <m:r>
                <m:rPr>
                  <m:sty m:val="p"/>
                </m:rPr>
                <m:t>e</m:t>
              </m:r>
            </m:sub>
          </m:sSub>
          <m:r>
            <m:rPr>
              <m:sty m:val="p"/>
            </m:rPr>
            <m:t>=</m:t>
          </m:r>
          <m:sSub>
            <m:e>
              <m:r>
                <m:t>E</m:t>
              </m:r>
            </m:e>
            <m:sub>
              <m:r>
                <m:rPr>
                  <m:sty m:val="p"/>
                </m:rPr>
                <m:t>a</m:t>
              </m:r>
              <m:r>
                <m:rPr>
                  <m:sty m:val="p"/>
                </m:rPr>
                <m:t>f</m:t>
              </m:r>
              <m:r>
                <m:rPr>
                  <m:sty m:val="p"/>
                </m:rPr>
                <m:t>t</m:t>
              </m:r>
              <m:r>
                <m:rPr>
                  <m:sty m:val="p"/>
                </m:rPr>
                <m:t>e</m:t>
              </m:r>
              <m:r>
                <m:rPr>
                  <m:sty m:val="p"/>
                </m:rPr>
                <m:t>r</m:t>
              </m:r>
            </m:sub>
          </m:sSub>
          <m:r>
            <m:rPr>
              <m:sty m:val="p"/>
            </m:rPr>
            <m:t>+</m:t>
          </m:r>
          <m:sSub>
            <m:e>
              <m:r>
                <m:t>E</m:t>
              </m:r>
            </m:e>
            <m:sub>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r>
                <m:rPr>
                  <m:sty m:val="p"/>
                </m:rPr>
                <m:t>,</m:t>
              </m:r>
              <m:r>
                <m:rPr>
                  <m:sty m:val="p"/>
                </m:rPr>
                <m:t>a</m:t>
              </m:r>
              <m:r>
                <m:rPr>
                  <m:sty m:val="p"/>
                </m:rPr>
                <m:t>f</m:t>
              </m:r>
              <m:r>
                <m:rPr>
                  <m:sty m:val="p"/>
                </m:rPr>
                <m:t>t</m:t>
              </m:r>
              <m:r>
                <m:rPr>
                  <m:sty m:val="p"/>
                </m:rPr>
                <m:t>e</m:t>
              </m:r>
              <m:r>
                <m:rPr>
                  <m:sty m:val="p"/>
                </m:rPr>
                <m:t>r</m:t>
              </m:r>
            </m:sub>
          </m:sSub>
          <m:r>
            <m:rPr>
              <m:sty m:val="p"/>
            </m:rPr>
            <m:t>.</m:t>
          </m:r>
          <m:r>
            <m:rPr>
              <m:sty m:val="p"/>
            </m:rPr>
            <m:t xml:space="preserve">   (11)</m:t>
          </m:r>
        </m:oMath>
      </m:oMathPara>
    </w:p>
    <w:p>
      <w:pPr>
        <w:pStyle w:val="FirstParagraph"/>
        <w:ind w:firstLine="0"/>
        <w:jc w:val="left"/>
      </w:pPr>
      <w:r>
        <w:t xml:space="preserve">0.15는 응력·뒤틀림·곡률·크기, 0.16은 중성미자 질량·혼합·진동, 0.17은 같은 기하 안의 전파를 연결한다. 1.0은 전체 실행·문서·주장 장부를 대조한 뒤 확정한다. 0.7의 완료 판정은 공통 정의와 에너지 가중 측도 및 기존 부하 계산의 연결에 한정한다. 입자 선택·관측 법칙·전체 이론의 통합을 완료했다고 선행 판정하지 않는다. 같은 기준으로 기존 이론의 검증 입력과 WRRA 내부 실행을 구분한다.</w:t>
      </w:r>
    </w:p>
    <w:bookmarkEnd w:id="27"/>
    <w:bookmarkStart w:id="28" w:name="재현-방법과-참고-자료"/>
    <w:p>
      <w:pPr>
        <w:pStyle w:val="Heading2"/>
        <w:ind w:firstLine="0"/>
        <w:jc w:val="left"/>
      </w:pPr>
      <w:r>
        <w:rPr>
          <w:color w:val="000000"/>
        </w:rPr>
        <w:t xml:space="preserve">재현 방법과 참고 자료</w:t>
      </w:r>
    </w:p>
    <w:p>
      <w:pPr>
        <w:pStyle w:val="FirstParagraph"/>
        <w:ind w:firstLine="0"/>
        <w:jc w:val="left"/>
      </w:pPr>
      <w:r>
        <w:t xml:space="preserve">압축파일의 루트에서 python calculations/wrra_m_0_7/run_release.py를 실행하면 대표 결과표와 verification.json을 생성한다. 필요한 계산 라이브러리는 numpy와 scipy다. 원고 작성에는 pandoc와 python-docx, PDF 변환에는 LibreOffice가 별도로 필요하다. 고정 입력과 상태 생성법을 공개하므로 재현 과정에서 무작위로 보정값을 선택하지 않는다. 추가 혼합 상태 시험은 seed 707을 사용한다.</w:t>
      </w:r>
    </w:p>
    <w:p>
      <w:pPr>
        <w:pStyle w:val="BodyText"/>
        <w:spacing w:line="240" w:lineRule="auto" w:after="60"/>
        <w:ind w:firstLine="0"/>
        <w:jc w:val="left"/>
      </w:pPr>
      <w:r>
        <w:rPr>
          <w:sz w:val="20"/>
        </w:rPr>
        <w:t xml:space="preserve">Choi Wonsik. WRRA-M 0.6-r2. 2026. https://doi.org/10.5281/zenodo.23076547</w:t>
      </w:r>
    </w:p>
    <w:p>
      <w:pPr>
        <w:pStyle w:val="BodyText"/>
        <w:spacing w:line="240" w:lineRule="auto" w:after="60"/>
        <w:ind w:firstLine="0"/>
        <w:jc w:val="left"/>
      </w:pPr>
      <w:r>
        <w:rPr>
          <w:sz w:val="20"/>
        </w:rPr>
        <w:t xml:space="preserve">WRRA-M repository. https://github.com/Wonsik-Choi-janefather/wrra-m-0.1</w:t>
      </w:r>
    </w:p>
    <w:p>
      <w:pPr>
        <w:pStyle w:val="BodyText"/>
        <w:spacing w:line="240" w:lineRule="auto" w:after="60"/>
        <w:ind w:firstLine="0"/>
        <w:jc w:val="left"/>
      </w:pPr>
      <w:r>
        <w:rPr>
          <w:sz w:val="20"/>
        </w:rPr>
        <w:t xml:space="preserve">Planck Collaboration. Planck 2018 results VI Cosmological parameters. Astronomy and Astrophysics 641 A6 2020. https://doi.org/10.1051/0004-6361/201833910 . 후기 우주 보정의 비교 자료이며, 0.7에서 새로 원자료를 적합한 것은 아니다. 4.93%와 26.5%의 정확한 실행값은 0.6-r2 입력에서 이어받은 반올림 보정값이다.</w:t>
      </w:r>
    </w:p>
    <w:p>
      <w:pPr>
        <w:pStyle w:val="BodyText"/>
        <w:spacing w:line="240" w:lineRule="auto" w:after="60"/>
        <w:ind w:firstLine="0"/>
        <w:jc w:val="left"/>
      </w:pPr>
      <w:r>
        <w:rPr>
          <w:sz w:val="20"/>
        </w:rPr>
        <w:t xml:space="preserve">BIPM. The International System of Units SI defining constants. https://www.bipm.org/en/measurement-units/si-defining-constants . 광속 299792458 m/s는 고정 정의값으로 입력하며 WRRA 예측으로 분류하지 않는다.</w:t>
      </w:r>
    </w:p>
    <w:bookmarkEnd w:id="28"/>
    <w:bookmarkEnd w:id="29"/>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1" w:lineRule="auto"/>
    </w:pPr>
    <w:rPr>
      <w:rFonts w:ascii="Liberation Serif" w:hAnsi="Liberation Serif" w:eastAsia="Noto Sans CJK KR"/>
      <w:color w:val="000000"/>
      <w:sz w:val="22"/>
    </w:rPr>
  </w:style>
  <w:style w:styleId="BodyText" w:type="paragraph">
    <w:name w:val="Body Text"/>
    <w:basedOn w:val="Normal"/>
    <w:link w:val="BodyTextChar"/>
    <w:pPr>
      <w:spacing w:after="140" w:before="180" w:line="271"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140" w:line="271"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0.7 Actual and Phenotype in an Energy Weighted Information Ledger</dc:title>
  <dc:creator>Wonsik Choi</dc:creator>
  <cp:keywords/>
  <dcterms:created xsi:type="dcterms:W3CDTF">2026-10-01T22:51:41Z</dcterms:created>
  <dcterms:modified xsi:type="dcterms:W3CDTF">2026-10-01T22:51:41Z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