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78e9e4f5e8429897a08e58f6e7975ed3d8d5ac"/>
    <w:p>
      <w:pPr>
        <w:pStyle w:val="Title"/>
        <w:ind w:firstLine="0"/>
        <w:jc w:val="left"/>
      </w:pPr>
      <w:r>
        <w:rPr>
          <w:color w:val="000000"/>
        </w:rPr>
        <w:t xml:space="preserve">WRRA M 0 9 Common Sector Accounting and the Upstream Input Contract</w:t>
      </w:r>
    </w:p>
    <w:p>
      <w:pPr>
        <w:pStyle w:val="FirstParagraph"/>
        <w:ind w:firstLine="0"/>
        <w:jc w:val="left"/>
      </w:pPr>
      <w:r>
        <w:t xml:space="preserve">Arithmetic calibration on one denominator and connection to particle channels</w:t>
      </w:r>
    </w:p>
    <w:p>
      <w:pPr>
        <w:pStyle w:val="BodyText"/>
        <w:ind w:firstLine="0"/>
        <w:jc w:val="left"/>
      </w:pPr>
      <w:r>
        <w:t xml:space="preserve">최원식 Wonsik Choi</w:t>
      </w:r>
    </w:p>
    <w:p>
      <w:pPr>
        <w:pStyle w:val="BodyText"/>
        <w:ind w:firstLine="0"/>
        <w:jc w:val="left"/>
      </w:pPr>
      <w:r>
        <w:t xml:space="preserve">WRRA-M 0.9-r1 | 2026-10-02</w:t>
      </w:r>
    </w:p>
    <w:p>
      <w:pPr>
        <w:pStyle w:val="BodyText"/>
        <w:ind w:firstLine="0"/>
        <w:jc w:val="left"/>
      </w:pPr>
      <w:r>
        <w:t xml:space="preserve">Independent Researcher Seoul Republic of Korea</w:t>
      </w:r>
    </w:p>
    <w:p>
      <w:pPr>
        <w:pStyle w:val="BodyText"/>
        <w:ind w:firstLine="0"/>
        <w:jc w:val="left"/>
      </w:pPr>
      <w:r>
        <w:t xml:space="preserve">ORCID 0009-0001-4263-9772 | janefather@gmail.com</w:t>
      </w:r>
    </w:p>
    <w:bookmarkStart w:id="20" w:name="X0372a54c9bde05c672ad0995493fbb456a002e5"/>
    <w:p>
      <w:pPr>
        <w:pStyle w:val="Heading2"/>
        <w:ind w:firstLine="0"/>
        <w:jc w:val="left"/>
      </w:pPr>
      <w:r>
        <w:rPr>
          <w:color w:val="000000"/>
        </w:rPr>
        <w:t xml:space="preserve">Evaluation scope and completed calculation</w:t>
      </w:r>
    </w:p>
    <w:p>
      <w:pPr>
        <w:pStyle w:val="FirstParagraph"/>
        <w:ind w:firstLine="0"/>
        <w:jc w:val="left"/>
      </w:pPr>
      <w:r>
        <w:t xml:space="preserve">Version 0.9 computes phenotype, resident nonphenotype and return using one address measure, then connects the expressed budget to the selected 0.8 particle channels. Verification inputs are WRRA Core 1.0, MCC 2.3.2, frozen 0.8 inputs, and the upstream two-stage filter and zeta-zero update calculations. Known particle assignments and composition targets are legitimate calibration inputs for this constructed model.</w:t>
      </w:r>
    </w:p>
    <w:p>
      <w:pPr>
        <w:pStyle w:val="BodyText"/>
        <w:ind w:firstLine="0"/>
        <w:jc w:val="left"/>
      </w:pPr>
      <w:r>
        <w:t xml:space="preserve">The WRRA-specific transformation takes the address state and spectrum, accumulates admission from a depleted reservoir, closes the three-sector ledger at the recovery boundary, and applies normalized conditional channel routing followed by the computed selection permutation. Outputs are 5%, 26.8% and 68.2%, resident Actual 31.8%, total accounted weight 100%, and a 48-channel ledger. Twenty-seven verification groups pass, and all nine 0.8 results and their charge assignments are reproduced unchanged.</w:t>
      </w:r>
    </w:p>
    <w:p>
      <w:pPr>
        <w:pStyle w:val="BodyText"/>
        <w:ind w:firstLine="0"/>
        <w:jc w:val="left"/>
      </w:pPr>
      <w:r>
        <w:t xml:space="preserve">Falsification conditions are failure of frozen calibrated reproduction, negative or incomplete sector effects, inconsistent transition accounting, duplicated channel or generation weight, charge disagreement, or undisclosed calibration changes. Mapping arithmetic load to physical energy and pressure belongs to 0.10; individual 0/1 measurement outcomes and physical records belong to 0.13. Admission weights here are deterministic expected transport, with no newly implemented physical Born measurement rule.</w:t>
      </w:r>
    </w:p>
    <w:bookmarkEnd w:id="20"/>
    <w:bookmarkStart w:id="21" w:name="Xef1d3fa7dab9ef904f043e305e5dbad548a26e4"/>
    <w:p>
      <w:pPr>
        <w:pStyle w:val="Heading2"/>
        <w:ind w:firstLine="0"/>
        <w:jc w:val="left"/>
      </w:pPr>
      <w:r>
        <w:rPr>
          <w:color w:val="000000"/>
        </w:rPr>
        <w:t xml:space="preserve">Address state and calibration on a common denominator</w:t>
      </w:r>
    </w:p>
    <w:p>
      <w:pPr>
        <w:pStyle w:val="FirstParagraph"/>
        <w:keepNext/>
        <w:ind w:firstLine="0"/>
        <w:jc w:val="left"/>
      </w:pPr>
      <w:r>
        <w:t xml:space="preserve">Addresses run from 2 through N_address=1,000,000. Every sector uses the same n^-alpha measure. Primes initially occupy the SOURCE reservoir, even composites form resident nonphenotype D, and odd composites support phenotype admission. The physical interpretation and origin of this arithmetic classification remain constitutive assumptions and upstream questions.</w:t>
      </w:r>
    </w:p>
    <w:p>
      <w:pPr>
        <w:pStyle w:val="BodyText"/>
        <w:keepLines/>
        <w:spacing w:before="80" w:after="180"/>
        <w:ind w:firstLine="0"/>
        <w:jc w:val="left"/>
      </w:pPr>
      <m:oMathPara>
        <m:oMathParaPr>
          <m:jc m:val="center"/>
        </m:oMathParaPr>
        <m:oMath>
          <m:sSub>
            <m:e>
              <m:r>
                <m:t>w</m:t>
              </m:r>
            </m:e>
            <m:sub>
              <m:r>
                <m:t>n</m:t>
              </m:r>
            </m:sub>
          </m:sSub>
          <m:r>
            <m:rPr>
              <m:sty m:val="p"/>
            </m:rPr>
            <m:t>=</m:t>
          </m:r>
          <m:f>
            <m:fPr>
              <m:type m:val="bar"/>
            </m:fPr>
            <m:num>
              <m:sSup>
                <m:e>
                  <m:r>
                    <m:t>n</m:t>
                  </m:r>
                </m:e>
                <m:sup>
                  <m:r>
                    <m:rPr>
                      <m:sty m:val="p"/>
                    </m:rPr>
                    <m:t>−</m:t>
                  </m:r>
                  <m:r>
                    <m:t>α</m:t>
                  </m:r>
                </m:sup>
              </m:sSup>
            </m:num>
            <m:den>
              <m:nary>
                <m:naryPr>
                  <m:chr m:val="∑"/>
                  <m:limLoc m:val="undOvr"/>
                  <m:subHide m:val="off"/>
                  <m:supHide m:val="off"/>
                </m:naryPr>
                <m:sub>
                  <m:r>
                    <m:t>m</m:t>
                  </m:r>
                  <m:r>
                    <m:rPr>
                      <m:sty m:val="p"/>
                    </m:rPr>
                    <m:t>=</m:t>
                  </m:r>
                  <m:r>
                    <m:t>2</m:t>
                  </m:r>
                </m:sub>
                <m:sup>
                  <m:sSub>
                    <m:e>
                      <m:r>
                        <m:t>N</m:t>
                      </m:r>
                    </m:e>
                    <m:sub>
                      <m:r>
                        <m:rPr>
                          <m:sty m:val="p"/>
                        </m:rPr>
                        <m:t>a</m:t>
                      </m:r>
                      <m:r>
                        <m:rPr>
                          <m:sty m:val="p"/>
                        </m:rPr>
                        <m:t>d</m:t>
                      </m:r>
                      <m:r>
                        <m:rPr>
                          <m:sty m:val="p"/>
                        </m:rPr>
                        <m:t>d</m:t>
                      </m:r>
                      <m:r>
                        <m:rPr>
                          <m:sty m:val="p"/>
                        </m:rPr>
                        <m:t>r</m:t>
                      </m:r>
                      <m:r>
                        <m:rPr>
                          <m:sty m:val="p"/>
                        </m:rPr>
                        <m:t>e</m:t>
                      </m:r>
                      <m:r>
                        <m:rPr>
                          <m:sty m:val="p"/>
                        </m:rPr>
                        <m:t>s</m:t>
                      </m:r>
                      <m:r>
                        <m:rPr>
                          <m:sty m:val="p"/>
                        </m:rPr>
                        <m:t>s</m:t>
                      </m:r>
                    </m:sub>
                  </m:sSub>
                </m:sup>
                <m:e>
                  <m:sSup>
                    <m:e>
                      <m:r>
                        <m:t>m</m:t>
                      </m:r>
                    </m:e>
                    <m:sup>
                      <m:r>
                        <m:rPr>
                          <m:sty m:val="p"/>
                        </m:rPr>
                        <m:t>−</m:t>
                      </m:r>
                      <m:r>
                        <m:t>α</m:t>
                      </m:r>
                    </m:sup>
                  </m:sSup>
                </m:e>
              </m:nary>
            </m:den>
          </m:f>
          <m:r>
            <m:rPr>
              <m:sty m:val="p"/>
            </m:rPr>
            <m:t>,</m:t>
          </m:r>
          <m:r>
            <m:t>  </m:t>
          </m:r>
          <m:nary>
            <m:naryPr>
              <m:chr m:val="∑"/>
              <m:limLoc m:val="undOvr"/>
              <m:subHide m:val="off"/>
              <m:supHide m:val="on"/>
            </m:naryPr>
            <m:sub>
              <m:r>
                <m:t>n</m:t>
              </m:r>
            </m:sub>
            <m:sup>
              <m:r>
                <m:t>​</m:t>
              </m:r>
            </m:sup>
            <m:e>
              <m:sSub>
                <m:e>
                  <m:r>
                    <m:t>w</m:t>
                  </m:r>
                </m:e>
                <m:sub>
                  <m:r>
                    <m:t>n</m:t>
                  </m:r>
                </m:sub>
              </m:sSub>
            </m:e>
          </m:nary>
          <m:r>
            <m:rPr>
              <m:sty m:val="p"/>
            </m:rPr>
            <m:t>=</m:t>
          </m:r>
          <m:r>
            <m:t>1</m:t>
          </m:r>
          <m:r>
            <m:rPr>
              <m:sty m:val="p"/>
            </m:rPr>
            <m:t>.</m:t>
          </m:r>
          <m:r>
            <m:rPr>
              <m:sty m:val="p"/>
            </m:rPr>
            <m:t xml:space="preserve">   (1)</m:t>
          </m:r>
        </m:oMath>
      </m:oMathPara>
    </w:p>
    <w:p>
      <w:pPr>
        <w:pStyle w:val="FirstParagraph"/>
        <w:ind w:firstLine="0"/>
        <w:jc w:val="left"/>
      </w:pPr>
      <w:r>
        <w:t xml:space="preserve">The input alpha=1.8996876950554356 is the arithmetic calibration fitting D=0.268. The threshold h=1.447673170352440 fits phenotype 0.05. Return 0.682 follows by closure. Beta in the constant-admission comparison and beta_eff in the zeta update have different roles. In the default update, beta_eff=0.8654570124137115 is computed as phenotype divided by available odd-composite weight and is not supplied as an extra free coefficient.</w:t>
      </w:r>
    </w:p>
    <w:p>
      <w:pPr>
        <w:pStyle w:val="BodyText"/>
        <w:ind w:firstLine="0"/>
        <w:jc w:val="left"/>
      </w:pPr>
      <w:r>
        <w:t xml:space="preserve">The 4.8769% comparison admits all odd composites at alpha=2, while 26.7942% is the even-composite comparison at alpha=1.9. Values across those rows are never added. Each row has its own normalized denominator; the joint reference instead uses alpha about 1.899687695 and the update threshold h.</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20"/>
        <w:gridCol w:w="2592"/>
        <w:gridCol w:w="3154"/>
      </w:tblGrid>
      <w:tr>
        <w:trPr>
          <w:tblHeader w:val="true"/>
          <w:cantSplit/>
          <w:tblHeader/>
        </w:trPr>
        <w:tc>
          <w:tcPr>
            <w:tcW w:type="dxa" w:w="1728"/>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alpha</w:t>
            </w:r>
          </w:p>
        </w:tc>
        <w:tc>
          <w:tcPr>
            <w:tcW w:type="dxa" w:w="252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Odd composite %</w:t>
            </w:r>
          </w:p>
        </w:tc>
        <w:tc>
          <w:tcPr>
            <w:tcW w:type="dxa" w:w="259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Even composite %</w:t>
            </w:r>
          </w:p>
        </w:tc>
        <w:tc>
          <w:tcPr>
            <w:tcW w:type="dxa" w:w="315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Prime %</w:t>
            </w:r>
          </w:p>
        </w:tc>
      </w:tr>
      <w:tr>
        <w:trPr>
          <w:cantSplit/>
        </w:trPr>
        <w:tc>
          <w:tcPr>
            <w:tcW w:type="dxa" w:w="172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2.0</w:t>
            </w:r>
          </w:p>
        </w:tc>
        <w:tc>
          <w:tcPr>
            <w:tcW w:type="dxa" w:w="252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4.876893</w:t>
            </w:r>
          </w:p>
        </w:tc>
        <w:tc>
          <w:tcPr>
            <w:tcW w:type="dxa" w:w="259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24.999961</w:t>
            </w:r>
          </w:p>
        </w:tc>
        <w:tc>
          <w:tcPr>
            <w:tcW w:type="dxa" w:w="315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70.123145</w:t>
            </w:r>
          </w:p>
        </w:tc>
      </w:tr>
      <w:tr>
        <w:trPr>
          <w:cantSplit/>
        </w:trPr>
        <w:tc>
          <w:tcPr>
            <w:tcW w:type="dxa" w:w="172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1.9</w:t>
            </w:r>
          </w:p>
        </w:tc>
        <w:tc>
          <w:tcPr>
            <w:tcW w:type="dxa" w:w="252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5.774215</w:t>
            </w:r>
          </w:p>
        </w:tc>
        <w:tc>
          <w:tcPr>
            <w:tcW w:type="dxa" w:w="259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26.794200</w:t>
            </w:r>
          </w:p>
        </w:tc>
        <w:tc>
          <w:tcPr>
            <w:tcW w:type="dxa" w:w="315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67.431586</w:t>
            </w:r>
          </w:p>
        </w:tc>
      </w:tr>
    </w:tbl>
    <w:bookmarkEnd w:id="21"/>
    <w:bookmarkStart w:id="22" w:name="upstream-inputs-and-the-update-boundary"/>
    <w:p>
      <w:pPr>
        <w:pStyle w:val="Heading2"/>
        <w:ind w:firstLine="0"/>
        <w:jc w:val="left"/>
      </w:pPr>
      <w:r>
        <w:rPr>
          <w:color w:val="000000"/>
        </w:rPr>
        <w:t xml:space="preserve">Upstream inputs and the update boundary</w:t>
      </w:r>
    </w:p>
    <w:p>
      <w:pPr>
        <w:pStyle w:val="FirstParagraph"/>
        <w:ind w:firstLine="0"/>
        <w:jc w:val="left"/>
      </w:pPr>
      <w:r>
        <w:t xml:space="preserve">Interface wrra.upstream-ledger/1 fixes the address state, measure, adopted spectrum, coefficients and phases, admission update, recovery boundary, channel coupling and source hashes. The reference address state is a normalized diagonal n^-alpha distribution; the computational API also checks supplied normalized diagonal states. Large-scale dynamics of a general full address density matrix are outside this run. Downstream carrier rho and the address state are inputs on different state spaces, coupled by the declared conditional routing rule.</w:t>
      </w:r>
    </w:p>
    <w:p>
      <w:pPr>
        <w:pStyle w:val="BodyText"/>
        <w:keepNext/>
        <w:ind w:firstLine="0"/>
        <w:jc w:val="left"/>
      </w:pPr>
      <w:r>
        <w:t xml:space="preserve">The spectrum is the first four positive zeta-zero heights gamma_j, rechecked by independent high-precision computation and Euler Maclaurin expansion. Each coefficient is 1/2, initial phases are zero, xi=0.1, and there are K=8 admission updates. Selecting zeta heights and cosine driving is an upstream model input. Update index k and xi are dimensionless; seconds and proper time are not assigned. Physical spectral energies require allowed modes and boundary conditions in 0.12.</w:t>
      </w:r>
    </w:p>
    <w:p>
      <w:pPr>
        <w:pStyle w:val="BodyText"/>
        <w:keepLines/>
        <w:spacing w:before="80" w:after="180"/>
        <w:ind w:firstLine="0"/>
        <w:jc w:val="left"/>
      </w:pPr>
      <m:oMathPara>
        <m:oMathParaPr>
          <m:jc m:val="center"/>
        </m:oMathParaPr>
        <m:oMath>
          <m:sSub>
            <m:e>
              <m:r>
                <m:t>δ</m:t>
              </m:r>
            </m:e>
            <m:sub>
              <m:r>
                <m:t>n</m:t>
              </m:r>
            </m:sub>
          </m:sSub>
          <m:d>
            <m:dPr>
              <m:begChr m:val="("/>
              <m:endChr m:val=")"/>
              <m:sepChr m:val=""/>
              <m:grow/>
            </m:dPr>
            <m:e>
              <m:r>
                <m:t>k</m:t>
              </m:r>
            </m:e>
          </m:d>
          <m:r>
            <m:rPr>
              <m:sty m:val="p"/>
            </m:rPr>
            <m:t>=</m:t>
          </m:r>
          <m:nary>
            <m:naryPr>
              <m:chr m:val="∑"/>
              <m:limLoc m:val="undOvr"/>
              <m:subHide m:val="off"/>
              <m:supHide m:val="off"/>
            </m:naryPr>
            <m:sub>
              <m:r>
                <m:t>j</m:t>
              </m:r>
              <m:r>
                <m:rPr>
                  <m:sty m:val="p"/>
                </m:rPr>
                <m:t>=</m:t>
              </m:r>
              <m:r>
                <m:t>1</m:t>
              </m:r>
            </m:sub>
            <m:sup>
              <m:r>
                <m:t>J</m:t>
              </m:r>
            </m:sup>
            <m:e>
              <m:sSub>
                <m:e>
                  <m:r>
                    <m:t>c</m:t>
                  </m:r>
                </m:e>
                <m:sub>
                  <m:r>
                    <m:t>j</m:t>
                  </m:r>
                </m:sub>
              </m:sSub>
            </m:e>
          </m:nary>
          <m:r>
            <m:rPr>
              <m:sty m:val="p"/>
            </m:rPr>
            <m:t>cos</m:t>
          </m:r>
          <m:r>
            <m:t>​</m:t>
          </m:r>
          <m:d>
            <m:dPr>
              <m:begChr m:val="["/>
              <m:endChr m:val="]"/>
              <m:sepChr m:val=""/>
              <m:grow/>
            </m:dPr>
            <m:e>
              <m:sSub>
                <m:e>
                  <m:r>
                    <m:t>γ</m:t>
                  </m:r>
                </m:e>
                <m:sub>
                  <m:r>
                    <m:t>j</m:t>
                  </m:r>
                </m:sub>
              </m:sSub>
              <m:d>
                <m:dPr>
                  <m:begChr m:val="("/>
                  <m:endChr m:val=")"/>
                  <m:sepChr m:val=""/>
                  <m:grow/>
                </m:dPr>
                <m:e>
                  <m:r>
                    <m:rPr>
                      <m:sty m:val="p"/>
                    </m:rPr>
                    <m:t>log</m:t>
                  </m:r>
                  <m:r>
                    <m:t>n</m:t>
                  </m:r>
                  <m:r>
                    <m:rPr>
                      <m:sty m:val="p"/>
                    </m:rPr>
                    <m:t>+</m:t>
                  </m:r>
                  <m:r>
                    <m:t>ξ</m:t>
                  </m:r>
                  <m:r>
                    <m:t>k</m:t>
                  </m:r>
                </m:e>
              </m:d>
              <m:r>
                <m:rPr>
                  <m:sty m:val="p"/>
                </m:rPr>
                <m:t>+</m:t>
              </m:r>
              <m:sSub>
                <m:e>
                  <m:r>
                    <m:t>θ</m:t>
                  </m:r>
                </m:e>
                <m:sub>
                  <m:r>
                    <m:t>j</m:t>
                  </m:r>
                </m:sub>
              </m:sSub>
            </m:e>
          </m:d>
          <m:r>
            <m:rPr>
              <m:sty m:val="p"/>
            </m:rPr>
            <m:t>.</m:t>
          </m:r>
          <m:r>
            <m:rPr>
              <m:sty m:val="p"/>
            </m:rPr>
            <m:t xml:space="preserve">   (2)</m:t>
          </m:r>
        </m:oMath>
      </m:oMathPara>
    </w:p>
    <w:p>
      <w:pPr>
        <w:pStyle w:val="FirstParagraph"/>
        <w:keepLines/>
        <w:spacing w:before="80" w:after="180"/>
        <w:ind w:firstLine="0"/>
        <w:jc w:val="left"/>
      </w:pPr>
      <m:oMathPara>
        <m:oMathParaPr>
          <m:jc m:val="center"/>
        </m:oMathParaPr>
        <m:oMath>
          <m:sSub>
            <m:e>
              <m:r>
                <m:t>a</m:t>
              </m:r>
            </m:e>
            <m:sub>
              <m:r>
                <m:t>n</m:t>
              </m:r>
            </m:sub>
          </m:sSub>
          <m:d>
            <m:dPr>
              <m:begChr m:val="("/>
              <m:endChr m:val=")"/>
              <m:sepChr m:val=""/>
              <m:grow/>
            </m:dPr>
            <m:e>
              <m:r>
                <m:t>k</m:t>
              </m:r>
            </m:e>
          </m:d>
          <m:r>
            <m:rPr>
              <m:sty m:val="p"/>
            </m:rPr>
            <m:t>=</m:t>
          </m:r>
          <m:f>
            <m:fPr>
              <m:type m:val="bar"/>
            </m:fPr>
            <m:num>
              <m:r>
                <m:t>1</m:t>
              </m:r>
            </m:num>
            <m:den>
              <m:r>
                <m:t>1</m:t>
              </m:r>
              <m:r>
                <m:rPr>
                  <m:sty m:val="p"/>
                </m:rPr>
                <m:t>+</m:t>
              </m:r>
              <m:sSup>
                <m:e>
                  <m:r>
                    <m:t>e</m:t>
                  </m:r>
                </m:e>
                <m:sup>
                  <m:r>
                    <m:t>h</m:t>
                  </m:r>
                  <m:r>
                    <m:rPr>
                      <m:sty m:val="p"/>
                    </m:rPr>
                    <m:t>−</m:t>
                  </m:r>
                  <m:sSub>
                    <m:e>
                      <m:r>
                        <m:t>δ</m:t>
                      </m:r>
                    </m:e>
                    <m:sub>
                      <m:r>
                        <m:t>n</m:t>
                      </m:r>
                    </m:sub>
                  </m:sSub>
                  <m:d>
                    <m:dPr>
                      <m:begChr m:val="("/>
                      <m:endChr m:val=")"/>
                      <m:sepChr m:val=""/>
                      <m:grow/>
                    </m:dPr>
                    <m:e>
                      <m:r>
                        <m:t>k</m:t>
                      </m:r>
                    </m:e>
                  </m:d>
                </m:sup>
              </m:sSup>
            </m:den>
          </m:f>
          <m:r>
            <m:rPr>
              <m:sty m:val="p"/>
            </m:rPr>
            <m:t>,</m:t>
          </m:r>
          <m:r>
            <m:t>  </m:t>
          </m:r>
          <m:sSub>
            <m:e>
              <m:r>
                <m:t>T</m:t>
              </m:r>
            </m:e>
            <m:sub>
              <m:r>
                <m:t>n</m:t>
              </m:r>
            </m:sub>
          </m:sSub>
          <m:d>
            <m:dPr>
              <m:begChr m:val="("/>
              <m:endChr m:val=")"/>
              <m:sepChr m:val=""/>
              <m:grow/>
            </m:dPr>
            <m:e>
              <m:r>
                <m:t>K</m:t>
              </m:r>
            </m:e>
          </m:d>
          <m:r>
            <m:rPr>
              <m:sty m:val="p"/>
            </m:rPr>
            <m:t>=</m:t>
          </m:r>
          <m:r>
            <m:t>1</m:t>
          </m:r>
          <m:r>
            <m:rPr>
              <m:sty m:val="p"/>
            </m:rPr>
            <m:t>−</m:t>
          </m:r>
          <m:nary>
            <m:naryPr>
              <m:chr m:val="∏"/>
              <m:limLoc m:val="undOvr"/>
              <m:subHide m:val="off"/>
              <m:supHide m:val="off"/>
            </m:naryPr>
            <m:sub>
              <m:r>
                <m:t>k</m:t>
              </m:r>
              <m:r>
                <m:rPr>
                  <m:sty m:val="p"/>
                </m:rPr>
                <m:t>=</m:t>
              </m:r>
              <m:r>
                <m:t>0</m:t>
              </m:r>
            </m:sub>
            <m:sup>
              <m:r>
                <m:t>K</m:t>
              </m:r>
              <m:r>
                <m:rPr>
                  <m:sty m:val="p"/>
                </m:rPr>
                <m:t>−</m:t>
              </m:r>
              <m:r>
                <m:t>1</m:t>
              </m:r>
            </m:sup>
            <m:e>
              <m:d>
                <m:dPr>
                  <m:begChr m:val="("/>
                  <m:endChr m:val=")"/>
                  <m:sepChr m:val=""/>
                  <m:grow/>
                </m:dPr>
                <m:e>
                  <m:r>
                    <m:t>1</m:t>
                  </m:r>
                  <m:r>
                    <m:rPr>
                      <m:sty m:val="p"/>
                    </m:rPr>
                    <m:t>−</m:t>
                  </m:r>
                  <m:sSub>
                    <m:e>
                      <m:r>
                        <m:t>a</m:t>
                      </m:r>
                    </m:e>
                    <m:sub>
                      <m:r>
                        <m:t>n</m:t>
                      </m:r>
                    </m:sub>
                  </m:sSub>
                  <m:d>
                    <m:dPr>
                      <m:begChr m:val="("/>
                      <m:endChr m:val=")"/>
                      <m:sepChr m:val=""/>
                      <m:grow/>
                    </m:dPr>
                    <m:e>
                      <m:r>
                        <m:t>k</m:t>
                      </m:r>
                    </m:e>
                  </m:d>
                </m:e>
              </m:d>
            </m:e>
          </m:nary>
          <m:r>
            <m:rPr>
              <m:sty m:val="p"/>
            </m:rPr>
            <m:t>.</m:t>
          </m:r>
          <m:r>
            <m:rPr>
              <m:sty m:val="p"/>
            </m:rPr>
            <m:t xml:space="preserve">   (3)</m:t>
          </m:r>
        </m:oMath>
      </m:oMathPara>
    </w:p>
    <w:p>
      <w:pPr>
        <w:pStyle w:val="FirstParagraph"/>
        <w:keepNext/>
        <w:ind w:firstLine="0"/>
        <w:jc w:val="left"/>
      </w:pPr>
      <w:r>
        <w:t xml:space="preserve">New admission b_n is removed from the still-unadmitted odd-composite reservoir r_n. Adding attempts without depletion would count previously admitted weight again. Cumulative products and sequential depletion are computed independently and agree. Even composites occupy D from the start; primes and unadmitted odd composites remain pending SOURCE S until the recovery boundary.</w:t>
      </w:r>
    </w:p>
    <w:p>
      <w:pPr>
        <w:pStyle w:val="BodyText"/>
        <w:keepLines/>
        <w:spacing w:before="80" w:after="180"/>
        <w:ind w:firstLine="0"/>
        <w:jc w:val="left"/>
      </w:pPr>
      <m:oMathPara>
        <m:oMathParaPr>
          <m:jc m:val="center"/>
        </m:oMathParaPr>
        <m:oMath>
          <m:sSub>
            <m:e>
              <m:r>
                <m:t>b</m:t>
              </m:r>
            </m:e>
            <m:sub>
              <m:r>
                <m:t>n</m:t>
              </m:r>
            </m:sub>
          </m:sSub>
          <m:d>
            <m:dPr>
              <m:begChr m:val="("/>
              <m:endChr m:val=")"/>
              <m:sepChr m:val=""/>
              <m:grow/>
            </m:dPr>
            <m:e>
              <m:r>
                <m:t>k</m:t>
              </m:r>
            </m:e>
          </m:d>
          <m:r>
            <m:rPr>
              <m:sty m:val="p"/>
            </m:rPr>
            <m:t>=</m:t>
          </m:r>
          <m:sSub>
            <m:e>
              <m:r>
                <m:t>r</m:t>
              </m:r>
            </m:e>
            <m:sub>
              <m:r>
                <m:t>n</m:t>
              </m:r>
            </m:sub>
          </m:sSub>
          <m:d>
            <m:dPr>
              <m:begChr m:val="("/>
              <m:endChr m:val=")"/>
              <m:sepChr m:val=""/>
              <m:grow/>
            </m:dPr>
            <m:e>
              <m:r>
                <m:t>k</m:t>
              </m:r>
            </m:e>
          </m:d>
          <m:sSub>
            <m:e>
              <m:r>
                <m:t>a</m:t>
              </m:r>
            </m:e>
            <m:sub>
              <m:r>
                <m:t>n</m:t>
              </m:r>
            </m:sub>
          </m:sSub>
          <m:d>
            <m:dPr>
              <m:begChr m:val="("/>
              <m:endChr m:val=")"/>
              <m:sepChr m:val=""/>
              <m:grow/>
            </m:dPr>
            <m:e>
              <m:r>
                <m:t>k</m:t>
              </m:r>
            </m:e>
          </m:d>
          <m:r>
            <m:rPr>
              <m:sty m:val="p"/>
            </m:rPr>
            <m:t>,</m:t>
          </m:r>
          <m:r>
            <m:t>  </m:t>
          </m:r>
          <m:sSub>
            <m:e>
              <m:r>
                <m:t>r</m:t>
              </m:r>
            </m:e>
            <m:sub>
              <m:r>
                <m:t>n</m:t>
              </m:r>
            </m:sub>
          </m:sSub>
          <m:d>
            <m:dPr>
              <m:begChr m:val="("/>
              <m:endChr m:val=")"/>
              <m:sepChr m:val=""/>
              <m:grow/>
            </m:dPr>
            <m:e>
              <m:r>
                <m:t>k</m:t>
              </m:r>
              <m:r>
                <m:rPr>
                  <m:sty m:val="p"/>
                </m:rPr>
                <m:t>+</m:t>
              </m:r>
              <m:r>
                <m:t>1</m:t>
              </m:r>
            </m:e>
          </m:d>
          <m:r>
            <m:rPr>
              <m:sty m:val="p"/>
            </m:rPr>
            <m:t>=</m:t>
          </m:r>
          <m:sSub>
            <m:e>
              <m:r>
                <m:t>r</m:t>
              </m:r>
            </m:e>
            <m:sub>
              <m:r>
                <m:t>n</m:t>
              </m:r>
            </m:sub>
          </m:sSub>
          <m:d>
            <m:dPr>
              <m:begChr m:val="("/>
              <m:endChr m:val=")"/>
              <m:sepChr m:val=""/>
              <m:grow/>
            </m:dPr>
            <m:e>
              <m:r>
                <m:t>k</m:t>
              </m:r>
            </m:e>
          </m:d>
          <m:r>
            <m:rPr>
              <m:sty m:val="p"/>
            </m:rPr>
            <m:t>−</m:t>
          </m:r>
          <m:sSub>
            <m:e>
              <m:r>
                <m:t>b</m:t>
              </m:r>
            </m:e>
            <m:sub>
              <m:r>
                <m:t>n</m:t>
              </m:r>
            </m:sub>
          </m:sSub>
          <m:d>
            <m:dPr>
              <m:begChr m:val="("/>
              <m:endChr m:val=")"/>
              <m:sepChr m:val=""/>
              <m:grow/>
            </m:dPr>
            <m:e>
              <m:r>
                <m:t>k</m:t>
              </m:r>
            </m:e>
          </m:d>
          <m:r>
            <m:rPr>
              <m:sty m:val="p"/>
            </m:rPr>
            <m:t>,</m:t>
          </m:r>
          <m:r>
            <m:t> </m:t>
          </m:r>
          <m:sSub>
            <m:e>
              <m:r>
                <m:t>r</m:t>
              </m:r>
            </m:e>
            <m:sub>
              <m:r>
                <m:t>n</m:t>
              </m:r>
            </m:sub>
          </m:sSub>
          <m:d>
            <m:dPr>
              <m:begChr m:val="("/>
              <m:endChr m:val=")"/>
              <m:sepChr m:val=""/>
              <m:grow/>
            </m:dPr>
            <m:e>
              <m:r>
                <m:t>0</m:t>
              </m:r>
            </m:e>
          </m:d>
          <m:r>
            <m:rPr>
              <m:sty m:val="p"/>
            </m:rPr>
            <m:t>=</m:t>
          </m:r>
          <m:sSub>
            <m:e>
              <m:r>
                <m:t>w</m:t>
              </m:r>
            </m:e>
            <m:sub>
              <m:r>
                <m:t>n</m:t>
              </m:r>
            </m:sub>
          </m:sSub>
          <m:r>
            <m:rPr>
              <m:sty m:val="p"/>
            </m:rPr>
            <m:t>.</m:t>
          </m:r>
          <m:r>
            <m:rPr>
              <m:sty m:val="p"/>
            </m:rPr>
            <m:t xml:space="preserve">   (4)</m:t>
          </m:r>
        </m:oMath>
      </m:oMathPara>
    </w:p>
    <w:p>
      <w:pPr>
        <w:pStyle w:val="FirstParagraph"/>
        <w:keepNext/>
        <w:ind w:firstLine="0"/>
        <w:jc w:val="left"/>
      </w:pPr>
      <w:r>
        <w:t xml:space="preserve">At the declared boundary k=K, pending S is transferred to the return ledger R. Subsequent resident folds use an identity update, the retention rule of this release. Its origin and dynamical cosmological recovery are not derived. S and R are never counted twice. Row k=-1 denotes the state before admission and is not a negative physical time.</w:t>
      </w:r>
    </w:p>
    <w:p>
      <w:pPr>
        <w:pStyle w:val="BodyText"/>
        <w:keepLines/>
        <w:spacing w:before="80" w:after="180"/>
        <w:ind w:firstLine="0"/>
        <w:jc w:val="left"/>
      </w:pPr>
      <m:oMathPara>
        <m:oMathParaPr>
          <m:jc m:val="center"/>
        </m:oMathParaPr>
        <m:oMath>
          <m:sSub>
            <m:e>
              <m:r>
                <m:t>e</m:t>
              </m:r>
            </m:e>
            <m:sub>
              <m:r>
                <m:t>φ</m:t>
              </m:r>
            </m:sub>
          </m:sSub>
          <m:d>
            <m:dPr>
              <m:begChr m:val="("/>
              <m:endChr m:val=")"/>
              <m:sepChr m:val=""/>
              <m:grow/>
            </m:dPr>
            <m:e>
              <m:r>
                <m:t>n</m:t>
              </m:r>
            </m:e>
          </m:d>
          <m:r>
            <m:rPr>
              <m:sty m:val="p"/>
            </m:rPr>
            <m:t>=</m:t>
          </m:r>
          <m:sSub>
            <m:e>
              <m:r>
                <m:rPr>
                  <m:sty m:val="b"/>
                </m:rPr>
                <m:t>1</m:t>
              </m:r>
            </m:e>
            <m:sub>
              <m:r>
                <m:rPr>
                  <m:sty m:val="p"/>
                </m:rPr>
                <m:t>o</m:t>
              </m:r>
              <m:r>
                <m:rPr>
                  <m:sty m:val="p"/>
                </m:rPr>
                <m:t>d</m:t>
              </m:r>
              <m:r>
                <m:rPr>
                  <m:sty m:val="p"/>
                </m:rPr>
                <m:t>d</m:t>
              </m:r>
              <m:r>
                <m:rPr>
                  <m:sty m:val="p"/>
                </m:rPr>
                <m:t> </m:t>
              </m:r>
              <m:r>
                <m:rPr>
                  <m:sty m:val="p"/>
                </m:rPr>
                <m:t>c</m:t>
              </m:r>
              <m:r>
                <m:rPr>
                  <m:sty m:val="p"/>
                </m:rPr>
                <m:t>o</m:t>
              </m:r>
              <m:r>
                <m:rPr>
                  <m:sty m:val="p"/>
                </m:rPr>
                <m:t>m</m:t>
              </m:r>
              <m:r>
                <m:rPr>
                  <m:sty m:val="p"/>
                </m:rPr>
                <m:t>p</m:t>
              </m:r>
            </m:sub>
          </m:sSub>
          <m:sSub>
            <m:e>
              <m:r>
                <m:t>T</m:t>
              </m:r>
            </m:e>
            <m:sub>
              <m:r>
                <m:t>n</m:t>
              </m:r>
            </m:sub>
          </m:sSub>
          <m:d>
            <m:dPr>
              <m:begChr m:val="("/>
              <m:endChr m:val=")"/>
              <m:sepChr m:val=""/>
              <m:grow/>
            </m:dPr>
            <m:e>
              <m:r>
                <m:t>K</m:t>
              </m:r>
            </m:e>
          </m:d>
          <m:r>
            <m:rPr>
              <m:sty m:val="p"/>
            </m:rPr>
            <m:t>,</m:t>
          </m:r>
          <m:r>
            <m:t> </m:t>
          </m:r>
          <m:sSub>
            <m:e>
              <m:r>
                <m:t>e</m:t>
              </m:r>
            </m:e>
            <m:sub>
              <m:r>
                <m:t>D</m:t>
              </m:r>
            </m:sub>
          </m:sSub>
          <m:d>
            <m:dPr>
              <m:begChr m:val="("/>
              <m:endChr m:val=")"/>
              <m:sepChr m:val=""/>
              <m:grow/>
            </m:dPr>
            <m:e>
              <m:r>
                <m:t>n</m:t>
              </m:r>
            </m:e>
          </m:d>
          <m:r>
            <m:rPr>
              <m:sty m:val="p"/>
            </m:rPr>
            <m:t>=</m:t>
          </m:r>
          <m:sSub>
            <m:e>
              <m:r>
                <m:rPr>
                  <m:sty m:val="b"/>
                </m:rPr>
                <m:t>1</m:t>
              </m:r>
            </m:e>
            <m:sub>
              <m:r>
                <m:rPr>
                  <m:sty m:val="p"/>
                </m:rPr>
                <m:t>e</m:t>
              </m:r>
              <m:r>
                <m:rPr>
                  <m:sty m:val="p"/>
                </m:rPr>
                <m:t>v</m:t>
              </m:r>
              <m:r>
                <m:rPr>
                  <m:sty m:val="p"/>
                </m:rPr>
                <m:t>e</m:t>
              </m:r>
              <m:r>
                <m:rPr>
                  <m:sty m:val="p"/>
                </m:rPr>
                <m:t>n</m:t>
              </m:r>
              <m:r>
                <m:rPr>
                  <m:sty m:val="p"/>
                </m:rPr>
                <m:t> </m:t>
              </m:r>
              <m:r>
                <m:rPr>
                  <m:sty m:val="p"/>
                </m:rPr>
                <m:t>c</m:t>
              </m:r>
              <m:r>
                <m:rPr>
                  <m:sty m:val="p"/>
                </m:rPr>
                <m:t>o</m:t>
              </m:r>
              <m:r>
                <m:rPr>
                  <m:sty m:val="p"/>
                </m:rPr>
                <m:t>m</m:t>
              </m:r>
              <m:r>
                <m:rPr>
                  <m:sty m:val="p"/>
                </m:rPr>
                <m:t>p</m:t>
              </m:r>
            </m:sub>
          </m:sSub>
          <m:r>
            <m:rPr>
              <m:sty m:val="p"/>
            </m:rPr>
            <m:t>,</m:t>
          </m:r>
          <m:r>
            <m:t> </m:t>
          </m:r>
          <m:sSub>
            <m:e>
              <m:r>
                <m:t>e</m:t>
              </m:r>
            </m:e>
            <m:sub>
              <m:r>
                <m:t>R</m:t>
              </m:r>
            </m:sub>
          </m:sSub>
          <m:d>
            <m:dPr>
              <m:begChr m:val="("/>
              <m:endChr m:val=")"/>
              <m:sepChr m:val=""/>
              <m:grow/>
            </m:dPr>
            <m:e>
              <m:r>
                <m:t>n</m:t>
              </m:r>
            </m:e>
          </m:d>
          <m:r>
            <m:rPr>
              <m:sty m:val="p"/>
            </m:rPr>
            <m:t>=</m:t>
          </m:r>
          <m:r>
            <m:t>1</m:t>
          </m:r>
          <m:r>
            <m:rPr>
              <m:sty m:val="p"/>
            </m:rPr>
            <m:t>−</m:t>
          </m:r>
          <m:sSub>
            <m:e>
              <m:r>
                <m:t>e</m:t>
              </m:r>
            </m:e>
            <m:sub>
              <m:r>
                <m:t>φ</m:t>
              </m:r>
            </m:sub>
          </m:sSub>
          <m:d>
            <m:dPr>
              <m:begChr m:val="("/>
              <m:endChr m:val=")"/>
              <m:sepChr m:val=""/>
              <m:grow/>
            </m:dPr>
            <m:e>
              <m:r>
                <m:t>n</m:t>
              </m:r>
            </m:e>
          </m:d>
          <m:r>
            <m:rPr>
              <m:sty m:val="p"/>
            </m:rPr>
            <m:t>−</m:t>
          </m:r>
          <m:sSub>
            <m:e>
              <m:r>
                <m:t>e</m:t>
              </m:r>
            </m:e>
            <m:sub>
              <m:r>
                <m:t>D</m:t>
              </m:r>
            </m:sub>
          </m:sSub>
          <m:d>
            <m:dPr>
              <m:begChr m:val="("/>
              <m:endChr m:val=")"/>
              <m:sepChr m:val=""/>
              <m:grow/>
            </m:dPr>
            <m:e>
              <m:r>
                <m:t>n</m:t>
              </m:r>
            </m:e>
          </m:d>
          <m:r>
            <m:rPr>
              <m:sty m:val="p"/>
            </m:rPr>
            <m:t>.</m:t>
          </m:r>
          <m:r>
            <m:rPr>
              <m:sty m:val="p"/>
            </m:rPr>
            <m:t xml:space="preserve">   (5)</m:t>
          </m:r>
        </m:oMath>
      </m:oMathPara>
    </w:p>
    <w:p>
      <w:pPr>
        <w:pStyle w:val="FirstParagraph"/>
        <w:keepLines/>
        <w:spacing w:before="80" w:after="180"/>
        <w:ind w:firstLine="0"/>
        <w:jc w:val="left"/>
      </w:pPr>
      <m:oMathPara>
        <m:oMathParaPr>
          <m:jc m:val="center"/>
        </m:oMathParaPr>
        <m:oMath>
          <m:sSub>
            <m:e>
              <m:r>
                <m:t>f</m:t>
              </m:r>
            </m:e>
            <m:sub>
              <m:r>
                <m:t>s</m:t>
              </m:r>
            </m:sub>
          </m:sSub>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r>
            <m:rPr>
              <m:sty m:val="p"/>
            </m:rPr>
            <m:t>,</m:t>
          </m:r>
          <m:r>
            <m:t> </m:t>
          </m:r>
          <m:sSub>
            <m:e>
              <m:r>
                <m:t>e</m:t>
              </m:r>
            </m:e>
            <m:sub>
              <m:r>
                <m:t>s</m:t>
              </m:r>
            </m:sub>
          </m:sSub>
          <m:d>
            <m:dPr>
              <m:begChr m:val="("/>
              <m:endChr m:val=")"/>
              <m:sepChr m:val=""/>
              <m:grow/>
            </m:dPr>
            <m:e>
              <m:r>
                <m:t>n</m:t>
              </m:r>
            </m:e>
          </m:d>
          <m:r>
            <m:rPr>
              <m:sty m:val="p"/>
            </m:rPr>
            <m:t>≥</m:t>
          </m:r>
          <m:r>
            <m:t>0</m:t>
          </m:r>
          <m:r>
            <m:rPr>
              <m:sty m:val="p"/>
            </m:rPr>
            <m:t>,</m:t>
          </m:r>
          <m:r>
            <m:t> </m:t>
          </m:r>
          <m:nary>
            <m:naryPr>
              <m:chr m:val="∑"/>
              <m:limLoc m:val="undOvr"/>
              <m:subHide m:val="off"/>
              <m:supHide m:val="on"/>
            </m:naryPr>
            <m:sub>
              <m:r>
                <m:t>s</m:t>
              </m:r>
            </m:sub>
            <m:sup>
              <m:r>
                <m:t>​</m:t>
              </m:r>
            </m:sup>
            <m:e>
              <m:sSub>
                <m:e>
                  <m:r>
                    <m:t>e</m:t>
                  </m:r>
                </m:e>
                <m:sub>
                  <m:r>
                    <m:t>s</m:t>
                  </m:r>
                </m:sub>
              </m:sSub>
            </m:e>
          </m:nary>
          <m:d>
            <m:dPr>
              <m:begChr m:val="("/>
              <m:endChr m:val=")"/>
              <m:sepChr m:val=""/>
              <m:grow/>
            </m:dPr>
            <m:e>
              <m:r>
                <m:t>n</m:t>
              </m:r>
            </m:e>
          </m:d>
          <m:r>
            <m:rPr>
              <m:sty m:val="p"/>
            </m:rPr>
            <m:t>=</m:t>
          </m:r>
          <m:r>
            <m:t>1</m:t>
          </m:r>
          <m:r>
            <m:rPr>
              <m:sty m:val="p"/>
            </m:rPr>
            <m:t>,</m:t>
          </m:r>
          <m:r>
            <m:t> </m:t>
          </m:r>
          <m:nary>
            <m:naryPr>
              <m:chr m:val="∑"/>
              <m:limLoc m:val="undOvr"/>
              <m:subHide m:val="off"/>
              <m:supHide m:val="on"/>
            </m:naryPr>
            <m:sub>
              <m:r>
                <m:t>s</m:t>
              </m:r>
            </m:sub>
            <m:sup>
              <m:r>
                <m:t>​</m:t>
              </m:r>
            </m:sup>
            <m:e>
              <m:sSub>
                <m:e>
                  <m:r>
                    <m:t>f</m:t>
                  </m:r>
                </m:e>
                <m:sub>
                  <m:r>
                    <m:t>s</m:t>
                  </m:r>
                </m:sub>
              </m:sSub>
            </m:e>
          </m:nary>
          <m:r>
            <m:rPr>
              <m:sty m:val="p"/>
            </m:rPr>
            <m:t>=</m:t>
          </m:r>
          <m:r>
            <m:t>1</m:t>
          </m:r>
          <m:r>
            <m:rPr>
              <m:sty m:val="p"/>
            </m:rPr>
            <m:t>.</m:t>
          </m:r>
          <m:r>
            <m:rPr>
              <m:sty m:val="p"/>
            </m:rPr>
            <m:t xml:space="preserve">   (6)</m:t>
          </m:r>
        </m:oMath>
      </m:oMathPara>
    </w:p>
    <w:p>
      <w:pPr>
        <w:pStyle w:val="FirstParagraph"/>
        <w:keepLines/>
        <w:spacing w:before="80" w:after="180"/>
        <w:ind w:firstLine="0"/>
        <w:jc w:val="left"/>
      </w:pPr>
      <m:oMathPara>
        <m:oMathParaPr>
          <m:jc m:val="center"/>
        </m:oMathParaPr>
        <m:oMath>
          <m:sSub>
            <m:e>
              <m:r>
                <m:t>φ</m:t>
              </m:r>
            </m:e>
            <m:sub>
              <m:r>
                <m:t>k</m:t>
              </m:r>
            </m:sub>
          </m:sSub>
          <m:r>
            <m:rPr>
              <m:sty m:val="p"/>
            </m:rPr>
            <m:t>+</m:t>
          </m:r>
          <m:sSub>
            <m:e>
              <m:r>
                <m:t>D</m:t>
              </m:r>
            </m:e>
            <m:sub>
              <m:r>
                <m:t>k</m:t>
              </m:r>
            </m:sub>
          </m:sSub>
          <m:r>
            <m:rPr>
              <m:sty m:val="p"/>
            </m:rPr>
            <m:t>+</m:t>
          </m:r>
          <m:sSub>
            <m:e>
              <m:r>
                <m:t>S</m:t>
              </m:r>
            </m:e>
            <m:sub>
              <m:r>
                <m:t>k</m:t>
              </m:r>
            </m:sub>
          </m:sSub>
          <m:r>
            <m:rPr>
              <m:sty m:val="p"/>
            </m:rPr>
            <m:t>+</m:t>
          </m:r>
          <m:sSub>
            <m:e>
              <m:r>
                <m:t>R</m:t>
              </m:r>
            </m:e>
            <m:sub>
              <m:r>
                <m:t>k</m:t>
              </m:r>
            </m:sub>
          </m:sSub>
          <m:r>
            <m:rPr>
              <m:sty m:val="p"/>
            </m:rPr>
            <m:t>=</m:t>
          </m:r>
          <m:r>
            <m:t>1</m:t>
          </m:r>
          <m:r>
            <m:rPr>
              <m:sty m:val="p"/>
            </m:rPr>
            <m:t>,</m:t>
          </m:r>
          <m:r>
            <m:t> </m:t>
          </m:r>
          <m:sSub>
            <m:e>
              <m:r>
                <m:t>R</m:t>
              </m:r>
            </m:e>
            <m:sub>
              <m:r>
                <m:t>k</m:t>
              </m:r>
              <m:r>
                <m:rPr>
                  <m:sty m:val="p"/>
                </m:rPr>
                <m:t>&lt;</m:t>
              </m:r>
              <m:r>
                <m:t>K</m:t>
              </m:r>
            </m:sub>
          </m:sSub>
          <m:r>
            <m:rPr>
              <m:sty m:val="p"/>
            </m:rPr>
            <m:t>=</m:t>
          </m:r>
          <m:r>
            <m:t>0</m:t>
          </m:r>
          <m:r>
            <m:rPr>
              <m:sty m:val="p"/>
            </m:rPr>
            <m:t>,</m:t>
          </m:r>
          <m:r>
            <m:t> </m:t>
          </m:r>
          <m:sSub>
            <m:e>
              <m:r>
                <m:t>S</m:t>
              </m:r>
            </m:e>
            <m:sub>
              <m:r>
                <m:t>k</m:t>
              </m:r>
              <m:r>
                <m:rPr>
                  <m:sty m:val="p"/>
                </m:rPr>
                <m:t>≥</m:t>
              </m:r>
              <m:r>
                <m:t>K</m:t>
              </m:r>
            </m:sub>
          </m:sSub>
          <m:r>
            <m:rPr>
              <m:sty m:val="p"/>
            </m:rPr>
            <m:t>=</m:t>
          </m:r>
          <m:r>
            <m:t>0</m:t>
          </m:r>
          <m:r>
            <m:rPr>
              <m:sty m:val="p"/>
            </m:rPr>
            <m:t>.</m:t>
          </m:r>
          <m:r>
            <m:rPr>
              <m:sty m:val="p"/>
            </m:rPr>
            <m:t xml:space="preserve">   (7)</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246"/>
        <w:gridCol w:w="2246"/>
        <w:gridCol w:w="2304"/>
        <w:gridCol w:w="2333"/>
      </w:tblGrid>
      <w:tr>
        <w:trPr>
          <w:tblHeader w:val="true"/>
          <w:cantSplit/>
          <w:tblHeader/>
        </w:trPr>
        <w:tc>
          <w:tcPr>
            <w:tcW w:type="dxa" w:w="86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k</w:t>
            </w:r>
          </w:p>
        </w:tc>
        <w:tc>
          <w:tcPr>
            <w:tcW w:type="dxa" w:w="224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Phenotype %</w:t>
            </w:r>
          </w:p>
        </w:tc>
        <w:tc>
          <w:tcPr>
            <w:tcW w:type="dxa" w:w="224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Resident D %</w:t>
            </w:r>
          </w:p>
        </w:tc>
        <w:tc>
          <w:tcPr>
            <w:tcW w:type="dxa" w:w="230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Pending S %</w:t>
            </w:r>
          </w:p>
        </w:tc>
        <w:tc>
          <w:tcPr>
            <w:tcW w:type="dxa" w:w="2333"/>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Return R %</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73.200000</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1.501794</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71.698206</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2.513899</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70.686101</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2</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3.044795</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70.155205</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3</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3.704795</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69.495205</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4</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4.050025</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69.149975</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5</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4.630648</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68.569352</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6</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4.853503</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68.346497</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7</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8</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r>
      <w:tr>
        <w:trPr>
          <w:cantSplit/>
        </w:trPr>
        <w:tc>
          <w:tcPr>
            <w:tcW w:type="dxa" w:w="86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9</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2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333"/>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r>
      <w:tr>
        <w:trPr>
          <w:cantSplit/>
        </w:trPr>
        <w:tc>
          <w:tcPr>
            <w:tcW w:type="dxa" w:w="86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10</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2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w:t>
            </w:r>
          </w:p>
        </w:tc>
        <w:tc>
          <w:tcPr>
            <w:tcW w:type="dxa" w:w="2333"/>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r>
    </w:tbl>
    <w:bookmarkEnd w:id="22"/>
    <w:bookmarkStart w:id="23" w:name="Xd3c11de6278b2291c7d9fa94aca1a46ae327a11"/>
    <w:p>
      <w:pPr>
        <w:pStyle w:val="Heading2"/>
        <w:ind w:firstLine="0"/>
        <w:jc w:val="left"/>
      </w:pPr>
      <w:r>
        <w:rPr>
          <w:color w:val="000000"/>
        </w:rPr>
        <w:t xml:space="preserve">Resident Actual and complete Actual scopes</w:t>
      </w:r>
    </w:p>
    <w:p>
      <w:pPr>
        <w:pStyle w:val="FirstParagraph"/>
        <w:keepNext/>
        <w:ind w:firstLine="0"/>
        <w:jc w:val="left"/>
      </w:pPr>
      <w:r>
        <w:t xml:space="preserve">Upstream resident Actual is phi+D after the recovery boundary and occupies 31.8% of the full address denominator. The downstream complete Actual ledger accounts for phenotype, resident nonphenotype and the returned provenance of a background response, totaling 100%. This does not mean returned R remains in the resident address state. Its provenance is represented separately in the downstream response ledger.</w:t>
      </w:r>
    </w:p>
    <w:p>
      <w:pPr>
        <w:pStyle w:val="BodyText"/>
        <w:keepLines/>
        <w:spacing w:before="80" w:after="180"/>
        <w:ind w:firstLine="0"/>
        <w:jc w:val="left"/>
      </w:pPr>
      <m:oMathPara>
        <m:oMathParaPr>
          <m:jc m:val="center"/>
        </m:oMathParaPr>
        <m:oMath>
          <m:sSub>
            <m:e>
              <m:r>
                <m:t>A</m:t>
              </m:r>
            </m:e>
            <m:sub>
              <m:r>
                <m:rPr>
                  <m:sty m:val="p"/>
                </m:rPr>
                <m:t>r</m:t>
              </m:r>
              <m:r>
                <m:rPr>
                  <m:sty m:val="p"/>
                </m:rPr>
                <m:t>e</m:t>
              </m:r>
              <m:r>
                <m:rPr>
                  <m:sty m:val="p"/>
                </m:rPr>
                <m:t>s</m:t>
              </m:r>
              <m:r>
                <m:rPr>
                  <m:sty m:val="p"/>
                </m:rPr>
                <m:t>i</m:t>
              </m:r>
              <m:r>
                <m:rPr>
                  <m:sty m:val="p"/>
                </m:rPr>
                <m:t>d</m:t>
              </m:r>
              <m:r>
                <m:rPr>
                  <m:sty m:val="p"/>
                </m:rPr>
                <m:t>e</m:t>
              </m:r>
              <m:r>
                <m:rPr>
                  <m:sty m:val="p"/>
                </m:rPr>
                <m:t>n</m:t>
              </m:r>
              <m:r>
                <m:rPr>
                  <m:sty m:val="p"/>
                </m:rPr>
                <m:t>t</m:t>
              </m:r>
            </m:sub>
          </m:sSub>
          <m:r>
            <m:rPr>
              <m:sty m:val="p"/>
            </m:rPr>
            <m:t>=</m:t>
          </m:r>
          <m:sSub>
            <m:e>
              <m:r>
                <m:t>f</m:t>
              </m:r>
            </m:e>
            <m:sub>
              <m:r>
                <m:t>φ</m:t>
              </m:r>
            </m:sub>
          </m:sSub>
          <m:r>
            <m:rPr>
              <m:sty m:val="p"/>
            </m:rPr>
            <m:t>+</m:t>
          </m:r>
          <m:sSub>
            <m:e>
              <m:r>
                <m:t>f</m:t>
              </m:r>
            </m:e>
            <m:sub>
              <m:r>
                <m:t>D</m:t>
              </m:r>
            </m:sub>
          </m:sSub>
          <m:r>
            <m:rPr>
              <m:sty m:val="p"/>
            </m:rPr>
            <m:t>=</m:t>
          </m:r>
          <m:r>
            <m:t>0.318</m:t>
          </m:r>
          <m:r>
            <m:rPr>
              <m:sty m:val="p"/>
            </m:rPr>
            <m:t>,</m:t>
          </m:r>
          <m:r>
            <m:t>  </m:t>
          </m:r>
          <m:sSub>
            <m:e>
              <m:r>
                <m:t>A</m:t>
              </m:r>
            </m:e>
            <m:sub>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 </m:t>
              </m:r>
              <m:r>
                <m:rPr>
                  <m:sty m:val="p"/>
                </m:rPr>
                <m:t>l</m:t>
              </m:r>
              <m:r>
                <m:rPr>
                  <m:sty m:val="p"/>
                </m:rPr>
                <m:t>e</m:t>
              </m:r>
              <m:r>
                <m:rPr>
                  <m:sty m:val="p"/>
                </m:rPr>
                <m:t>d</m:t>
              </m:r>
              <m:r>
                <m:rPr>
                  <m:sty m:val="p"/>
                </m:rPr>
                <m:t>g</m:t>
              </m:r>
              <m:r>
                <m:rPr>
                  <m:sty m:val="p"/>
                </m:rPr>
                <m:t>e</m:t>
              </m:r>
              <m:r>
                <m:rPr>
                  <m:sty m:val="p"/>
                </m:rPr>
                <m:t>r</m:t>
              </m:r>
            </m:sub>
          </m:sSub>
          <m:r>
            <m:rPr>
              <m:sty m:val="p"/>
            </m:rPr>
            <m:t>=</m:t>
          </m:r>
          <m:sSub>
            <m:e>
              <m:r>
                <m:t>f</m:t>
              </m:r>
            </m:e>
            <m:sub>
              <m:r>
                <m:t>φ</m:t>
              </m:r>
            </m:sub>
          </m:sSub>
          <m:r>
            <m:rPr>
              <m:sty m:val="p"/>
            </m:rPr>
            <m:t>+</m:t>
          </m:r>
          <m:sSub>
            <m:e>
              <m:r>
                <m:t>f</m:t>
              </m:r>
            </m:e>
            <m:sub>
              <m:r>
                <m:t>D</m:t>
              </m:r>
            </m:sub>
          </m:sSub>
          <m:r>
            <m:rPr>
              <m:sty m:val="p"/>
            </m:rPr>
            <m:t>+</m:t>
          </m:r>
          <m:sSub>
            <m:e>
              <m:r>
                <m:t>f</m:t>
              </m:r>
            </m:e>
            <m:sub>
              <m:r>
                <m:t>R</m:t>
              </m:r>
            </m:sub>
          </m:sSub>
          <m:r>
            <m:rPr>
              <m:sty m:val="p"/>
            </m:rPr>
            <m:t>=</m:t>
          </m:r>
          <m:r>
            <m:t>1</m:t>
          </m:r>
          <m:r>
            <m:rPr>
              <m:sty m:val="p"/>
            </m:rPr>
            <m:t>.</m:t>
          </m:r>
          <m:r>
            <m:rPr>
              <m:sty m:val="p"/>
            </m:rPr>
            <m:t xml:space="preserve">   (8)</m:t>
          </m:r>
        </m:oMath>
      </m:oMathPara>
    </w:p>
    <w:p>
      <w:pPr>
        <w:pStyle w:val="FirstParagraph"/>
        <w:keepLines/>
        <w:spacing w:before="80" w:after="180"/>
        <w:ind w:firstLine="0"/>
        <w:jc w:val="left"/>
      </w:pPr>
      <m:oMathPara>
        <m:oMathParaPr>
          <m:jc m:val="center"/>
        </m:oMathParaPr>
        <m:oMath>
          <m:sSub>
            <m:e>
              <m:r>
                <m:t>f</m:t>
              </m:r>
            </m:e>
            <m:sub>
              <m:r>
                <m:t>φ</m:t>
              </m:r>
              <m:r>
                <m:rPr>
                  <m:sty m:val="p"/>
                </m:rPr>
                <m:t>∣</m:t>
              </m:r>
              <m:r>
                <m:t>A</m:t>
              </m:r>
            </m:sub>
          </m:sSub>
          <m:r>
            <m:rPr>
              <m:sty m:val="p"/>
            </m:rPr>
            <m:t>=</m:t>
          </m:r>
          <m:f>
            <m:fPr>
              <m:type m:val="bar"/>
            </m:fPr>
            <m:num>
              <m:sSub>
                <m:e>
                  <m:r>
                    <m:t>f</m:t>
                  </m:r>
                </m:e>
                <m:sub>
                  <m:r>
                    <m:t>φ</m:t>
                  </m:r>
                </m:sub>
              </m:sSub>
            </m:num>
            <m:den>
              <m:sSub>
                <m:e>
                  <m:r>
                    <m:t>f</m:t>
                  </m:r>
                </m:e>
                <m:sub>
                  <m:r>
                    <m:t>φ</m:t>
                  </m:r>
                </m:sub>
              </m:sSub>
              <m:r>
                <m:rPr>
                  <m:sty m:val="p"/>
                </m:rPr>
                <m:t>+</m:t>
              </m:r>
              <m:sSub>
                <m:e>
                  <m:r>
                    <m:t>f</m:t>
                  </m:r>
                </m:e>
                <m:sub>
                  <m:r>
                    <m:t>D</m:t>
                  </m:r>
                </m:sub>
              </m:sSub>
            </m:den>
          </m:f>
          <m:r>
            <m:rPr>
              <m:sty m:val="p"/>
            </m:rPr>
            <m:t>,</m:t>
          </m:r>
          <m:r>
            <m:t> </m:t>
          </m:r>
          <m:sSub>
            <m:e>
              <m:r>
                <m:t>f</m:t>
              </m:r>
            </m:e>
            <m:sub>
              <m:r>
                <m:t>D</m:t>
              </m:r>
              <m:r>
                <m:rPr>
                  <m:sty m:val="p"/>
                </m:rPr>
                <m:t>∣</m:t>
              </m:r>
              <m:r>
                <m:t>A</m:t>
              </m:r>
            </m:sub>
          </m:sSub>
          <m:r>
            <m:rPr>
              <m:sty m:val="p"/>
            </m:rPr>
            <m:t>=</m:t>
          </m:r>
          <m:f>
            <m:fPr>
              <m:type m:val="bar"/>
            </m:fPr>
            <m:num>
              <m:sSub>
                <m:e>
                  <m:r>
                    <m:t>f</m:t>
                  </m:r>
                </m:e>
                <m:sub>
                  <m:r>
                    <m:t>D</m:t>
                  </m:r>
                </m:sub>
              </m:sSub>
            </m:num>
            <m:den>
              <m:sSub>
                <m:e>
                  <m:r>
                    <m:t>f</m:t>
                  </m:r>
                </m:e>
                <m:sub>
                  <m:r>
                    <m:t>φ</m:t>
                  </m:r>
                </m:sub>
              </m:sSub>
              <m:r>
                <m:rPr>
                  <m:sty m:val="p"/>
                </m:rPr>
                <m:t>+</m:t>
              </m:r>
              <m:sSub>
                <m:e>
                  <m:r>
                    <m:t>f</m:t>
                  </m:r>
                </m:e>
                <m:sub>
                  <m:r>
                    <m:t>D</m:t>
                  </m:r>
                </m:sub>
              </m:sSub>
            </m:den>
          </m:f>
          <m:r>
            <m:rPr>
              <m:sty m:val="p"/>
            </m:rPr>
            <m:t>,</m:t>
          </m:r>
          <m:r>
            <m:t> </m:t>
          </m:r>
          <m:sSub>
            <m:e>
              <m:r>
                <m:t>f</m:t>
              </m:r>
            </m:e>
            <m:sub>
              <m:r>
                <m:t>R</m:t>
              </m:r>
              <m:r>
                <m:rPr>
                  <m:sty m:val="p"/>
                </m:rPr>
                <m:t>∣</m:t>
              </m:r>
              <m:r>
                <m:t>A</m:t>
              </m:r>
            </m:sub>
          </m:sSub>
          <m:r>
            <m:rPr>
              <m:sty m:val="p"/>
            </m:rPr>
            <m:t>=</m:t>
          </m:r>
          <m:r>
            <m:t>0</m:t>
          </m:r>
          <m:r>
            <m:rPr>
              <m:sty m:val="p"/>
            </m:rPr>
            <m:t>.</m:t>
          </m:r>
          <m:r>
            <m:rPr>
              <m:sty m:val="p"/>
            </m:rPr>
            <m:t xml:space="preserve">   (9)</m:t>
          </m:r>
        </m:oMath>
      </m:oMathPara>
    </w:p>
    <w:p>
      <w:pPr>
        <w:pStyle w:val="FirstParagraph"/>
        <w:ind w:firstLine="0"/>
        <w:jc w:val="left"/>
      </w:pPr>
      <w:r>
        <w:t xml:space="preserve">Renormalization within the resident scope gives about 15.72327% phenotype and 84.27673% D. These conditional shares differ from the full 5%, 26.8% and 68.2% partition. The following sector, resident and complete rows all use the original denominator. Stored inputs and ledgers remain unrounded; only displayed tables are rounded.</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674"/>
        <w:gridCol w:w="2016"/>
        <w:gridCol w:w="2304"/>
      </w:tblGrid>
      <w:tr>
        <w:trPr>
          <w:tblHeader w:val="true"/>
          <w:cantSplit/>
          <w:tblHeader/>
        </w:trPr>
        <w:tc>
          <w:tcPr>
            <w:tcW w:type="dxa" w:w="567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Scope</w:t>
            </w:r>
          </w:p>
        </w:tc>
        <w:tc>
          <w:tcPr>
            <w:tcW w:type="dxa" w:w="201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Original denominator</w:t>
            </w:r>
          </w:p>
        </w:tc>
        <w:tc>
          <w:tcPr>
            <w:tcW w:type="dxa" w:w="230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Share %</w:t>
            </w:r>
          </w:p>
        </w:tc>
      </w:tr>
      <w:tr>
        <w:trPr>
          <w:cantSplit/>
        </w:trPr>
        <w:tc>
          <w:tcPr>
            <w:tcW w:type="dxa" w:w="567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Phenotype phi</w:t>
            </w:r>
          </w:p>
        </w:tc>
        <w:tc>
          <w:tcPr>
            <w:tcW w:type="dxa" w:w="201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5.00000000</w:t>
            </w:r>
          </w:p>
        </w:tc>
      </w:tr>
      <w:tr>
        <w:trPr>
          <w:cantSplit/>
        </w:trPr>
        <w:tc>
          <w:tcPr>
            <w:tcW w:type="dxa" w:w="567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Resident nonphenotype D</w:t>
            </w:r>
          </w:p>
        </w:tc>
        <w:tc>
          <w:tcPr>
            <w:tcW w:type="dxa" w:w="201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26.80000000</w:t>
            </w:r>
          </w:p>
        </w:tc>
      </w:tr>
      <w:tr>
        <w:trPr>
          <w:cantSplit/>
        </w:trPr>
        <w:tc>
          <w:tcPr>
            <w:tcW w:type="dxa" w:w="567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Return R</w:t>
            </w:r>
          </w:p>
        </w:tc>
        <w:tc>
          <w:tcPr>
            <w:tcW w:type="dxa" w:w="201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68.20000000</w:t>
            </w:r>
          </w:p>
        </w:tc>
      </w:tr>
      <w:tr>
        <w:trPr>
          <w:cantSplit/>
        </w:trPr>
        <w:tc>
          <w:tcPr>
            <w:tcW w:type="dxa" w:w="567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Resident Actual</w:t>
            </w:r>
          </w:p>
        </w:tc>
        <w:tc>
          <w:tcPr>
            <w:tcW w:type="dxa" w:w="201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31.80000000</w:t>
            </w:r>
          </w:p>
        </w:tc>
      </w:tr>
      <w:tr>
        <w:trPr>
          <w:cantSplit/>
        </w:trPr>
        <w:tc>
          <w:tcPr>
            <w:tcW w:type="dxa" w:w="567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Complete accounted Actual</w:t>
            </w:r>
          </w:p>
        </w:tc>
        <w:tc>
          <w:tcPr>
            <w:tcW w:type="dxa" w:w="201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230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100.00000000</w:t>
            </w:r>
          </w:p>
        </w:tc>
      </w:tr>
    </w:tbl>
    <w:bookmarkEnd w:id="23"/>
    <w:bookmarkStart w:id="24" w:name="X9474f759ca770459b4eb3ec28ac96f7ed55e08b"/>
    <w:p>
      <w:pPr>
        <w:pStyle w:val="Heading2"/>
        <w:ind w:firstLine="0"/>
        <w:jc w:val="left"/>
      </w:pPr>
      <w:r>
        <w:rPr>
          <w:color w:val="000000"/>
        </w:rPr>
        <w:t xml:space="preserve">Conditional connection to selected particle channels</w:t>
      </w:r>
    </w:p>
    <w:p>
      <w:pPr>
        <w:pStyle w:val="FirstParagraph"/>
        <w:keepNext/>
        <w:ind w:firstLine="0"/>
        <w:jc w:val="left"/>
      </w:pPr>
      <w:r>
        <w:t xml:space="preserve">The actual 0.8 selection F_DX and its permutation P on sixteen origins are executed unchanged. Phenotype address weight is routed through a conditional origin kernel q_i(n), then the selected permutation and normalized generation state p_g are applied. The reference uses an address-independent 1/16 kernel and 1/3 per generation. A family classified by its odd smallest prime can supply a different normalized kernel; nonuniform kernels and generation weights are executed as controls.</w:t>
      </w:r>
    </w:p>
    <w:p>
      <w:pPr>
        <w:pStyle w:val="BodyText"/>
        <w:keepLines/>
        <w:spacing w:before="80" w:after="180"/>
        <w:ind w:firstLine="0"/>
        <w:jc w:val="left"/>
      </w:pPr>
      <m:oMathPara>
        <m:oMathParaPr>
          <m:jc m:val="center"/>
        </m:oMathParaPr>
        <m:oMath>
          <m:sSub>
            <m:e>
              <m:r>
                <m:t>x</m:t>
              </m:r>
            </m:e>
            <m:sub>
              <m:r>
                <m:t>i</m:t>
              </m:r>
            </m:sub>
          </m:sSub>
          <m:r>
            <m:rPr>
              <m:sty m:val="p"/>
            </m:rPr>
            <m:t>=</m:t>
          </m:r>
          <m:nary>
            <m:naryPr>
              <m:chr m:val="∑"/>
              <m:limLoc m:val="undOvr"/>
              <m:subHide m:val="off"/>
              <m:supHide m:val="on"/>
            </m:naryPr>
            <m:sub>
              <m:r>
                <m:t>n</m:t>
              </m:r>
            </m:sub>
            <m:sup>
              <m:r>
                <m:t>​</m:t>
              </m:r>
            </m:sup>
            <m:e>
              <m:sSub>
                <m:e>
                  <m:r>
                    <m:t>w</m:t>
                  </m:r>
                </m:e>
                <m:sub>
                  <m:r>
                    <m:t>n</m:t>
                  </m:r>
                </m:sub>
              </m:sSub>
            </m:e>
          </m:nary>
          <m:sSub>
            <m:e>
              <m:r>
                <m:t>e</m:t>
              </m:r>
            </m:e>
            <m:sub>
              <m:r>
                <m:t>φ</m:t>
              </m:r>
            </m:sub>
          </m:sSub>
          <m:d>
            <m:dPr>
              <m:begChr m:val="("/>
              <m:endChr m:val=")"/>
              <m:sepChr m:val=""/>
              <m:grow/>
            </m:dPr>
            <m:e>
              <m:r>
                <m:t>n</m:t>
              </m:r>
            </m:e>
          </m:d>
          <m:sSub>
            <m:e>
              <m:r>
                <m:t>q</m:t>
              </m:r>
            </m:e>
            <m:sub>
              <m:r>
                <m:t>i</m:t>
              </m:r>
            </m:sub>
          </m:sSub>
          <m:d>
            <m:dPr>
              <m:begChr m:val="("/>
              <m:endChr m:val=")"/>
              <m:sepChr m:val=""/>
              <m:grow/>
            </m:dPr>
            <m:e>
              <m:r>
                <m:t>n</m:t>
              </m:r>
            </m:e>
          </m:d>
          <m:r>
            <m:rPr>
              <m:sty m:val="p"/>
            </m:rPr>
            <m:t>,</m:t>
          </m:r>
          <m:r>
            <m:t> </m:t>
          </m:r>
          <m:nary>
            <m:naryPr>
              <m:chr m:val="∑"/>
              <m:limLoc m:val="undOvr"/>
              <m:subHide m:val="off"/>
              <m:supHide m:val="on"/>
            </m:naryPr>
            <m:sub>
              <m:r>
                <m:t>i</m:t>
              </m:r>
            </m:sub>
            <m:sup>
              <m:r>
                <m:t>​</m:t>
              </m:r>
            </m:sup>
            <m:e>
              <m:sSub>
                <m:e>
                  <m:r>
                    <m:t>q</m:t>
                  </m:r>
                </m:e>
                <m:sub>
                  <m:r>
                    <m:t>i</m:t>
                  </m:r>
                </m:sub>
              </m:sSub>
            </m:e>
          </m:nary>
          <m:d>
            <m:dPr>
              <m:begChr m:val="("/>
              <m:endChr m:val=")"/>
              <m:sepChr m:val=""/>
              <m:grow/>
            </m:dPr>
            <m:e>
              <m:r>
                <m:t>n</m:t>
              </m:r>
            </m:e>
          </m:d>
          <m:r>
            <m:rPr>
              <m:sty m:val="p"/>
            </m:rPr>
            <m:t>=</m:t>
          </m:r>
          <m:r>
            <m:t>1</m:t>
          </m:r>
          <m:r>
            <m:rPr>
              <m:sty m:val="p"/>
            </m:rPr>
            <m:t>,</m:t>
          </m:r>
          <m:r>
            <m:t>  </m:t>
          </m:r>
          <m:r>
            <m:t>y</m:t>
          </m:r>
          <m:r>
            <m:rPr>
              <m:sty m:val="p"/>
            </m:rPr>
            <m:t>=</m:t>
          </m:r>
          <m:r>
            <m:t>P</m:t>
          </m:r>
          <m:r>
            <m:t>x</m:t>
          </m:r>
          <m:r>
            <m:rPr>
              <m:sty m:val="p"/>
            </m:rPr>
            <m:t>.</m:t>
          </m:r>
          <m:r>
            <m:rPr>
              <m:sty m:val="p"/>
            </m:rPr>
            <m:t xml:space="preserve">   (10)</m:t>
          </m:r>
        </m:oMath>
      </m:oMathPara>
    </w:p>
    <w:p>
      <w:pPr>
        <w:pStyle w:val="FirstParagraph"/>
        <w:keepLines/>
        <w:spacing w:before="80" w:after="180"/>
        <w:ind w:firstLine="0"/>
        <w:jc w:val="left"/>
      </w:pPr>
      <m:oMathPara>
        <m:oMathParaPr>
          <m:jc m:val="center"/>
        </m:oMathParaPr>
        <m:oMath>
          <m:sSub>
            <m:e>
              <m:r>
                <m:t>W</m:t>
              </m:r>
            </m:e>
            <m:sub>
              <m:r>
                <m:t>g</m:t>
              </m:r>
              <m:r>
                <m:rPr>
                  <m:sty m:val="p"/>
                </m:rPr>
                <m:t>,</m:t>
              </m:r>
              <m:r>
                <m:t>i</m:t>
              </m:r>
            </m:sub>
          </m:sSub>
          <m:r>
            <m:rPr>
              <m:sty m:val="p"/>
            </m:rPr>
            <m:t>=</m:t>
          </m:r>
          <m:sSub>
            <m:e>
              <m:r>
                <m:t>p</m:t>
              </m:r>
            </m:e>
            <m:sub>
              <m:r>
                <m:t>g</m:t>
              </m:r>
            </m:sub>
          </m:sSub>
          <m:sSub>
            <m:e>
              <m:r>
                <m:t>y</m:t>
              </m:r>
            </m:e>
            <m:sub>
              <m:r>
                <m:t>i</m:t>
              </m:r>
            </m:sub>
          </m:sSub>
          <m:r>
            <m:rPr>
              <m:sty m:val="p"/>
            </m:rPr>
            <m:t>,</m:t>
          </m:r>
          <m:r>
            <m:t> </m:t>
          </m:r>
          <m:sSup>
            <m:e>
              <m:r>
                <m:t>P</m:t>
              </m:r>
            </m:e>
            <m:sup>
              <m:r>
                <m:rPr>
                  <m:sty m:val="p"/>
                </m:rPr>
                <m:t>†</m:t>
              </m:r>
            </m:sup>
          </m:sSup>
          <m:r>
            <m:t>P</m:t>
          </m:r>
          <m:r>
            <m:rPr>
              <m:sty m:val="p"/>
            </m:rPr>
            <m:t>=</m:t>
          </m:r>
          <m:r>
            <m:t>I</m:t>
          </m:r>
          <m:r>
            <m:rPr>
              <m:sty m:val="p"/>
            </m:rPr>
            <m:t>,</m:t>
          </m:r>
          <m:r>
            <m:t> </m:t>
          </m:r>
          <m:nary>
            <m:naryPr>
              <m:chr m:val="∑"/>
              <m:limLoc m:val="undOvr"/>
              <m:subHide m:val="off"/>
              <m:supHide m:val="on"/>
            </m:naryPr>
            <m:sub>
              <m:r>
                <m:t>g</m:t>
              </m:r>
            </m:sub>
            <m:sup>
              <m:r>
                <m:t>​</m:t>
              </m:r>
            </m:sup>
            <m:e>
              <m:sSub>
                <m:e>
                  <m:r>
                    <m:t>p</m:t>
                  </m:r>
                </m:e>
                <m:sub>
                  <m:r>
                    <m:t>g</m:t>
                  </m:r>
                </m:sub>
              </m:sSub>
            </m:e>
          </m:nary>
          <m:r>
            <m:rPr>
              <m:sty m:val="p"/>
            </m:rPr>
            <m:t>=</m:t>
          </m:r>
          <m:r>
            <m:t>1</m:t>
          </m:r>
          <m:r>
            <m:rPr>
              <m:sty m:val="p"/>
            </m:rPr>
            <m:t>,</m:t>
          </m:r>
          <m:r>
            <m:t> </m:t>
          </m:r>
          <m:nary>
            <m:naryPr>
              <m:chr m:val="∑"/>
              <m:limLoc m:val="undOvr"/>
              <m:subHide m:val="off"/>
              <m:supHide m:val="on"/>
            </m:naryPr>
            <m:sub>
              <m:r>
                <m:t>g</m:t>
              </m:r>
              <m:r>
                <m:rPr>
                  <m:sty m:val="p"/>
                </m:rPr>
                <m:t>,</m:t>
              </m:r>
              <m:r>
                <m:t>i</m:t>
              </m:r>
            </m:sub>
            <m:sup>
              <m:r>
                <m:t>​</m:t>
              </m:r>
            </m:sup>
            <m:e>
              <m:sSub>
                <m:e>
                  <m:r>
                    <m:t>W</m:t>
                  </m:r>
                </m:e>
                <m:sub>
                  <m:r>
                    <m:t>g</m:t>
                  </m:r>
                  <m:r>
                    <m:rPr>
                      <m:sty m:val="p"/>
                    </m:rPr>
                    <m:t>,</m:t>
                  </m:r>
                  <m:r>
                    <m:t>i</m:t>
                  </m:r>
                </m:sub>
              </m:sSub>
            </m:e>
          </m:nary>
          <m:r>
            <m:rPr>
              <m:sty m:val="p"/>
            </m:rPr>
            <m:t>=</m:t>
          </m:r>
          <m:sSub>
            <m:e>
              <m:r>
                <m:t>f</m:t>
              </m:r>
            </m:e>
            <m:sub>
              <m:r>
                <m:t>φ</m:t>
              </m:r>
            </m:sub>
          </m:sSub>
          <m:r>
            <m:rPr>
              <m:sty m:val="p"/>
            </m:rPr>
            <m:t>.</m:t>
          </m:r>
          <m:r>
            <m:rPr>
              <m:sty m:val="p"/>
            </m:rPr>
            <m:t xml:space="preserve">   (11)</m:t>
          </m:r>
        </m:oMath>
      </m:oMathPara>
    </w:p>
    <w:p>
      <w:pPr>
        <w:pStyle w:val="FirstParagraph"/>
        <w:ind w:firstLine="0"/>
        <w:jc w:val="left"/>
      </w:pPr>
      <w:r>
        <w:t xml:space="preserve">The address-to-channel correspondence is a disclosed constitutive input. It does not uniquely derive particle identities or masses from prime genealogy. Y and Q use the same 0.8 charge operator. The weights below divide the reference 5% phenotype budget and are not measured particle populations or new cosmic composition fractions. The inventory retains 45 Standard-Model chiral components and three conditional neutral extension slots; their existence, mass and occupation are not measured here.</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152"/>
        <w:gridCol w:w="2880"/>
        <w:gridCol w:w="3946"/>
      </w:tblGrid>
      <w:tr>
        <w:trPr>
          <w:tblHeader w:val="true"/>
          <w:cantSplit/>
          <w:tblHeader/>
        </w:trPr>
        <w:tc>
          <w:tcPr>
            <w:tcW w:type="dxa" w:w="2016"/>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Field</w:t>
            </w:r>
          </w:p>
        </w:tc>
        <w:tc>
          <w:tcPr>
            <w:tcW w:type="dxa" w:w="115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Count</w:t>
            </w:r>
          </w:p>
        </w:tc>
        <w:tc>
          <w:tcPr>
            <w:tcW w:type="dxa" w:w="288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Y</w:t>
            </w:r>
          </w:p>
        </w:tc>
        <w:tc>
          <w:tcPr>
            <w:tcW w:type="dxa" w:w="394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Full ledger weight %</w:t>
            </w:r>
          </w:p>
        </w:tc>
      </w:tr>
      <w:tr>
        <w:trPr>
          <w:cantSplit/>
        </w:trPr>
        <w:tc>
          <w:tcPr>
            <w:tcW w:type="dxa" w:w="201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Q_L</w:t>
            </w:r>
          </w:p>
        </w:tc>
        <w:tc>
          <w:tcPr>
            <w:tcW w:type="dxa" w:w="115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18</w:t>
            </w:r>
          </w:p>
        </w:tc>
        <w:tc>
          <w:tcPr>
            <w:tcW w:type="dxa" w:w="288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1/6</w:t>
            </w:r>
          </w:p>
        </w:tc>
        <w:tc>
          <w:tcPr>
            <w:tcW w:type="dxa" w:w="39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1.87500000</w:t>
            </w:r>
          </w:p>
        </w:tc>
      </w:tr>
      <w:tr>
        <w:trPr>
          <w:cantSplit/>
        </w:trPr>
        <w:tc>
          <w:tcPr>
            <w:tcW w:type="dxa" w:w="201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L_L</w:t>
            </w:r>
          </w:p>
        </w:tc>
        <w:tc>
          <w:tcPr>
            <w:tcW w:type="dxa" w:w="115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w:t>
            </w:r>
          </w:p>
        </w:tc>
        <w:tc>
          <w:tcPr>
            <w:tcW w:type="dxa" w:w="288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-1/2</w:t>
            </w:r>
          </w:p>
        </w:tc>
        <w:tc>
          <w:tcPr>
            <w:tcW w:type="dxa" w:w="39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0.62500000</w:t>
            </w:r>
          </w:p>
        </w:tc>
      </w:tr>
      <w:tr>
        <w:trPr>
          <w:cantSplit/>
        </w:trPr>
        <w:tc>
          <w:tcPr>
            <w:tcW w:type="dxa" w:w="201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u_c</w:t>
            </w:r>
          </w:p>
        </w:tc>
        <w:tc>
          <w:tcPr>
            <w:tcW w:type="dxa" w:w="115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w:t>
            </w:r>
          </w:p>
        </w:tc>
        <w:tc>
          <w:tcPr>
            <w:tcW w:type="dxa" w:w="288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39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0.93750000</w:t>
            </w:r>
          </w:p>
        </w:tc>
      </w:tr>
      <w:tr>
        <w:trPr>
          <w:cantSplit/>
        </w:trPr>
        <w:tc>
          <w:tcPr>
            <w:tcW w:type="dxa" w:w="201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d_c</w:t>
            </w:r>
          </w:p>
        </w:tc>
        <w:tc>
          <w:tcPr>
            <w:tcW w:type="dxa" w:w="115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9</w:t>
            </w:r>
          </w:p>
        </w:tc>
        <w:tc>
          <w:tcPr>
            <w:tcW w:type="dxa" w:w="288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1/3</w:t>
            </w:r>
          </w:p>
        </w:tc>
        <w:tc>
          <w:tcPr>
            <w:tcW w:type="dxa" w:w="39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0.93750000</w:t>
            </w:r>
          </w:p>
        </w:tc>
      </w:tr>
      <w:tr>
        <w:trPr>
          <w:cantSplit/>
        </w:trPr>
        <w:tc>
          <w:tcPr>
            <w:tcW w:type="dxa" w:w="201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nu_c</w:t>
            </w:r>
          </w:p>
        </w:tc>
        <w:tc>
          <w:tcPr>
            <w:tcW w:type="dxa" w:w="115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288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394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0.31250000</w:t>
            </w:r>
          </w:p>
        </w:tc>
      </w:tr>
      <w:tr>
        <w:trPr>
          <w:cantSplit/>
        </w:trPr>
        <w:tc>
          <w:tcPr>
            <w:tcW w:type="dxa" w:w="201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e_c</w:t>
            </w:r>
          </w:p>
        </w:tc>
        <w:tc>
          <w:tcPr>
            <w:tcW w:type="dxa" w:w="115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w:t>
            </w:r>
          </w:p>
        </w:tc>
        <w:tc>
          <w:tcPr>
            <w:tcW w:type="dxa" w:w="288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394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0.31250000</w:t>
            </w:r>
          </w:p>
        </w:tc>
      </w:tr>
    </w:tbl>
    <w:bookmarkEnd w:id="24"/>
    <w:bookmarkStart w:id="25" w:name="X15166a050135eff69d9de55b15152be4445bf99"/>
    <w:p>
      <w:pPr>
        <w:pStyle w:val="Heading2"/>
        <w:ind w:firstLine="0"/>
        <w:jc w:val="left"/>
      </w:pPr>
      <w:r>
        <w:rPr>
          <w:color w:val="000000"/>
        </w:rPr>
        <w:t xml:space="preserve">The next boundary to physical energy and pressure</w:t>
      </w:r>
    </w:p>
    <w:p>
      <w:pPr>
        <w:pStyle w:val="FirstParagraph"/>
        <w:ind w:firstLine="0"/>
        <w:jc w:val="left"/>
      </w:pPr>
      <w:r>
        <w:t xml:space="preserve">The common arithmetic partition is 5%, 26.8% and 68.2%, while the 0.6 to 0.8 physical energy calibration remains 4.93%, 26.5% and 68.57%. Separate ledgers preserve both; arithmetic calibration never silently overwrites physical inputs. Existing 0.8 load and pressure calculations leading to gravity and expansion are reproduced. Returned provenance is structurally assigned to the background-response branch in physical_bridge, but its energy and pressure functions remain unset.</w:t>
      </w:r>
    </w:p>
    <w:p>
      <w:pPr>
        <w:pStyle w:val="BodyText"/>
        <w:keepNext/>
        <w:ind w:firstLine="0"/>
        <w:jc w:val="left"/>
      </w:pPr>
      <w:r>
        <w:t xml:space="preserve">Version 0.10 must specify physical energy load epsilon_s(n,V), sector coupling and volume dependence. The following relation is a requirement for that interface, not an executed 0.9 output. The fixed state mathcal S means the address state, effects and coupling configuration, distinct from pending SOURCE S_k. R=68.2% alone does not determine pressure, and 95:5 alone does not determine length. Existing expansion response and the future causal account of twist remain distinct. The SI defining value of c stays a fixed input.</w:t>
      </w:r>
    </w:p>
    <w:p>
      <w:pPr>
        <w:pStyle w:val="BodyText"/>
        <w:keepLines/>
        <w:spacing w:before="80" w:after="180"/>
        <w:ind w:firstLine="0"/>
        <w:jc w:val="left"/>
      </w:pPr>
      <m:oMathPara>
        <m:oMathParaPr>
          <m:jc m:val="center"/>
        </m:oMathParaPr>
        <m:oMath>
          <m:sSub>
            <m:e>
              <m:r>
                <m:t>E</m:t>
              </m:r>
            </m:e>
            <m:sub>
              <m:r>
                <m:t>s</m:t>
              </m:r>
            </m:sub>
          </m:sSub>
          <m:d>
            <m:dPr>
              <m:begChr m:val="("/>
              <m:endChr m:val=")"/>
              <m:sepChr m:val=""/>
              <m:grow/>
            </m:dPr>
            <m:e>
              <m:r>
                <m:t>V</m:t>
              </m:r>
            </m:e>
          </m:d>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sSub>
            <m:e>
              <m:r>
                <m:t>ϵ</m:t>
              </m:r>
            </m:e>
            <m:sub>
              <m:r>
                <m:t>s</m:t>
              </m:r>
            </m:sub>
          </m:sSub>
          <m:d>
            <m:dPr>
              <m:begChr m:val="("/>
              <m:endChr m:val=")"/>
              <m:sepChr m:val=""/>
              <m:grow/>
            </m:dPr>
            <m:e>
              <m:r>
                <m:t>n</m:t>
              </m:r>
              <m:r>
                <m:rPr>
                  <m:sty m:val="p"/>
                </m:rPr>
                <m:t>,</m:t>
              </m:r>
              <m:r>
                <m:t>V</m:t>
              </m:r>
            </m:e>
          </m:d>
          <m:r>
            <m:rPr>
              <m:sty m:val="p"/>
            </m:rPr>
            <m:t>,</m:t>
          </m:r>
          <m:r>
            <m:t>  </m:t>
          </m:r>
          <m:sSub>
            <m:e>
              <m:r>
                <m:t>P</m:t>
              </m:r>
            </m:e>
            <m:sub>
              <m:r>
                <m:t>s</m:t>
              </m:r>
            </m:sub>
          </m:sSub>
          <m:r>
            <m:rPr>
              <m:sty m:val="p"/>
            </m:rPr>
            <m:t>=</m:t>
          </m:r>
          <m:r>
            <m:rPr>
              <m:sty m:val="p"/>
            </m:rPr>
            <m:t>−</m:t>
          </m:r>
          <m:sSub>
            <m:e>
              <m:d>
                <m:dPr>
                  <m:begChr m:val=""/>
                  <m:endChr m:val="|"/>
                  <m:sepChr m:val=""/>
                  <m:grow/>
                </m:dPr>
                <m:e>
                  <m:f>
                    <m:fPr>
                      <m:type m:val="bar"/>
                    </m:fPr>
                    <m:num>
                      <m:r>
                        <m:rPr>
                          <m:sty m:val="p"/>
                        </m:rPr>
                        <m:t>∂</m:t>
                      </m:r>
                      <m:sSub>
                        <m:e>
                          <m:r>
                            <m:t>E</m:t>
                          </m:r>
                        </m:e>
                        <m:sub>
                          <m:r>
                            <m:t>s</m:t>
                          </m:r>
                        </m:sub>
                      </m:sSub>
                    </m:num>
                    <m:den>
                      <m:r>
                        <m:rPr>
                          <m:sty m:val="p"/>
                        </m:rPr>
                        <m:t>∂</m:t>
                      </m:r>
                      <m:r>
                        <m:t>V</m:t>
                      </m:r>
                    </m:den>
                  </m:f>
                </m:e>
              </m:d>
            </m:e>
            <m:sub>
              <m:r>
                <m:rPr>
                  <m:sty m:val="p"/>
                  <m:scr m:val="script"/>
                </m:rPr>
                <m:t>S</m:t>
              </m:r>
            </m:sub>
          </m:sSub>
          <m:r>
            <m:rPr>
              <m:sty m:val="p"/>
            </m:rPr>
            <m:t>.</m:t>
          </m:r>
          <m:r>
            <m:rPr>
              <m:sty m:val="p"/>
            </m:rPr>
            <m:t xml:space="preserve">   (12)</m:t>
          </m:r>
        </m:oMath>
      </m:oMathPara>
    </w:p>
    <w:p>
      <w:pPr>
        <w:pStyle w:val="FirstParagraph"/>
        <w:ind w:firstLine="0"/>
        <w:jc w:val="left"/>
      </w:pPr>
      <w:r>
        <w:t xml:space="preserve">Subsequent stages separate update order from physical time, address cutoff from zeta cutoff and information capacity, and local thresholds from global Capacity. Microscopic generation of upstream inputs, global overload and reset, initial opening and initial cutoff selection remain upstream questions. Software execution provenance is not called a physical observation record or an accumulated twist record.</w:t>
      </w:r>
    </w:p>
    <w:bookmarkEnd w:id="25"/>
    <w:bookmarkStart w:id="26" w:name="verification-and-reproduction"/>
    <w:p>
      <w:pPr>
        <w:pStyle w:val="Heading2"/>
        <w:ind w:firstLine="0"/>
        <w:jc w:val="left"/>
      </w:pPr>
      <w:r>
        <w:rPr>
          <w:color w:val="000000"/>
        </w:rPr>
        <w:t xml:space="preserve">Verification and reproduction</w:t>
      </w:r>
    </w:p>
    <w:p>
      <w:pPr>
        <w:pStyle w:val="FirstParagraph"/>
        <w:ind w:firstLine="0"/>
        <w:jc w:val="left"/>
      </w:pPr>
      <w:r>
        <w:t xml:space="preserve">The 27 groups cover independent primality, frozen upstream code and results, independently checked zeta heights, cumulative products versus depletion, address and frame conservation, Actual denominators, equality of all 0.8 results, nonuniform channel coupling, arbitrary diagonal states and effect positivity on a small coherent state, explicit arithmetic refitting, boundary changes, equal aggregates from different microscopic rules, separate cutoffs, rejection of sixteen invalid inputs, and provenance hashes. Revision r1 also checks twenty exhaustive sparse-kernel cases; direct positive accumulation preserves zero channel support without negative cancellation residuals.</w:t>
      </w:r>
    </w:p>
    <w:p>
      <w:pPr>
        <w:pStyle w:val="BodyText"/>
        <w:ind w:firstLine="0"/>
        <w:jc w:val="left"/>
      </w:pPr>
      <w:r>
        <w:t xml:space="preserve">Changing K to 4 and 16 with other calibrations frozen gives phenotype about 3.704795% and 5.682474%. With xi=0, explicitly refitting h restores 5% while address admissions differ. Aggregate reproduction therefore does not establish a unique microscopic rule. Explanatory reproduction under validated calibration and declared rules is accepted; prediction is reserved for later unmeasured outputs after model fixation.</w:t>
      </w:r>
    </w:p>
    <w:p>
      <w:pPr>
        <w:pStyle w:val="SourceCode"/>
        <w:ind w:firstLine="0"/>
        <w:jc w:val="left"/>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calculations/wrra_m_0_9/requirements.txt</w:t>
      </w:r>
      <w:r>
        <w:br/>
      </w:r>
      <w:r>
        <w:rPr>
          <w:rStyle w:val="ExtensionTok"/>
        </w:rPr>
        <w:t xml:space="preserve">python</w:t>
      </w:r>
      <w:r>
        <w:rPr>
          <w:rStyle w:val="NormalTok"/>
        </w:rPr>
        <w:t xml:space="preserve"> calculations/wrra_m_0_9/run_release.py</w:t>
      </w:r>
    </w:p>
    <w:p>
      <w:pPr>
        <w:pStyle w:val="FirstParagraph"/>
        <w:ind w:firstLine="0"/>
        <w:jc w:val="left"/>
      </w:pPr>
      <w:r>
        <w:t xml:space="preserve">From the archive root, the command generates the input and result JSON, frame, scope, address and channel CSVs, and verification report. Parameters.json is the single configuration input, embedding the 0.8 input and five upstream snapshots. A clean copy removes captured outputs before execution and checks byte-identical reproduction and the SHA256 manifest. Bilingual equations and calculated tables are matched.</w:t>
      </w:r>
    </w:p>
    <w:p>
      <w:pPr>
        <w:pStyle w:val="BodyText"/>
        <w:ind w:firstLine="0"/>
        <w:jc w:val="left"/>
      </w:pPr>
      <w:r>
        <w:t xml:space="preserve">Input SHA256 7986e6afcbe26e3546111387f34f953147e16cb3c8cb6b900264adf214e51e95</w:t>
      </w:r>
    </w:p>
    <w:bookmarkEnd w:id="26"/>
    <w:bookmarkStart w:id="27" w:name="subsequent-development-order"/>
    <w:p>
      <w:pPr>
        <w:pStyle w:val="Heading2"/>
        <w:ind w:firstLine="0"/>
        <w:jc w:val="left"/>
      </w:pPr>
      <w:r>
        <w:rPr>
          <w:color w:val="000000"/>
        </w:rPr>
        <w:t xml:space="preserve">Subsequent development order</w:t>
      </w:r>
    </w:p>
    <w:p>
      <w:pPr>
        <w:pStyle w:val="FirstParagraph"/>
        <w:ind w:firstLine="0"/>
        <w:jc w:val="left"/>
      </w:pPr>
      <w:r>
        <w:t xml:space="preserve">The sequence continues with 0.10 energy and pressure mapping; 0.11 sequential calibration G → H0 → f_phi → f_c → m_e c^2; 0.12 shutter, proper time and spectra; 0.13 quantization, observation and records; 0.14 cutoffs and capacity; 0.15 stress, twist and size; 0.16 neutrino mass, mixing and oscillation; 0.17 propagation in the same geometry; and 1.0 integration audit and fixation. Each version closes through verification input, WRRA-specific transformation, output and falsification conditions.</w:t>
      </w:r>
    </w:p>
    <w:bookmarkEnd w:id="27"/>
    <w:bookmarkStart w:id="28" w:name="references"/>
    <w:p>
      <w:pPr>
        <w:pStyle w:val="Heading2"/>
        <w:keepNext/>
        <w:ind w:firstLine="0"/>
        <w:jc w:val="left"/>
      </w:pPr>
      <w:r>
        <w:rPr>
          <w:color w:val="000000"/>
        </w:rPr>
        <w:t xml:space="preserve">References</w:t>
      </w:r>
    </w:p>
    <w:p>
      <w:pPr>
        <w:pStyle w:val="FirstParagraph"/>
        <w:keepNext/>
        <w:spacing w:line="240" w:lineRule="auto" w:after="60"/>
        <w:ind w:firstLine="0"/>
        <w:jc w:val="left"/>
      </w:pPr>
      <w:r>
        <w:rPr>
          <w:sz w:val="20"/>
        </w:rPr>
        <w:t xml:space="preserve">Choi Wonsik. WRRA-M 0.1 to 0.8 and upstream hypotheses. GitHub research repository. https://github.com/Wonsik-Choi-janefather/wrra-m-0.1</w:t>
      </w:r>
    </w:p>
    <w:p>
      <w:pPr>
        <w:pStyle w:val="BodyText"/>
        <w:keepNext/>
        <w:spacing w:line="240" w:lineRule="auto" w:after="60"/>
        <w:ind w:firstLine="0"/>
        <w:jc w:val="left"/>
      </w:pPr>
      <w:r>
        <w:rPr>
          <w:sz w:val="20"/>
        </w:rPr>
        <w:t xml:space="preserve">Choi Wonsik. Upstream two stage filter v1.0 and zeta frame v0.1. Source commit 9ca21c547e5238be34ceace5a1015db50cb824ff. Included reference snapshots.</w:t>
      </w:r>
    </w:p>
    <w:p>
      <w:pPr>
        <w:pStyle w:val="BodyText"/>
        <w:keepNext/>
        <w:spacing w:line="240" w:lineRule="auto" w:after="60"/>
        <w:ind w:firstLine="0"/>
        <w:jc w:val="left"/>
      </w:pPr>
      <w:r>
        <w:rPr>
          <w:sz w:val="20"/>
        </w:rPr>
        <w:t xml:space="preserve">Choi Wonsik. Minimal Computation Cosmology 2.3.2. Common carrier baseline. https://github.com/Wonsik-Choi-janefather/minimal-computing-cosmology-2.3.2</w:t>
      </w:r>
    </w:p>
    <w:p>
      <w:pPr>
        <w:pStyle w:val="BodyText"/>
        <w:keepNext w:val="0"/>
        <w:spacing w:line="240" w:lineRule="auto" w:after="60"/>
        <w:ind w:firstLine="0"/>
        <w:jc w:val="left"/>
      </w:pPr>
      <w:r>
        <w:rPr>
          <w:sz w:val="20"/>
        </w:rPr>
        <w:t xml:space="preserve">NIST Digital Library of Mathematical Functions. Sections 25.10 and 25.11 iii. Zeta zeros and Euler Maclaurin representation. https://dlmf.nist.gov/25.10 https://dlmf.nist.gov/25.11</w:t>
      </w:r>
    </w:p>
    <w:bookmarkEnd w:id="28"/>
    <w:bookmarkEnd w:id="29"/>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Liberation Serif" w:hAnsi="Liberation Serif" w:eastAsia="Noto Sans CJK KR"/>
      <w:color w:val="000000"/>
      <w:sz w:val="22"/>
    </w:rPr>
  </w:style>
  <w:style w:styleId="BodyText" w:type="paragraph">
    <w:name w:val="Body Text"/>
    <w:basedOn w:val="Normal"/>
    <w:link w:val="BodyTextChar"/>
    <w:pPr>
      <w:spacing w:after="80" w:before="180" w:line="252" w:lineRule="auto"/>
    </w:pPr>
    <w:qFormat/>
    <w:rPr>
      <w:rFonts w:ascii="Liberation Serif" w:hAnsi="Liberation Serif" w:eastAsia="Noto Sans CJK KR"/>
      <w:color w:val="000000"/>
      <w:sz w:val="22"/>
    </w:rPr>
  </w:style>
  <w:style w:customStyle="1" w:styleId="FirstParagraph" w:type="paragraph">
    <w:name w:val="First Paragraph"/>
    <w:basedOn w:val="BodyText"/>
    <w:next w:val="BodyText"/>
    <w:qFormat/>
    <w:pPr>
      <w:spacing w:after="80" w:line="252" w:lineRule="auto"/>
    </w:pPr>
    <w:rPr>
      <w:rFonts w:ascii="Liberation Serif" w:hAnsi="Liberation Serif" w:eastAsia="Noto Sans CJK KR"/>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oto Sans CJK KR"/>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oto Sans CJK KR"/>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oto Sans CJK KR"/>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oto Sans CJK KR"/>
      <w:color w:val="000000"/>
      <w:sz w:val="34"/>
    </w:rPr>
  </w:style>
  <w:style w:type="paragraph" w:customStyle="1" w:styleId="Heading2">
    <w:name w:val="heading 2"/>
    <w:basedOn w:val="Normal"/>
    <w:pPr>
      <w:keepNext/>
      <w:spacing w:after="140" w:line="271" w:lineRule="auto" w:before="260"/>
    </w:pPr>
    <w:rPr>
      <w:rFonts w:ascii="Liberation Sans" w:hAnsi="Liberation Sans" w:eastAsia="Noto Sans CJK KR"/>
      <w:color w:val="000000"/>
      <w:sz w:val="28"/>
    </w:rPr>
  </w:style>
  <w:style w:type="paragraph" w:customStyle="1" w:styleId="Heading3">
    <w:name w:val="heading 3"/>
    <w:basedOn w:val="Normal"/>
    <w:pPr>
      <w:keepNext/>
      <w:spacing w:after="140" w:line="271" w:lineRule="auto"/>
    </w:pPr>
    <w:rPr>
      <w:rFonts w:ascii="Liberation Sans" w:hAnsi="Liberation Sans" w:eastAsia="Noto Sans CJK KR"/>
      <w:color w:val="000000"/>
      <w:sz w:val="24"/>
    </w:rPr>
  </w:style>
  <w:style w:type="paragraph" w:customStyle="1" w:styleId="Caption">
    <w:name w:val="caption"/>
    <w:basedOn w:val="Normal"/>
    <w:pPr>
      <w:spacing w:after="140" w:line="271" w:lineRule="auto"/>
    </w:pPr>
    <w:rPr>
      <w:rFonts w:ascii="Liberation Serif" w:hAnsi="Liberation Serif" w:eastAsia="Noto Sans CJK KR"/>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0.9 Common Sector Accounting and the Upstream Input Contract</dc:title>
  <dc:creator>Wonsik Choi</dc:creator>
  <cp:keywords/>
  <dcterms:created xsi:type="dcterms:W3CDTF">2026-10-01T22:51:42Z</dcterms:created>
  <dcterms:modified xsi:type="dcterms:W3CDTF">2026-10-01T22:51:42Z</dcterms:modified>
  <dc:subject>EN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