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wrra-m-0-9-세-부문의-공통-장부와-상류-입력-연결"/>
    <w:p>
      <w:pPr>
        <w:pStyle w:val="Title"/>
        <w:ind w:firstLine="0"/>
        <w:jc w:val="left"/>
      </w:pPr>
      <w:r>
        <w:rPr>
          <w:color w:val="000000"/>
        </w:rPr>
        <w:t xml:space="preserve">WRRA M 0 9 세 부문의 공통 장부와 상류 입력 연결</w:t>
      </w:r>
    </w:p>
    <w:p>
      <w:pPr>
        <w:pStyle w:val="FirstParagraph"/>
        <w:ind w:firstLine="0"/>
        <w:jc w:val="left"/>
      </w:pPr>
      <w:r>
        <w:t xml:space="preserve">같은 분모의 산술 보정과 입자 채널 연결</w:t>
      </w:r>
    </w:p>
    <w:p>
      <w:pPr>
        <w:pStyle w:val="BodyText"/>
        <w:ind w:firstLine="0"/>
        <w:jc w:val="left"/>
      </w:pPr>
      <w:r>
        <w:t xml:space="preserve">최원식 Wonsik Choi</w:t>
      </w:r>
    </w:p>
    <w:p>
      <w:pPr>
        <w:pStyle w:val="BodyText"/>
        <w:ind w:firstLine="0"/>
        <w:jc w:val="left"/>
      </w:pPr>
      <w:r>
        <w:t xml:space="preserve">WRRA-M 0.9-r1 | 2026-10-02</w:t>
      </w:r>
    </w:p>
    <w:p>
      <w:pPr>
        <w:pStyle w:val="BodyText"/>
        <w:ind w:firstLine="0"/>
        <w:jc w:val="left"/>
      </w:pPr>
      <w:r>
        <w:t xml:space="preserve">Independent Researcher Seoul Republic of Korea</w:t>
      </w:r>
    </w:p>
    <w:p>
      <w:pPr>
        <w:pStyle w:val="BodyText"/>
        <w:ind w:firstLine="0"/>
        <w:jc w:val="left"/>
      </w:pPr>
      <w:r>
        <w:t xml:space="preserve">ORCID 0009-0001-4263-9772 | janefather@gmail.com</w:t>
      </w:r>
    </w:p>
    <w:bookmarkStart w:id="20" w:name="판정-범위와-완료-결과"/>
    <w:p>
      <w:pPr>
        <w:pStyle w:val="Heading2"/>
        <w:ind w:firstLine="0"/>
        <w:jc w:val="left"/>
      </w:pPr>
      <w:r>
        <w:rPr>
          <w:color w:val="000000"/>
        </w:rPr>
        <w:t xml:space="preserve">판정 범위와 완료 결과</w:t>
      </w:r>
    </w:p>
    <w:p>
      <w:pPr>
        <w:pStyle w:val="FirstParagraph"/>
        <w:ind w:firstLine="0"/>
        <w:jc w:val="left"/>
      </w:pPr>
      <w:r>
        <w:t xml:space="preserve">0.9는 상류의 표현형·비표현형 잔존·복귀를 같은 주소 가중치와 분모로 계산하고, 채택한 0.8 필터의 입자 채널에 연결한다. 검증 입력은 WRRA Core 1.0, MCC 2.3.2, 동결한 0.8 입력과 상류 두 단계 필터 및 제타 영점 갱신 계산이다. 알려진 입자 배정과 구성비를 보정에 사용하는 것을 모형 구성 방법으로 인정한다.</w:t>
      </w:r>
    </w:p>
    <w:p>
      <w:pPr>
        <w:pStyle w:val="BodyText"/>
        <w:ind w:firstLine="0"/>
        <w:jc w:val="left"/>
      </w:pPr>
      <w:r>
        <w:t xml:space="preserve">WRRA 고유 변환은 주소별 상태와 스펙트럼을 받아 고갈되는 저장분의 누적 입장을 계산하고, 복귀 경계에서 세 부문 장부를 닫은 뒤, 정규화한 조건부 채널 배분과 실제 선택 순열을 적용하는 것이다. 산출값은 5%·26.8%·68.2%, 잔존 Actual 31.8%, 전체 집계 100%, 48개 채널 장부다. 27개 검증 묶음을 통과했으며 기존 0.8의 9개 결과와 전하표가 그대로 재현된다.</w:t>
      </w:r>
    </w:p>
    <w:p>
      <w:pPr>
        <w:pStyle w:val="BodyText"/>
        <w:ind w:firstLine="0"/>
        <w:jc w:val="left"/>
      </w:pPr>
      <w:r>
        <w:t xml:space="preserve">반증조건은 고정 입력에서의 보정 재현 실패, 음수 또는 불완전한 부문 효과, 전환 장부 불일치, 채널·세대 중복 합산, 전하 불일치와 미공개 보정 변경이다. 산술 부하를 물리 에너지·압력으로 사상하는 작업은 0.10에, 개별 0/1 측정 결과와 기록은 0.13에 배정한다. 이번 판의 입장 가중치는 결정론적으로 계산한 기대 수송량이며 물리적 Born 측정확률을 새로 구현한 결과가 아니다.</w:t>
      </w:r>
    </w:p>
    <w:bookmarkEnd w:id="20"/>
    <w:bookmarkStart w:id="21" w:name="같은-분모의-주소-상태와-보정"/>
    <w:p>
      <w:pPr>
        <w:pStyle w:val="Heading2"/>
        <w:ind w:firstLine="0"/>
        <w:jc w:val="left"/>
      </w:pPr>
      <w:r>
        <w:rPr>
          <w:color w:val="000000"/>
        </w:rPr>
        <w:t xml:space="preserve">같은 분모의 주소 상태와 보정</w:t>
      </w:r>
    </w:p>
    <w:p>
      <w:pPr>
        <w:pStyle w:val="FirstParagraph"/>
        <w:keepNext/>
        <w:ind w:firstLine="0"/>
        <w:jc w:val="left"/>
      </w:pPr>
      <w:r>
        <w:t xml:space="preserve">주소 n은 2부터 N_address=1,000,000까지다. 같은 n^-alpha 가중치를 모든 부문에 사용한다. 소수는 초기 SOURCE 저장분, 짝수 합성수는 비표현형 잔존 D, 홀수 합성수는 입장 가능한 표현형 지지로 배정한다. 이 소수 분류의 물리적 해석과 분기 기원은 구성 가정이며 상류 과제로 남는다.</w:t>
      </w:r>
    </w:p>
    <w:p>
      <w:pPr>
        <w:pStyle w:val="BodyText"/>
        <w:keepLines/>
        <w:spacing w:before="80" w:after="180"/>
        <w:ind w:firstLine="0"/>
        <w:jc w:val="left"/>
      </w:pPr>
      <m:oMathPara>
        <m:oMathParaPr>
          <m:jc m:val="center"/>
        </m:oMathParaPr>
        <m:oMath>
          <m:sSub>
            <m:e>
              <m:r>
                <m:t>w</m:t>
              </m:r>
            </m:e>
            <m:sub>
              <m:r>
                <m:t>n</m:t>
              </m:r>
            </m:sub>
          </m:sSub>
          <m:r>
            <m:rPr>
              <m:sty m:val="p"/>
            </m:rPr>
            <m:t>=</m:t>
          </m:r>
          <m:f>
            <m:fPr>
              <m:type m:val="bar"/>
            </m:fPr>
            <m:num>
              <m:sSup>
                <m:e>
                  <m:r>
                    <m:t>n</m:t>
                  </m:r>
                </m:e>
                <m:sup>
                  <m:r>
                    <m:rPr>
                      <m:sty m:val="p"/>
                    </m:rPr>
                    <m:t>−</m:t>
                  </m:r>
                  <m:r>
                    <m:t>α</m:t>
                  </m:r>
                </m:sup>
              </m:sSup>
            </m:num>
            <m:den>
              <m:nary>
                <m:naryPr>
                  <m:chr m:val="∑"/>
                  <m:limLoc m:val="undOvr"/>
                  <m:subHide m:val="off"/>
                  <m:supHide m:val="off"/>
                </m:naryPr>
                <m:sub>
                  <m:r>
                    <m:t>m</m:t>
                  </m:r>
                  <m:r>
                    <m:rPr>
                      <m:sty m:val="p"/>
                    </m:rPr>
                    <m:t>=</m:t>
                  </m:r>
                  <m:r>
                    <m:t>2</m:t>
                  </m:r>
                </m:sub>
                <m:sup>
                  <m:sSub>
                    <m:e>
                      <m:r>
                        <m:t>N</m:t>
                      </m:r>
                    </m:e>
                    <m:sub>
                      <m:r>
                        <m:rPr>
                          <m:sty m:val="p"/>
                        </m:rPr>
                        <m:t>a</m:t>
                      </m:r>
                      <m:r>
                        <m:rPr>
                          <m:sty m:val="p"/>
                        </m:rPr>
                        <m:t>d</m:t>
                      </m:r>
                      <m:r>
                        <m:rPr>
                          <m:sty m:val="p"/>
                        </m:rPr>
                        <m:t>d</m:t>
                      </m:r>
                      <m:r>
                        <m:rPr>
                          <m:sty m:val="p"/>
                        </m:rPr>
                        <m:t>r</m:t>
                      </m:r>
                      <m:r>
                        <m:rPr>
                          <m:sty m:val="p"/>
                        </m:rPr>
                        <m:t>e</m:t>
                      </m:r>
                      <m:r>
                        <m:rPr>
                          <m:sty m:val="p"/>
                        </m:rPr>
                        <m:t>s</m:t>
                      </m:r>
                      <m:r>
                        <m:rPr>
                          <m:sty m:val="p"/>
                        </m:rPr>
                        <m:t>s</m:t>
                      </m:r>
                    </m:sub>
                  </m:sSub>
                </m:sup>
                <m:e>
                  <m:sSup>
                    <m:e>
                      <m:r>
                        <m:t>m</m:t>
                      </m:r>
                    </m:e>
                    <m:sup>
                      <m:r>
                        <m:rPr>
                          <m:sty m:val="p"/>
                        </m:rPr>
                        <m:t>−</m:t>
                      </m:r>
                      <m:r>
                        <m:t>α</m:t>
                      </m:r>
                    </m:sup>
                  </m:sSup>
                </m:e>
              </m:nary>
            </m:den>
          </m:f>
          <m:r>
            <m:rPr>
              <m:sty m:val="p"/>
            </m:rPr>
            <m:t>,</m:t>
          </m:r>
          <m:r>
            <m:t>  </m:t>
          </m:r>
          <m:nary>
            <m:naryPr>
              <m:chr m:val="∑"/>
              <m:limLoc m:val="undOvr"/>
              <m:subHide m:val="off"/>
              <m:supHide m:val="on"/>
            </m:naryPr>
            <m:sub>
              <m:r>
                <m:t>n</m:t>
              </m:r>
            </m:sub>
            <m:sup>
              <m:r>
                <m:t>​</m:t>
              </m:r>
            </m:sup>
            <m:e>
              <m:sSub>
                <m:e>
                  <m:r>
                    <m:t>w</m:t>
                  </m:r>
                </m:e>
                <m:sub>
                  <m:r>
                    <m:t>n</m:t>
                  </m:r>
                </m:sub>
              </m:sSub>
            </m:e>
          </m:nary>
          <m:r>
            <m:rPr>
              <m:sty m:val="p"/>
            </m:rPr>
            <m:t>=</m:t>
          </m:r>
          <m:r>
            <m:t>1</m:t>
          </m:r>
          <m:r>
            <m:rPr>
              <m:sty m:val="p"/>
            </m:rPr>
            <m:t>.</m:t>
          </m:r>
          <m:r>
            <m:rPr>
              <m:sty m:val="p"/>
            </m:rPr>
            <m:t xml:space="preserve">   (1)</m:t>
          </m:r>
        </m:oMath>
      </m:oMathPara>
    </w:p>
    <w:p>
      <w:pPr>
        <w:pStyle w:val="FirstParagraph"/>
        <w:ind w:firstLine="0"/>
        <w:jc w:val="left"/>
      </w:pPr>
      <w:r>
        <w:t xml:space="preserve">입력 alpha=1.8996876950554356는 D=0.268을 맞춘 산술 보정값이다. 아래의 h=1.447673170352440는 표현형 0.05를 맞춘 보정값이다. 합이 1이므로 복귀 0.682는 나머지로 산출된다. 일정 입장 비교판의 beta와 제타 갱신판의 beta_eff는 역할이 다르다. 기본 갱신판에서 beta_eff=0.8654570124137115는 계산된 표현형을 입장 가능한 홀수 합성수 가중치로 나눈 산출값이며 추가 자유계수로 넣지 않는다.</w:t>
      </w:r>
    </w:p>
    <w:p>
      <w:pPr>
        <w:pStyle w:val="BodyText"/>
        <w:ind w:firstLine="0"/>
        <w:jc w:val="left"/>
      </w:pPr>
      <w:r>
        <w:t xml:space="preserve">4.8769%는 alpha=2에서 홀수 합성수 전체를 받아들인 비교값이고, 26.7942%는 alpha=1.9에서의 짝수 합성수 비교값이다. 서로 다른 행의 값을 더하지 않는다. 아래 두 행은 각각 자기 분모에서 합이 1이며, 이번 공동 보정의 기본 행은 alpha 약 1.899687695와 갱신 임계값 h를 사용한다.</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520"/>
        <w:gridCol w:w="2592"/>
        <w:gridCol w:w="3154"/>
      </w:tblGrid>
      <w:tr>
        <w:trPr>
          <w:tblHeader w:val="true"/>
          <w:cantSplit/>
          <w:tblHeader/>
        </w:trPr>
        <w:tc>
          <w:tcPr>
            <w:tcW w:type="dxa" w:w="1728"/>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alpha</w:t>
            </w:r>
          </w:p>
        </w:tc>
        <w:tc>
          <w:tcPr>
            <w:tcW w:type="dxa" w:w="2520"/>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Odd composite %</w:t>
            </w:r>
          </w:p>
        </w:tc>
        <w:tc>
          <w:tcPr>
            <w:tcW w:type="dxa" w:w="259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Even composite %</w:t>
            </w:r>
          </w:p>
        </w:tc>
        <w:tc>
          <w:tcPr>
            <w:tcW w:type="dxa" w:w="315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Prime %</w:t>
            </w:r>
          </w:p>
        </w:tc>
      </w:tr>
      <w:tr>
        <w:trPr>
          <w:cantSplit/>
        </w:trPr>
        <w:tc>
          <w:tcPr>
            <w:tcW w:type="dxa" w:w="1728"/>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2.0</w:t>
            </w:r>
          </w:p>
        </w:tc>
        <w:tc>
          <w:tcPr>
            <w:tcW w:type="dxa" w:w="252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4.876893</w:t>
            </w:r>
          </w:p>
        </w:tc>
        <w:tc>
          <w:tcPr>
            <w:tcW w:type="dxa" w:w="259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24.999961</w:t>
            </w:r>
          </w:p>
        </w:tc>
        <w:tc>
          <w:tcPr>
            <w:tcW w:type="dxa" w:w="315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70.123145</w:t>
            </w:r>
          </w:p>
        </w:tc>
      </w:tr>
      <w:tr>
        <w:trPr>
          <w:cantSplit/>
        </w:trPr>
        <w:tc>
          <w:tcPr>
            <w:tcW w:type="dxa" w:w="1728"/>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1.9</w:t>
            </w:r>
          </w:p>
        </w:tc>
        <w:tc>
          <w:tcPr>
            <w:tcW w:type="dxa" w:w="252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5.774215</w:t>
            </w:r>
          </w:p>
        </w:tc>
        <w:tc>
          <w:tcPr>
            <w:tcW w:type="dxa" w:w="259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26.794200</w:t>
            </w:r>
          </w:p>
        </w:tc>
        <w:tc>
          <w:tcPr>
            <w:tcW w:type="dxa" w:w="315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67.431586</w:t>
            </w:r>
          </w:p>
        </w:tc>
      </w:tr>
    </w:tbl>
    <w:bookmarkEnd w:id="21"/>
    <w:bookmarkStart w:id="22" w:name="상류-입력과-갱신-경계"/>
    <w:p>
      <w:pPr>
        <w:pStyle w:val="Heading2"/>
        <w:ind w:firstLine="0"/>
        <w:jc w:val="left"/>
      </w:pPr>
      <w:r>
        <w:rPr>
          <w:color w:val="000000"/>
        </w:rPr>
        <w:t xml:space="preserve">상류 입력과 갱신 경계</w:t>
      </w:r>
    </w:p>
    <w:p>
      <w:pPr>
        <w:pStyle w:val="FirstParagraph"/>
        <w:ind w:firstLine="0"/>
        <w:jc w:val="left"/>
      </w:pPr>
      <w:r>
        <w:t xml:space="preserve">인터페이스 wrra.upstream-ledger/1은 주소 상태, 가중 규칙, 채택 스펙트럼, 결합 계수와 위상, 입장 갱신, 복귀 경계, 채널 결합과 출처 해시를 고정한다. 기본 주소 상태는 정규화한 대각 n^-alpha 분포다. 계산 API는 별도의 정규화 대각 상태도 검사한다. 일반적인 전체 주소 밀도행렬의 대규모 동역학은 이번 실행 범위에 포함하지 않는다. 하류 운반자의 rho와 주소 상태는 서로 다른 상태 공간의 입력이며 기준 채널 연결은 공개한 조건부 배분 규칙이다.</w:t>
      </w:r>
    </w:p>
    <w:p>
      <w:pPr>
        <w:pStyle w:val="BodyText"/>
        <w:keepNext/>
        <w:ind w:firstLine="0"/>
        <w:jc w:val="left"/>
      </w:pPr>
      <w:r>
        <w:t xml:space="preserve">스펙트럼은 독립 고정밀 계산과 Euler Maclaurin 전개로 다시 확인한 처음 네 양의 제타 영점 높이 gamma_j다. 각 계수는 1/2, 초기 위상은 0, xi=0.1, 입장 갱신 수 K=8이다. 제타 영점과 cos 구동을 채택하는 것은 상류 모형 입력이다. 갱신 번호 k와 xi는 차원 없으며 초 또는 고유시간을 부여하지 않는다. 스펙트럼을 물리 에너지 준위로 읽는 일은 0.12에서 허용 모드와 경계조건을 함께 계산한다.</w:t>
      </w:r>
    </w:p>
    <w:p>
      <w:pPr>
        <w:pStyle w:val="BodyText"/>
        <w:keepLines/>
        <w:spacing w:before="80" w:after="180"/>
        <w:ind w:firstLine="0"/>
        <w:jc w:val="left"/>
      </w:pPr>
      <m:oMathPara>
        <m:oMathParaPr>
          <m:jc m:val="center"/>
        </m:oMathParaPr>
        <m:oMath>
          <m:sSub>
            <m:e>
              <m:r>
                <m:t>δ</m:t>
              </m:r>
            </m:e>
            <m:sub>
              <m:r>
                <m:t>n</m:t>
              </m:r>
            </m:sub>
          </m:sSub>
          <m:d>
            <m:dPr>
              <m:begChr m:val="("/>
              <m:endChr m:val=")"/>
              <m:sepChr m:val=""/>
              <m:grow/>
            </m:dPr>
            <m:e>
              <m:r>
                <m:t>k</m:t>
              </m:r>
            </m:e>
          </m:d>
          <m:r>
            <m:rPr>
              <m:sty m:val="p"/>
            </m:rPr>
            <m:t>=</m:t>
          </m:r>
          <m:nary>
            <m:naryPr>
              <m:chr m:val="∑"/>
              <m:limLoc m:val="undOvr"/>
              <m:subHide m:val="off"/>
              <m:supHide m:val="off"/>
            </m:naryPr>
            <m:sub>
              <m:r>
                <m:t>j</m:t>
              </m:r>
              <m:r>
                <m:rPr>
                  <m:sty m:val="p"/>
                </m:rPr>
                <m:t>=</m:t>
              </m:r>
              <m:r>
                <m:t>1</m:t>
              </m:r>
            </m:sub>
            <m:sup>
              <m:r>
                <m:t>J</m:t>
              </m:r>
            </m:sup>
            <m:e>
              <m:sSub>
                <m:e>
                  <m:r>
                    <m:t>c</m:t>
                  </m:r>
                </m:e>
                <m:sub>
                  <m:r>
                    <m:t>j</m:t>
                  </m:r>
                </m:sub>
              </m:sSub>
            </m:e>
          </m:nary>
          <m:r>
            <m:rPr>
              <m:sty m:val="p"/>
            </m:rPr>
            <m:t>cos</m:t>
          </m:r>
          <m:r>
            <m:t>​</m:t>
          </m:r>
          <m:d>
            <m:dPr>
              <m:begChr m:val="["/>
              <m:endChr m:val="]"/>
              <m:sepChr m:val=""/>
              <m:grow/>
            </m:dPr>
            <m:e>
              <m:sSub>
                <m:e>
                  <m:r>
                    <m:t>γ</m:t>
                  </m:r>
                </m:e>
                <m:sub>
                  <m:r>
                    <m:t>j</m:t>
                  </m:r>
                </m:sub>
              </m:sSub>
              <m:d>
                <m:dPr>
                  <m:begChr m:val="("/>
                  <m:endChr m:val=")"/>
                  <m:sepChr m:val=""/>
                  <m:grow/>
                </m:dPr>
                <m:e>
                  <m:r>
                    <m:rPr>
                      <m:sty m:val="p"/>
                    </m:rPr>
                    <m:t>log</m:t>
                  </m:r>
                  <m:r>
                    <m:t>n</m:t>
                  </m:r>
                  <m:r>
                    <m:rPr>
                      <m:sty m:val="p"/>
                    </m:rPr>
                    <m:t>+</m:t>
                  </m:r>
                  <m:r>
                    <m:t>ξ</m:t>
                  </m:r>
                  <m:r>
                    <m:t>k</m:t>
                  </m:r>
                </m:e>
              </m:d>
              <m:r>
                <m:rPr>
                  <m:sty m:val="p"/>
                </m:rPr>
                <m:t>+</m:t>
              </m:r>
              <m:sSub>
                <m:e>
                  <m:r>
                    <m:t>θ</m:t>
                  </m:r>
                </m:e>
                <m:sub>
                  <m:r>
                    <m:t>j</m:t>
                  </m:r>
                </m:sub>
              </m:sSub>
            </m:e>
          </m:d>
          <m:r>
            <m:rPr>
              <m:sty m:val="p"/>
            </m:rPr>
            <m:t>.</m:t>
          </m:r>
          <m:r>
            <m:rPr>
              <m:sty m:val="p"/>
            </m:rPr>
            <m:t xml:space="preserve">   (2)</m:t>
          </m:r>
        </m:oMath>
      </m:oMathPara>
    </w:p>
    <w:p>
      <w:pPr>
        <w:pStyle w:val="FirstParagraph"/>
        <w:keepLines/>
        <w:spacing w:before="80" w:after="180"/>
        <w:ind w:firstLine="0"/>
        <w:jc w:val="left"/>
      </w:pPr>
      <m:oMathPara>
        <m:oMathParaPr>
          <m:jc m:val="center"/>
        </m:oMathParaPr>
        <m:oMath>
          <m:sSub>
            <m:e>
              <m:r>
                <m:t>a</m:t>
              </m:r>
            </m:e>
            <m:sub>
              <m:r>
                <m:t>n</m:t>
              </m:r>
            </m:sub>
          </m:sSub>
          <m:d>
            <m:dPr>
              <m:begChr m:val="("/>
              <m:endChr m:val=")"/>
              <m:sepChr m:val=""/>
              <m:grow/>
            </m:dPr>
            <m:e>
              <m:r>
                <m:t>k</m:t>
              </m:r>
            </m:e>
          </m:d>
          <m:r>
            <m:rPr>
              <m:sty m:val="p"/>
            </m:rPr>
            <m:t>=</m:t>
          </m:r>
          <m:f>
            <m:fPr>
              <m:type m:val="bar"/>
            </m:fPr>
            <m:num>
              <m:r>
                <m:t>1</m:t>
              </m:r>
            </m:num>
            <m:den>
              <m:r>
                <m:t>1</m:t>
              </m:r>
              <m:r>
                <m:rPr>
                  <m:sty m:val="p"/>
                </m:rPr>
                <m:t>+</m:t>
              </m:r>
              <m:sSup>
                <m:e>
                  <m:r>
                    <m:t>e</m:t>
                  </m:r>
                </m:e>
                <m:sup>
                  <m:r>
                    <m:t>h</m:t>
                  </m:r>
                  <m:r>
                    <m:rPr>
                      <m:sty m:val="p"/>
                    </m:rPr>
                    <m:t>−</m:t>
                  </m:r>
                  <m:sSub>
                    <m:e>
                      <m:r>
                        <m:t>δ</m:t>
                      </m:r>
                    </m:e>
                    <m:sub>
                      <m:r>
                        <m:t>n</m:t>
                      </m:r>
                    </m:sub>
                  </m:sSub>
                  <m:d>
                    <m:dPr>
                      <m:begChr m:val="("/>
                      <m:endChr m:val=")"/>
                      <m:sepChr m:val=""/>
                      <m:grow/>
                    </m:dPr>
                    <m:e>
                      <m:r>
                        <m:t>k</m:t>
                      </m:r>
                    </m:e>
                  </m:d>
                </m:sup>
              </m:sSup>
            </m:den>
          </m:f>
          <m:r>
            <m:rPr>
              <m:sty m:val="p"/>
            </m:rPr>
            <m:t>,</m:t>
          </m:r>
          <m:r>
            <m:t>  </m:t>
          </m:r>
          <m:sSub>
            <m:e>
              <m:r>
                <m:t>T</m:t>
              </m:r>
            </m:e>
            <m:sub>
              <m:r>
                <m:t>n</m:t>
              </m:r>
            </m:sub>
          </m:sSub>
          <m:d>
            <m:dPr>
              <m:begChr m:val="("/>
              <m:endChr m:val=")"/>
              <m:sepChr m:val=""/>
              <m:grow/>
            </m:dPr>
            <m:e>
              <m:r>
                <m:t>K</m:t>
              </m:r>
            </m:e>
          </m:d>
          <m:r>
            <m:rPr>
              <m:sty m:val="p"/>
            </m:rPr>
            <m:t>=</m:t>
          </m:r>
          <m:r>
            <m:t>1</m:t>
          </m:r>
          <m:r>
            <m:rPr>
              <m:sty m:val="p"/>
            </m:rPr>
            <m:t>−</m:t>
          </m:r>
          <m:nary>
            <m:naryPr>
              <m:chr m:val="∏"/>
              <m:limLoc m:val="undOvr"/>
              <m:subHide m:val="off"/>
              <m:supHide m:val="off"/>
            </m:naryPr>
            <m:sub>
              <m:r>
                <m:t>k</m:t>
              </m:r>
              <m:r>
                <m:rPr>
                  <m:sty m:val="p"/>
                </m:rPr>
                <m:t>=</m:t>
              </m:r>
              <m:r>
                <m:t>0</m:t>
              </m:r>
            </m:sub>
            <m:sup>
              <m:r>
                <m:t>K</m:t>
              </m:r>
              <m:r>
                <m:rPr>
                  <m:sty m:val="p"/>
                </m:rPr>
                <m:t>−</m:t>
              </m:r>
              <m:r>
                <m:t>1</m:t>
              </m:r>
            </m:sup>
            <m:e>
              <m:d>
                <m:dPr>
                  <m:begChr m:val="("/>
                  <m:endChr m:val=")"/>
                  <m:sepChr m:val=""/>
                  <m:grow/>
                </m:dPr>
                <m:e>
                  <m:r>
                    <m:t>1</m:t>
                  </m:r>
                  <m:r>
                    <m:rPr>
                      <m:sty m:val="p"/>
                    </m:rPr>
                    <m:t>−</m:t>
                  </m:r>
                  <m:sSub>
                    <m:e>
                      <m:r>
                        <m:t>a</m:t>
                      </m:r>
                    </m:e>
                    <m:sub>
                      <m:r>
                        <m:t>n</m:t>
                      </m:r>
                    </m:sub>
                  </m:sSub>
                  <m:d>
                    <m:dPr>
                      <m:begChr m:val="("/>
                      <m:endChr m:val=")"/>
                      <m:sepChr m:val=""/>
                      <m:grow/>
                    </m:dPr>
                    <m:e>
                      <m:r>
                        <m:t>k</m:t>
                      </m:r>
                    </m:e>
                  </m:d>
                </m:e>
              </m:d>
            </m:e>
          </m:nary>
          <m:r>
            <m:rPr>
              <m:sty m:val="p"/>
            </m:rPr>
            <m:t>.</m:t>
          </m:r>
          <m:r>
            <m:rPr>
              <m:sty m:val="p"/>
            </m:rPr>
            <m:t xml:space="preserve">   (3)</m:t>
          </m:r>
        </m:oMath>
      </m:oMathPara>
    </w:p>
    <w:p>
      <w:pPr>
        <w:pStyle w:val="FirstParagraph"/>
        <w:keepNext/>
        <w:ind w:firstLine="0"/>
        <w:jc w:val="left"/>
      </w:pPr>
      <w:r>
        <w:t xml:space="preserve">홀수 합성수의 아직 입장하지 않은 주소 가중치 r_n에서 새 입장량 b_n을 떼어낸다. 매 갱신의 시도량을 그대로 더하면 이미 입장한 부분을 중복 계산한다. 누적곱과 순차 고갈 계산을 따로 실행해 일치를 확인했다. 짝수 합성수는 시작부터 D에 있고, 소수와 아직 입장하지 않은 홀수 합성수는 복귀 경계까지 SOURCE 대기분 S로 남는다.</w:t>
      </w:r>
    </w:p>
    <w:p>
      <w:pPr>
        <w:pStyle w:val="BodyText"/>
        <w:keepLines/>
        <w:spacing w:before="80" w:after="180"/>
        <w:ind w:firstLine="0"/>
        <w:jc w:val="left"/>
      </w:pPr>
      <m:oMathPara>
        <m:oMathParaPr>
          <m:jc m:val="center"/>
        </m:oMathParaPr>
        <m:oMath>
          <m:sSub>
            <m:e>
              <m:r>
                <m:t>b</m:t>
              </m:r>
            </m:e>
            <m:sub>
              <m:r>
                <m:t>n</m:t>
              </m:r>
            </m:sub>
          </m:sSub>
          <m:d>
            <m:dPr>
              <m:begChr m:val="("/>
              <m:endChr m:val=")"/>
              <m:sepChr m:val=""/>
              <m:grow/>
            </m:dPr>
            <m:e>
              <m:r>
                <m:t>k</m:t>
              </m:r>
            </m:e>
          </m:d>
          <m:r>
            <m:rPr>
              <m:sty m:val="p"/>
            </m:rPr>
            <m:t>=</m:t>
          </m:r>
          <m:sSub>
            <m:e>
              <m:r>
                <m:t>r</m:t>
              </m:r>
            </m:e>
            <m:sub>
              <m:r>
                <m:t>n</m:t>
              </m:r>
            </m:sub>
          </m:sSub>
          <m:d>
            <m:dPr>
              <m:begChr m:val="("/>
              <m:endChr m:val=")"/>
              <m:sepChr m:val=""/>
              <m:grow/>
            </m:dPr>
            <m:e>
              <m:r>
                <m:t>k</m:t>
              </m:r>
            </m:e>
          </m:d>
          <m:sSub>
            <m:e>
              <m:r>
                <m:t>a</m:t>
              </m:r>
            </m:e>
            <m:sub>
              <m:r>
                <m:t>n</m:t>
              </m:r>
            </m:sub>
          </m:sSub>
          <m:d>
            <m:dPr>
              <m:begChr m:val="("/>
              <m:endChr m:val=")"/>
              <m:sepChr m:val=""/>
              <m:grow/>
            </m:dPr>
            <m:e>
              <m:r>
                <m:t>k</m:t>
              </m:r>
            </m:e>
          </m:d>
          <m:r>
            <m:rPr>
              <m:sty m:val="p"/>
            </m:rPr>
            <m:t>,</m:t>
          </m:r>
          <m:r>
            <m:t>  </m:t>
          </m:r>
          <m:sSub>
            <m:e>
              <m:r>
                <m:t>r</m:t>
              </m:r>
            </m:e>
            <m:sub>
              <m:r>
                <m:t>n</m:t>
              </m:r>
            </m:sub>
          </m:sSub>
          <m:d>
            <m:dPr>
              <m:begChr m:val="("/>
              <m:endChr m:val=")"/>
              <m:sepChr m:val=""/>
              <m:grow/>
            </m:dPr>
            <m:e>
              <m:r>
                <m:t>k</m:t>
              </m:r>
              <m:r>
                <m:rPr>
                  <m:sty m:val="p"/>
                </m:rPr>
                <m:t>+</m:t>
              </m:r>
              <m:r>
                <m:t>1</m:t>
              </m:r>
            </m:e>
          </m:d>
          <m:r>
            <m:rPr>
              <m:sty m:val="p"/>
            </m:rPr>
            <m:t>=</m:t>
          </m:r>
          <m:sSub>
            <m:e>
              <m:r>
                <m:t>r</m:t>
              </m:r>
            </m:e>
            <m:sub>
              <m:r>
                <m:t>n</m:t>
              </m:r>
            </m:sub>
          </m:sSub>
          <m:d>
            <m:dPr>
              <m:begChr m:val="("/>
              <m:endChr m:val=")"/>
              <m:sepChr m:val=""/>
              <m:grow/>
            </m:dPr>
            <m:e>
              <m:r>
                <m:t>k</m:t>
              </m:r>
            </m:e>
          </m:d>
          <m:r>
            <m:rPr>
              <m:sty m:val="p"/>
            </m:rPr>
            <m:t>−</m:t>
          </m:r>
          <m:sSub>
            <m:e>
              <m:r>
                <m:t>b</m:t>
              </m:r>
            </m:e>
            <m:sub>
              <m:r>
                <m:t>n</m:t>
              </m:r>
            </m:sub>
          </m:sSub>
          <m:d>
            <m:dPr>
              <m:begChr m:val="("/>
              <m:endChr m:val=")"/>
              <m:sepChr m:val=""/>
              <m:grow/>
            </m:dPr>
            <m:e>
              <m:r>
                <m:t>k</m:t>
              </m:r>
            </m:e>
          </m:d>
          <m:r>
            <m:rPr>
              <m:sty m:val="p"/>
            </m:rPr>
            <m:t>,</m:t>
          </m:r>
          <m:r>
            <m:t> </m:t>
          </m:r>
          <m:sSub>
            <m:e>
              <m:r>
                <m:t>r</m:t>
              </m:r>
            </m:e>
            <m:sub>
              <m:r>
                <m:t>n</m:t>
              </m:r>
            </m:sub>
          </m:sSub>
          <m:d>
            <m:dPr>
              <m:begChr m:val="("/>
              <m:endChr m:val=")"/>
              <m:sepChr m:val=""/>
              <m:grow/>
            </m:dPr>
            <m:e>
              <m:r>
                <m:t>0</m:t>
              </m:r>
            </m:e>
          </m:d>
          <m:r>
            <m:rPr>
              <m:sty m:val="p"/>
            </m:rPr>
            <m:t>=</m:t>
          </m:r>
          <m:sSub>
            <m:e>
              <m:r>
                <m:t>w</m:t>
              </m:r>
            </m:e>
            <m:sub>
              <m:r>
                <m:t>n</m:t>
              </m:r>
            </m:sub>
          </m:sSub>
          <m:r>
            <m:rPr>
              <m:sty m:val="p"/>
            </m:rPr>
            <m:t>.</m:t>
          </m:r>
          <m:r>
            <m:rPr>
              <m:sty m:val="p"/>
            </m:rPr>
            <m:t xml:space="preserve">   (4)</m:t>
          </m:r>
        </m:oMath>
      </m:oMathPara>
    </w:p>
    <w:p>
      <w:pPr>
        <w:pStyle w:val="FirstParagraph"/>
        <w:keepNext/>
        <w:ind w:firstLine="0"/>
        <w:jc w:val="left"/>
      </w:pPr>
      <w:r>
        <w:t xml:space="preserve">기준 경계 k=K에서 대기분 S를 복귀 장부 R로 옮긴다. 그 뒤 잔존 접힘에 항등 갱신을 적용하는 것이 이번 보존 규칙이다. 이 규칙의 기원이나 실제 우주 복귀의 동역학을 도출한 것은 아니다. 아래 S와 R은 같은 것을 두 번 합산하지 않는다. 시작 행 k=-1은 첫 입장 전 상태이며 물리적 음의 시간을 뜻하지 않는다.</w:t>
      </w:r>
    </w:p>
    <w:p>
      <w:pPr>
        <w:pStyle w:val="BodyText"/>
        <w:keepLines/>
        <w:spacing w:before="80" w:after="180"/>
        <w:ind w:firstLine="0"/>
        <w:jc w:val="left"/>
      </w:pPr>
      <m:oMathPara>
        <m:oMathParaPr>
          <m:jc m:val="center"/>
        </m:oMathParaPr>
        <m:oMath>
          <m:sSub>
            <m:e>
              <m:r>
                <m:t>e</m:t>
              </m:r>
            </m:e>
            <m:sub>
              <m:r>
                <m:t>φ</m:t>
              </m:r>
            </m:sub>
          </m:sSub>
          <m:d>
            <m:dPr>
              <m:begChr m:val="("/>
              <m:endChr m:val=")"/>
              <m:sepChr m:val=""/>
              <m:grow/>
            </m:dPr>
            <m:e>
              <m:r>
                <m:t>n</m:t>
              </m:r>
            </m:e>
          </m:d>
          <m:r>
            <m:rPr>
              <m:sty m:val="p"/>
            </m:rPr>
            <m:t>=</m:t>
          </m:r>
          <m:sSub>
            <m:e>
              <m:r>
                <m:rPr>
                  <m:sty m:val="b"/>
                </m:rPr>
                <m:t>1</m:t>
              </m:r>
            </m:e>
            <m:sub>
              <m:r>
                <m:rPr>
                  <m:sty m:val="p"/>
                </m:rPr>
                <m:t>o</m:t>
              </m:r>
              <m:r>
                <m:rPr>
                  <m:sty m:val="p"/>
                </m:rPr>
                <m:t>d</m:t>
              </m:r>
              <m:r>
                <m:rPr>
                  <m:sty m:val="p"/>
                </m:rPr>
                <m:t>d</m:t>
              </m:r>
              <m:r>
                <m:rPr>
                  <m:sty m:val="p"/>
                </m:rPr>
                <m:t> </m:t>
              </m:r>
              <m:r>
                <m:rPr>
                  <m:sty m:val="p"/>
                </m:rPr>
                <m:t>c</m:t>
              </m:r>
              <m:r>
                <m:rPr>
                  <m:sty m:val="p"/>
                </m:rPr>
                <m:t>o</m:t>
              </m:r>
              <m:r>
                <m:rPr>
                  <m:sty m:val="p"/>
                </m:rPr>
                <m:t>m</m:t>
              </m:r>
              <m:r>
                <m:rPr>
                  <m:sty m:val="p"/>
                </m:rPr>
                <m:t>p</m:t>
              </m:r>
            </m:sub>
          </m:sSub>
          <m:sSub>
            <m:e>
              <m:r>
                <m:t>T</m:t>
              </m:r>
            </m:e>
            <m:sub>
              <m:r>
                <m:t>n</m:t>
              </m:r>
            </m:sub>
          </m:sSub>
          <m:d>
            <m:dPr>
              <m:begChr m:val="("/>
              <m:endChr m:val=")"/>
              <m:sepChr m:val=""/>
              <m:grow/>
            </m:dPr>
            <m:e>
              <m:r>
                <m:t>K</m:t>
              </m:r>
            </m:e>
          </m:d>
          <m:r>
            <m:rPr>
              <m:sty m:val="p"/>
            </m:rPr>
            <m:t>,</m:t>
          </m:r>
          <m:r>
            <m:t> </m:t>
          </m:r>
          <m:sSub>
            <m:e>
              <m:r>
                <m:t>e</m:t>
              </m:r>
            </m:e>
            <m:sub>
              <m:r>
                <m:t>D</m:t>
              </m:r>
            </m:sub>
          </m:sSub>
          <m:d>
            <m:dPr>
              <m:begChr m:val="("/>
              <m:endChr m:val=")"/>
              <m:sepChr m:val=""/>
              <m:grow/>
            </m:dPr>
            <m:e>
              <m:r>
                <m:t>n</m:t>
              </m:r>
            </m:e>
          </m:d>
          <m:r>
            <m:rPr>
              <m:sty m:val="p"/>
            </m:rPr>
            <m:t>=</m:t>
          </m:r>
          <m:sSub>
            <m:e>
              <m:r>
                <m:rPr>
                  <m:sty m:val="b"/>
                </m:rPr>
                <m:t>1</m:t>
              </m:r>
            </m:e>
            <m:sub>
              <m:r>
                <m:rPr>
                  <m:sty m:val="p"/>
                </m:rPr>
                <m:t>e</m:t>
              </m:r>
              <m:r>
                <m:rPr>
                  <m:sty m:val="p"/>
                </m:rPr>
                <m:t>v</m:t>
              </m:r>
              <m:r>
                <m:rPr>
                  <m:sty m:val="p"/>
                </m:rPr>
                <m:t>e</m:t>
              </m:r>
              <m:r>
                <m:rPr>
                  <m:sty m:val="p"/>
                </m:rPr>
                <m:t>n</m:t>
              </m:r>
              <m:r>
                <m:rPr>
                  <m:sty m:val="p"/>
                </m:rPr>
                <m:t> </m:t>
              </m:r>
              <m:r>
                <m:rPr>
                  <m:sty m:val="p"/>
                </m:rPr>
                <m:t>c</m:t>
              </m:r>
              <m:r>
                <m:rPr>
                  <m:sty m:val="p"/>
                </m:rPr>
                <m:t>o</m:t>
              </m:r>
              <m:r>
                <m:rPr>
                  <m:sty m:val="p"/>
                </m:rPr>
                <m:t>m</m:t>
              </m:r>
              <m:r>
                <m:rPr>
                  <m:sty m:val="p"/>
                </m:rPr>
                <m:t>p</m:t>
              </m:r>
            </m:sub>
          </m:sSub>
          <m:r>
            <m:rPr>
              <m:sty m:val="p"/>
            </m:rPr>
            <m:t>,</m:t>
          </m:r>
          <m:r>
            <m:t> </m:t>
          </m:r>
          <m:sSub>
            <m:e>
              <m:r>
                <m:t>e</m:t>
              </m:r>
            </m:e>
            <m:sub>
              <m:r>
                <m:t>R</m:t>
              </m:r>
            </m:sub>
          </m:sSub>
          <m:d>
            <m:dPr>
              <m:begChr m:val="("/>
              <m:endChr m:val=")"/>
              <m:sepChr m:val=""/>
              <m:grow/>
            </m:dPr>
            <m:e>
              <m:r>
                <m:t>n</m:t>
              </m:r>
            </m:e>
          </m:d>
          <m:r>
            <m:rPr>
              <m:sty m:val="p"/>
            </m:rPr>
            <m:t>=</m:t>
          </m:r>
          <m:r>
            <m:t>1</m:t>
          </m:r>
          <m:r>
            <m:rPr>
              <m:sty m:val="p"/>
            </m:rPr>
            <m:t>−</m:t>
          </m:r>
          <m:sSub>
            <m:e>
              <m:r>
                <m:t>e</m:t>
              </m:r>
            </m:e>
            <m:sub>
              <m:r>
                <m:t>φ</m:t>
              </m:r>
            </m:sub>
          </m:sSub>
          <m:d>
            <m:dPr>
              <m:begChr m:val="("/>
              <m:endChr m:val=")"/>
              <m:sepChr m:val=""/>
              <m:grow/>
            </m:dPr>
            <m:e>
              <m:r>
                <m:t>n</m:t>
              </m:r>
            </m:e>
          </m:d>
          <m:r>
            <m:rPr>
              <m:sty m:val="p"/>
            </m:rPr>
            <m:t>−</m:t>
          </m:r>
          <m:sSub>
            <m:e>
              <m:r>
                <m:t>e</m:t>
              </m:r>
            </m:e>
            <m:sub>
              <m:r>
                <m:t>D</m:t>
              </m:r>
            </m:sub>
          </m:sSub>
          <m:d>
            <m:dPr>
              <m:begChr m:val="("/>
              <m:endChr m:val=")"/>
              <m:sepChr m:val=""/>
              <m:grow/>
            </m:dPr>
            <m:e>
              <m:r>
                <m:t>n</m:t>
              </m:r>
            </m:e>
          </m:d>
          <m:r>
            <m:rPr>
              <m:sty m:val="p"/>
            </m:rPr>
            <m:t>.</m:t>
          </m:r>
          <m:r>
            <m:rPr>
              <m:sty m:val="p"/>
            </m:rPr>
            <m:t xml:space="preserve">   (5)</m:t>
          </m:r>
        </m:oMath>
      </m:oMathPara>
    </w:p>
    <w:p>
      <w:pPr>
        <w:pStyle w:val="FirstParagraph"/>
        <w:keepLines/>
        <w:spacing w:before="80" w:after="180"/>
        <w:ind w:firstLine="0"/>
        <w:jc w:val="left"/>
      </w:pPr>
      <m:oMathPara>
        <m:oMathParaPr>
          <m:jc m:val="center"/>
        </m:oMathParaPr>
        <m:oMath>
          <m:sSub>
            <m:e>
              <m:r>
                <m:t>f</m:t>
              </m:r>
            </m:e>
            <m:sub>
              <m:r>
                <m:t>s</m:t>
              </m:r>
            </m:sub>
          </m:sSub>
          <m:r>
            <m:rPr>
              <m:sty m:val="p"/>
            </m:rPr>
            <m:t>=</m:t>
          </m:r>
          <m:nary>
            <m:naryPr>
              <m:chr m:val="∑"/>
              <m:limLoc m:val="undOvr"/>
              <m:subHide m:val="off"/>
              <m:supHide m:val="on"/>
            </m:naryPr>
            <m:sub>
              <m:r>
                <m:t>n</m:t>
              </m:r>
            </m:sub>
            <m:sup>
              <m:r>
                <m:t>​</m:t>
              </m:r>
            </m:sup>
            <m:e>
              <m:sSub>
                <m:e>
                  <m:r>
                    <m:t>w</m:t>
                  </m:r>
                </m:e>
                <m:sub>
                  <m:r>
                    <m:t>n</m:t>
                  </m:r>
                </m:sub>
              </m:sSub>
            </m:e>
          </m:nary>
          <m:sSub>
            <m:e>
              <m:r>
                <m:t>e</m:t>
              </m:r>
            </m:e>
            <m:sub>
              <m:r>
                <m:t>s</m:t>
              </m:r>
            </m:sub>
          </m:sSub>
          <m:d>
            <m:dPr>
              <m:begChr m:val="("/>
              <m:endChr m:val=")"/>
              <m:sepChr m:val=""/>
              <m:grow/>
            </m:dPr>
            <m:e>
              <m:r>
                <m:t>n</m:t>
              </m:r>
            </m:e>
          </m:d>
          <m:r>
            <m:rPr>
              <m:sty m:val="p"/>
            </m:rPr>
            <m:t>,</m:t>
          </m:r>
          <m:r>
            <m:t> </m:t>
          </m:r>
          <m:sSub>
            <m:e>
              <m:r>
                <m:t>e</m:t>
              </m:r>
            </m:e>
            <m:sub>
              <m:r>
                <m:t>s</m:t>
              </m:r>
            </m:sub>
          </m:sSub>
          <m:d>
            <m:dPr>
              <m:begChr m:val="("/>
              <m:endChr m:val=")"/>
              <m:sepChr m:val=""/>
              <m:grow/>
            </m:dPr>
            <m:e>
              <m:r>
                <m:t>n</m:t>
              </m:r>
            </m:e>
          </m:d>
          <m:r>
            <m:rPr>
              <m:sty m:val="p"/>
            </m:rPr>
            <m:t>≥</m:t>
          </m:r>
          <m:r>
            <m:t>0</m:t>
          </m:r>
          <m:r>
            <m:rPr>
              <m:sty m:val="p"/>
            </m:rPr>
            <m:t>,</m:t>
          </m:r>
          <m:r>
            <m:t> </m:t>
          </m:r>
          <m:nary>
            <m:naryPr>
              <m:chr m:val="∑"/>
              <m:limLoc m:val="undOvr"/>
              <m:subHide m:val="off"/>
              <m:supHide m:val="on"/>
            </m:naryPr>
            <m:sub>
              <m:r>
                <m:t>s</m:t>
              </m:r>
            </m:sub>
            <m:sup>
              <m:r>
                <m:t>​</m:t>
              </m:r>
            </m:sup>
            <m:e>
              <m:sSub>
                <m:e>
                  <m:r>
                    <m:t>e</m:t>
                  </m:r>
                </m:e>
                <m:sub>
                  <m:r>
                    <m:t>s</m:t>
                  </m:r>
                </m:sub>
              </m:sSub>
            </m:e>
          </m:nary>
          <m:d>
            <m:dPr>
              <m:begChr m:val="("/>
              <m:endChr m:val=")"/>
              <m:sepChr m:val=""/>
              <m:grow/>
            </m:dPr>
            <m:e>
              <m:r>
                <m:t>n</m:t>
              </m:r>
            </m:e>
          </m:d>
          <m:r>
            <m:rPr>
              <m:sty m:val="p"/>
            </m:rPr>
            <m:t>=</m:t>
          </m:r>
          <m:r>
            <m:t>1</m:t>
          </m:r>
          <m:r>
            <m:rPr>
              <m:sty m:val="p"/>
            </m:rPr>
            <m:t>,</m:t>
          </m:r>
          <m:r>
            <m:t> </m:t>
          </m:r>
          <m:nary>
            <m:naryPr>
              <m:chr m:val="∑"/>
              <m:limLoc m:val="undOvr"/>
              <m:subHide m:val="off"/>
              <m:supHide m:val="on"/>
            </m:naryPr>
            <m:sub>
              <m:r>
                <m:t>s</m:t>
              </m:r>
            </m:sub>
            <m:sup>
              <m:r>
                <m:t>​</m:t>
              </m:r>
            </m:sup>
            <m:e>
              <m:sSub>
                <m:e>
                  <m:r>
                    <m:t>f</m:t>
                  </m:r>
                </m:e>
                <m:sub>
                  <m:r>
                    <m:t>s</m:t>
                  </m:r>
                </m:sub>
              </m:sSub>
            </m:e>
          </m:nary>
          <m:r>
            <m:rPr>
              <m:sty m:val="p"/>
            </m:rPr>
            <m:t>=</m:t>
          </m:r>
          <m:r>
            <m:t>1</m:t>
          </m:r>
          <m:r>
            <m:rPr>
              <m:sty m:val="p"/>
            </m:rPr>
            <m:t>.</m:t>
          </m:r>
          <m:r>
            <m:rPr>
              <m:sty m:val="p"/>
            </m:rPr>
            <m:t xml:space="preserve">   (6)</m:t>
          </m:r>
        </m:oMath>
      </m:oMathPara>
    </w:p>
    <w:p>
      <w:pPr>
        <w:pStyle w:val="FirstParagraph"/>
        <w:keepLines/>
        <w:spacing w:before="80" w:after="180"/>
        <w:ind w:firstLine="0"/>
        <w:jc w:val="left"/>
      </w:pPr>
      <m:oMathPara>
        <m:oMathParaPr>
          <m:jc m:val="center"/>
        </m:oMathParaPr>
        <m:oMath>
          <m:sSub>
            <m:e>
              <m:r>
                <m:t>φ</m:t>
              </m:r>
            </m:e>
            <m:sub>
              <m:r>
                <m:t>k</m:t>
              </m:r>
            </m:sub>
          </m:sSub>
          <m:r>
            <m:rPr>
              <m:sty m:val="p"/>
            </m:rPr>
            <m:t>+</m:t>
          </m:r>
          <m:sSub>
            <m:e>
              <m:r>
                <m:t>D</m:t>
              </m:r>
            </m:e>
            <m:sub>
              <m:r>
                <m:t>k</m:t>
              </m:r>
            </m:sub>
          </m:sSub>
          <m:r>
            <m:rPr>
              <m:sty m:val="p"/>
            </m:rPr>
            <m:t>+</m:t>
          </m:r>
          <m:sSub>
            <m:e>
              <m:r>
                <m:t>S</m:t>
              </m:r>
            </m:e>
            <m:sub>
              <m:r>
                <m:t>k</m:t>
              </m:r>
            </m:sub>
          </m:sSub>
          <m:r>
            <m:rPr>
              <m:sty m:val="p"/>
            </m:rPr>
            <m:t>+</m:t>
          </m:r>
          <m:sSub>
            <m:e>
              <m:r>
                <m:t>R</m:t>
              </m:r>
            </m:e>
            <m:sub>
              <m:r>
                <m:t>k</m:t>
              </m:r>
            </m:sub>
          </m:sSub>
          <m:r>
            <m:rPr>
              <m:sty m:val="p"/>
            </m:rPr>
            <m:t>=</m:t>
          </m:r>
          <m:r>
            <m:t>1</m:t>
          </m:r>
          <m:r>
            <m:rPr>
              <m:sty m:val="p"/>
            </m:rPr>
            <m:t>,</m:t>
          </m:r>
          <m:r>
            <m:t> </m:t>
          </m:r>
          <m:sSub>
            <m:e>
              <m:r>
                <m:t>R</m:t>
              </m:r>
            </m:e>
            <m:sub>
              <m:r>
                <m:t>k</m:t>
              </m:r>
              <m:r>
                <m:rPr>
                  <m:sty m:val="p"/>
                </m:rPr>
                <m:t>&lt;</m:t>
              </m:r>
              <m:r>
                <m:t>K</m:t>
              </m:r>
            </m:sub>
          </m:sSub>
          <m:r>
            <m:rPr>
              <m:sty m:val="p"/>
            </m:rPr>
            <m:t>=</m:t>
          </m:r>
          <m:r>
            <m:t>0</m:t>
          </m:r>
          <m:r>
            <m:rPr>
              <m:sty m:val="p"/>
            </m:rPr>
            <m:t>,</m:t>
          </m:r>
          <m:r>
            <m:t> </m:t>
          </m:r>
          <m:sSub>
            <m:e>
              <m:r>
                <m:t>S</m:t>
              </m:r>
            </m:e>
            <m:sub>
              <m:r>
                <m:t>k</m:t>
              </m:r>
              <m:r>
                <m:rPr>
                  <m:sty m:val="p"/>
                </m:rPr>
                <m:t>≥</m:t>
              </m:r>
              <m:r>
                <m:t>K</m:t>
              </m:r>
            </m:sub>
          </m:sSub>
          <m:r>
            <m:rPr>
              <m:sty m:val="p"/>
            </m:rPr>
            <m:t>=</m:t>
          </m:r>
          <m:r>
            <m:t>0</m:t>
          </m:r>
          <m:r>
            <m:rPr>
              <m:sty m:val="p"/>
            </m:rPr>
            <m:t>.</m:t>
          </m:r>
          <m:r>
            <m:rPr>
              <m:sty m:val="p"/>
            </m:rPr>
            <m:t xml:space="preserve">   (7)</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246"/>
        <w:gridCol w:w="2246"/>
        <w:gridCol w:w="2304"/>
        <w:gridCol w:w="2333"/>
      </w:tblGrid>
      <w:tr>
        <w:trPr>
          <w:tblHeader w:val="true"/>
          <w:cantSplit/>
          <w:tblHeader/>
        </w:trPr>
        <w:tc>
          <w:tcPr>
            <w:tcW w:type="dxa" w:w="86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k</w:t>
            </w:r>
          </w:p>
        </w:tc>
        <w:tc>
          <w:tcPr>
            <w:tcW w:type="dxa" w:w="224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Phenotype %</w:t>
            </w:r>
          </w:p>
        </w:tc>
        <w:tc>
          <w:tcPr>
            <w:tcW w:type="dxa" w:w="224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Resident D %</w:t>
            </w:r>
          </w:p>
        </w:tc>
        <w:tc>
          <w:tcPr>
            <w:tcW w:type="dxa" w:w="230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Pending S %</w:t>
            </w:r>
          </w:p>
        </w:tc>
        <w:tc>
          <w:tcPr>
            <w:tcW w:type="dxa" w:w="2333"/>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Return R %</w:t>
            </w:r>
          </w:p>
        </w:tc>
      </w:tr>
      <w:tr>
        <w:trPr>
          <w:cantSplit/>
        </w:trPr>
        <w:tc>
          <w:tcPr>
            <w:tcW w:type="dxa" w:w="86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73.200000</w:t>
            </w:r>
          </w:p>
        </w:tc>
        <w:tc>
          <w:tcPr>
            <w:tcW w:type="dxa" w:w="2333"/>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0</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1.501794</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71.698206</w:t>
            </w:r>
          </w:p>
        </w:tc>
        <w:tc>
          <w:tcPr>
            <w:tcW w:type="dxa" w:w="2333"/>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2.513899</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70.686101</w:t>
            </w:r>
          </w:p>
        </w:tc>
        <w:tc>
          <w:tcPr>
            <w:tcW w:type="dxa" w:w="2333"/>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2</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3.044795</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70.155205</w:t>
            </w:r>
          </w:p>
        </w:tc>
        <w:tc>
          <w:tcPr>
            <w:tcW w:type="dxa" w:w="2333"/>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3</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3.704795</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69.495205</w:t>
            </w:r>
          </w:p>
        </w:tc>
        <w:tc>
          <w:tcPr>
            <w:tcW w:type="dxa" w:w="2333"/>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4</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4.050025</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69.149975</w:t>
            </w:r>
          </w:p>
        </w:tc>
        <w:tc>
          <w:tcPr>
            <w:tcW w:type="dxa" w:w="2333"/>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5</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4.630648</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68.569352</w:t>
            </w:r>
          </w:p>
        </w:tc>
        <w:tc>
          <w:tcPr>
            <w:tcW w:type="dxa" w:w="2333"/>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6</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4.853503</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68.346497</w:t>
            </w:r>
          </w:p>
        </w:tc>
        <w:tc>
          <w:tcPr>
            <w:tcW w:type="dxa" w:w="2333"/>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7</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5.000000</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68.200000</w:t>
            </w:r>
          </w:p>
        </w:tc>
        <w:tc>
          <w:tcPr>
            <w:tcW w:type="dxa" w:w="2333"/>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8</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5.000000</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c>
          <w:tcPr>
            <w:tcW w:type="dxa" w:w="2333"/>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68.200000</w:t>
            </w:r>
          </w:p>
        </w:tc>
      </w:tr>
      <w:tr>
        <w:trPr>
          <w:cantSplit/>
        </w:trPr>
        <w:tc>
          <w:tcPr>
            <w:tcW w:type="dxa" w:w="86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9</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5.000000</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c>
          <w:tcPr>
            <w:tcW w:type="dxa" w:w="2333"/>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68.200000</w:t>
            </w:r>
          </w:p>
        </w:tc>
      </w:tr>
      <w:tr>
        <w:trPr>
          <w:cantSplit/>
        </w:trPr>
        <w:tc>
          <w:tcPr>
            <w:tcW w:type="dxa" w:w="86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10</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5.000000</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c>
          <w:tcPr>
            <w:tcW w:type="dxa" w:w="2333"/>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68.200000</w:t>
            </w:r>
          </w:p>
        </w:tc>
      </w:tr>
    </w:tbl>
    <w:bookmarkEnd w:id="22"/>
    <w:bookmarkStart w:id="23" w:name="잔존-actual과-전체-actual의-범위"/>
    <w:p>
      <w:pPr>
        <w:pStyle w:val="Heading2"/>
        <w:ind w:firstLine="0"/>
        <w:jc w:val="left"/>
      </w:pPr>
      <w:r>
        <w:rPr>
          <w:color w:val="000000"/>
        </w:rPr>
        <w:t xml:space="preserve">잔존 Actual과 전체 Actual의 범위</w:t>
      </w:r>
    </w:p>
    <w:p>
      <w:pPr>
        <w:pStyle w:val="FirstParagraph"/>
        <w:keepNext/>
        <w:ind w:firstLine="0"/>
        <w:jc w:val="left"/>
      </w:pPr>
      <w:r>
        <w:t xml:space="preserve">상류의 잔존 Actual은 복귀 경계 뒤 남는 phi+D이며 전체 주소 분모에서는 31.8%다. 하류의 전체 Actual 장부는 현재 모형의 표현형, 비표현형 잔존 및 복귀의 배경 응답 출처를 모두 집계하므로 100%다. R이 이미 복귀했는데도 잔존 주소 상태에 그대로 남았다는 뜻은 아니다. 복귀 출처를 하류 배경 응답에 대응시키는 장부를 별도로 포함한 것이다.</w:t>
      </w:r>
    </w:p>
    <w:p>
      <w:pPr>
        <w:pStyle w:val="BodyText"/>
        <w:keepLines/>
        <w:spacing w:before="80" w:after="180"/>
        <w:ind w:firstLine="0"/>
        <w:jc w:val="left"/>
      </w:pPr>
      <m:oMathPara>
        <m:oMathParaPr>
          <m:jc m:val="center"/>
        </m:oMathParaPr>
        <m:oMath>
          <m:sSub>
            <m:e>
              <m:r>
                <m:t>A</m:t>
              </m:r>
            </m:e>
            <m:sub>
              <m:r>
                <m:rPr>
                  <m:sty m:val="p"/>
                </m:rPr>
                <m:t>r</m:t>
              </m:r>
              <m:r>
                <m:rPr>
                  <m:sty m:val="p"/>
                </m:rPr>
                <m:t>e</m:t>
              </m:r>
              <m:r>
                <m:rPr>
                  <m:sty m:val="p"/>
                </m:rPr>
                <m:t>s</m:t>
              </m:r>
              <m:r>
                <m:rPr>
                  <m:sty m:val="p"/>
                </m:rPr>
                <m:t>i</m:t>
              </m:r>
              <m:r>
                <m:rPr>
                  <m:sty m:val="p"/>
                </m:rPr>
                <m:t>d</m:t>
              </m:r>
              <m:r>
                <m:rPr>
                  <m:sty m:val="p"/>
                </m:rPr>
                <m:t>e</m:t>
              </m:r>
              <m:r>
                <m:rPr>
                  <m:sty m:val="p"/>
                </m:rPr>
                <m:t>n</m:t>
              </m:r>
              <m:r>
                <m:rPr>
                  <m:sty m:val="p"/>
                </m:rPr>
                <m:t>t</m:t>
              </m:r>
            </m:sub>
          </m:sSub>
          <m:r>
            <m:rPr>
              <m:sty m:val="p"/>
            </m:rPr>
            <m:t>=</m:t>
          </m:r>
          <m:sSub>
            <m:e>
              <m:r>
                <m:t>f</m:t>
              </m:r>
            </m:e>
            <m:sub>
              <m:r>
                <m:t>φ</m:t>
              </m:r>
            </m:sub>
          </m:sSub>
          <m:r>
            <m:rPr>
              <m:sty m:val="p"/>
            </m:rPr>
            <m:t>+</m:t>
          </m:r>
          <m:sSub>
            <m:e>
              <m:r>
                <m:t>f</m:t>
              </m:r>
            </m:e>
            <m:sub>
              <m:r>
                <m:t>D</m:t>
              </m:r>
            </m:sub>
          </m:sSub>
          <m:r>
            <m:rPr>
              <m:sty m:val="p"/>
            </m:rPr>
            <m:t>=</m:t>
          </m:r>
          <m:r>
            <m:t>0.318</m:t>
          </m:r>
          <m:r>
            <m:rPr>
              <m:sty m:val="p"/>
            </m:rPr>
            <m:t>,</m:t>
          </m:r>
          <m:r>
            <m:t>  </m:t>
          </m:r>
          <m:sSub>
            <m:e>
              <m:r>
                <m:t>A</m:t>
              </m:r>
            </m:e>
            <m:sub>
              <m:r>
                <m:rPr>
                  <m:sty m:val="p"/>
                </m:rPr>
                <m:t>c</m:t>
              </m:r>
              <m:r>
                <m:rPr>
                  <m:sty m:val="p"/>
                </m:rPr>
                <m:t>o</m:t>
              </m:r>
              <m:r>
                <m:rPr>
                  <m:sty m:val="p"/>
                </m:rPr>
                <m:t>m</m:t>
              </m:r>
              <m:r>
                <m:rPr>
                  <m:sty m:val="p"/>
                </m:rPr>
                <m:t>p</m:t>
              </m:r>
              <m:r>
                <m:rPr>
                  <m:sty m:val="p"/>
                </m:rPr>
                <m:t>l</m:t>
              </m:r>
              <m:r>
                <m:rPr>
                  <m:sty m:val="p"/>
                </m:rPr>
                <m:t>e</m:t>
              </m:r>
              <m:r>
                <m:rPr>
                  <m:sty m:val="p"/>
                </m:rPr>
                <m:t>t</m:t>
              </m:r>
              <m:r>
                <m:rPr>
                  <m:sty m:val="p"/>
                </m:rPr>
                <m:t>e</m:t>
              </m:r>
              <m:r>
                <m:rPr>
                  <m:sty m:val="p"/>
                </m:rPr>
                <m:t> </m:t>
              </m:r>
              <m:r>
                <m:rPr>
                  <m:sty m:val="p"/>
                </m:rPr>
                <m:t>l</m:t>
              </m:r>
              <m:r>
                <m:rPr>
                  <m:sty m:val="p"/>
                </m:rPr>
                <m:t>e</m:t>
              </m:r>
              <m:r>
                <m:rPr>
                  <m:sty m:val="p"/>
                </m:rPr>
                <m:t>d</m:t>
              </m:r>
              <m:r>
                <m:rPr>
                  <m:sty m:val="p"/>
                </m:rPr>
                <m:t>g</m:t>
              </m:r>
              <m:r>
                <m:rPr>
                  <m:sty m:val="p"/>
                </m:rPr>
                <m:t>e</m:t>
              </m:r>
              <m:r>
                <m:rPr>
                  <m:sty m:val="p"/>
                </m:rPr>
                <m:t>r</m:t>
              </m:r>
            </m:sub>
          </m:sSub>
          <m:r>
            <m:rPr>
              <m:sty m:val="p"/>
            </m:rPr>
            <m:t>=</m:t>
          </m:r>
          <m:sSub>
            <m:e>
              <m:r>
                <m:t>f</m:t>
              </m:r>
            </m:e>
            <m:sub>
              <m:r>
                <m:t>φ</m:t>
              </m:r>
            </m:sub>
          </m:sSub>
          <m:r>
            <m:rPr>
              <m:sty m:val="p"/>
            </m:rPr>
            <m:t>+</m:t>
          </m:r>
          <m:sSub>
            <m:e>
              <m:r>
                <m:t>f</m:t>
              </m:r>
            </m:e>
            <m:sub>
              <m:r>
                <m:t>D</m:t>
              </m:r>
            </m:sub>
          </m:sSub>
          <m:r>
            <m:rPr>
              <m:sty m:val="p"/>
            </m:rPr>
            <m:t>+</m:t>
          </m:r>
          <m:sSub>
            <m:e>
              <m:r>
                <m:t>f</m:t>
              </m:r>
            </m:e>
            <m:sub>
              <m:r>
                <m:t>R</m:t>
              </m:r>
            </m:sub>
          </m:sSub>
          <m:r>
            <m:rPr>
              <m:sty m:val="p"/>
            </m:rPr>
            <m:t>=</m:t>
          </m:r>
          <m:r>
            <m:t>1</m:t>
          </m:r>
          <m:r>
            <m:rPr>
              <m:sty m:val="p"/>
            </m:rPr>
            <m:t>.</m:t>
          </m:r>
          <m:r>
            <m:rPr>
              <m:sty m:val="p"/>
            </m:rPr>
            <m:t xml:space="preserve">   (8)</m:t>
          </m:r>
        </m:oMath>
      </m:oMathPara>
    </w:p>
    <w:p>
      <w:pPr>
        <w:pStyle w:val="FirstParagraph"/>
        <w:keepLines/>
        <w:spacing w:before="80" w:after="180"/>
        <w:ind w:firstLine="0"/>
        <w:jc w:val="left"/>
      </w:pPr>
      <m:oMathPara>
        <m:oMathParaPr>
          <m:jc m:val="center"/>
        </m:oMathParaPr>
        <m:oMath>
          <m:sSub>
            <m:e>
              <m:r>
                <m:t>f</m:t>
              </m:r>
            </m:e>
            <m:sub>
              <m:r>
                <m:t>φ</m:t>
              </m:r>
              <m:r>
                <m:rPr>
                  <m:sty m:val="p"/>
                </m:rPr>
                <m:t>∣</m:t>
              </m:r>
              <m:r>
                <m:t>A</m:t>
              </m:r>
            </m:sub>
          </m:sSub>
          <m:r>
            <m:rPr>
              <m:sty m:val="p"/>
            </m:rPr>
            <m:t>=</m:t>
          </m:r>
          <m:f>
            <m:fPr>
              <m:type m:val="bar"/>
            </m:fPr>
            <m:num>
              <m:sSub>
                <m:e>
                  <m:r>
                    <m:t>f</m:t>
                  </m:r>
                </m:e>
                <m:sub>
                  <m:r>
                    <m:t>φ</m:t>
                  </m:r>
                </m:sub>
              </m:sSub>
            </m:num>
            <m:den>
              <m:sSub>
                <m:e>
                  <m:r>
                    <m:t>f</m:t>
                  </m:r>
                </m:e>
                <m:sub>
                  <m:r>
                    <m:t>φ</m:t>
                  </m:r>
                </m:sub>
              </m:sSub>
              <m:r>
                <m:rPr>
                  <m:sty m:val="p"/>
                </m:rPr>
                <m:t>+</m:t>
              </m:r>
              <m:sSub>
                <m:e>
                  <m:r>
                    <m:t>f</m:t>
                  </m:r>
                </m:e>
                <m:sub>
                  <m:r>
                    <m:t>D</m:t>
                  </m:r>
                </m:sub>
              </m:sSub>
            </m:den>
          </m:f>
          <m:r>
            <m:rPr>
              <m:sty m:val="p"/>
            </m:rPr>
            <m:t>,</m:t>
          </m:r>
          <m:r>
            <m:t> </m:t>
          </m:r>
          <m:sSub>
            <m:e>
              <m:r>
                <m:t>f</m:t>
              </m:r>
            </m:e>
            <m:sub>
              <m:r>
                <m:t>D</m:t>
              </m:r>
              <m:r>
                <m:rPr>
                  <m:sty m:val="p"/>
                </m:rPr>
                <m:t>∣</m:t>
              </m:r>
              <m:r>
                <m:t>A</m:t>
              </m:r>
            </m:sub>
          </m:sSub>
          <m:r>
            <m:rPr>
              <m:sty m:val="p"/>
            </m:rPr>
            <m:t>=</m:t>
          </m:r>
          <m:f>
            <m:fPr>
              <m:type m:val="bar"/>
            </m:fPr>
            <m:num>
              <m:sSub>
                <m:e>
                  <m:r>
                    <m:t>f</m:t>
                  </m:r>
                </m:e>
                <m:sub>
                  <m:r>
                    <m:t>D</m:t>
                  </m:r>
                </m:sub>
              </m:sSub>
            </m:num>
            <m:den>
              <m:sSub>
                <m:e>
                  <m:r>
                    <m:t>f</m:t>
                  </m:r>
                </m:e>
                <m:sub>
                  <m:r>
                    <m:t>φ</m:t>
                  </m:r>
                </m:sub>
              </m:sSub>
              <m:r>
                <m:rPr>
                  <m:sty m:val="p"/>
                </m:rPr>
                <m:t>+</m:t>
              </m:r>
              <m:sSub>
                <m:e>
                  <m:r>
                    <m:t>f</m:t>
                  </m:r>
                </m:e>
                <m:sub>
                  <m:r>
                    <m:t>D</m:t>
                  </m:r>
                </m:sub>
              </m:sSub>
            </m:den>
          </m:f>
          <m:r>
            <m:rPr>
              <m:sty m:val="p"/>
            </m:rPr>
            <m:t>,</m:t>
          </m:r>
          <m:r>
            <m:t> </m:t>
          </m:r>
          <m:sSub>
            <m:e>
              <m:r>
                <m:t>f</m:t>
              </m:r>
            </m:e>
            <m:sub>
              <m:r>
                <m:t>R</m:t>
              </m:r>
              <m:r>
                <m:rPr>
                  <m:sty m:val="p"/>
                </m:rPr>
                <m:t>∣</m:t>
              </m:r>
              <m:r>
                <m:t>A</m:t>
              </m:r>
            </m:sub>
          </m:sSub>
          <m:r>
            <m:rPr>
              <m:sty m:val="p"/>
            </m:rPr>
            <m:t>=</m:t>
          </m:r>
          <m:r>
            <m:t>0</m:t>
          </m:r>
          <m:r>
            <m:rPr>
              <m:sty m:val="p"/>
            </m:rPr>
            <m:t>.</m:t>
          </m:r>
          <m:r>
            <m:rPr>
              <m:sty m:val="p"/>
            </m:rPr>
            <m:t xml:space="preserve">   (9)</m:t>
          </m:r>
        </m:oMath>
      </m:oMathPara>
    </w:p>
    <w:p>
      <w:pPr>
        <w:pStyle w:val="FirstParagraph"/>
        <w:ind w:firstLine="0"/>
        <w:jc w:val="left"/>
      </w:pPr>
      <w:r>
        <w:t xml:space="preserve">잔존 범위 안에서 다시 정규화하면 표현형은 약 15.72327%, D는 약 84.27673%다. 이것을 전체 우주의 5%·26.8%·68.2%와 혼동하지 않는다. 표의 세 부문 및 잔존과 전체 행은 같은 원래 분모로 표시한다. 실제 입력과 장부는 반올림하지 않은 값을 저장하며 표만 표시 자릿수로 반올림한다.</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674"/>
        <w:gridCol w:w="2016"/>
        <w:gridCol w:w="2304"/>
      </w:tblGrid>
      <w:tr>
        <w:trPr>
          <w:tblHeader w:val="true"/>
          <w:cantSplit/>
          <w:tblHeader/>
        </w:trPr>
        <w:tc>
          <w:tcPr>
            <w:tcW w:type="dxa" w:w="567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Scope</w:t>
            </w:r>
          </w:p>
        </w:tc>
        <w:tc>
          <w:tcPr>
            <w:tcW w:type="dxa" w:w="201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Original denominator</w:t>
            </w:r>
          </w:p>
        </w:tc>
        <w:tc>
          <w:tcPr>
            <w:tcW w:type="dxa" w:w="230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Share %</w:t>
            </w:r>
          </w:p>
        </w:tc>
      </w:tr>
      <w:tr>
        <w:trPr>
          <w:cantSplit/>
        </w:trPr>
        <w:tc>
          <w:tcPr>
            <w:tcW w:type="dxa" w:w="567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표현형 phi</w:t>
            </w:r>
          </w:p>
        </w:tc>
        <w:tc>
          <w:tcPr>
            <w:tcW w:type="dxa" w:w="201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5.00000000</w:t>
            </w:r>
          </w:p>
        </w:tc>
      </w:tr>
      <w:tr>
        <w:trPr>
          <w:cantSplit/>
        </w:trPr>
        <w:tc>
          <w:tcPr>
            <w:tcW w:type="dxa" w:w="567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비표현형 잔존 D</w:t>
            </w:r>
          </w:p>
        </w:tc>
        <w:tc>
          <w:tcPr>
            <w:tcW w:type="dxa" w:w="201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26.80000000</w:t>
            </w:r>
          </w:p>
        </w:tc>
      </w:tr>
      <w:tr>
        <w:trPr>
          <w:cantSplit/>
        </w:trPr>
        <w:tc>
          <w:tcPr>
            <w:tcW w:type="dxa" w:w="567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복귀 R</w:t>
            </w:r>
          </w:p>
        </w:tc>
        <w:tc>
          <w:tcPr>
            <w:tcW w:type="dxa" w:w="201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68.20000000</w:t>
            </w:r>
          </w:p>
        </w:tc>
      </w:tr>
      <w:tr>
        <w:trPr>
          <w:cantSplit/>
        </w:trPr>
        <w:tc>
          <w:tcPr>
            <w:tcW w:type="dxa" w:w="567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잔존 Actual</w:t>
            </w:r>
          </w:p>
        </w:tc>
        <w:tc>
          <w:tcPr>
            <w:tcW w:type="dxa" w:w="201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31.80000000</w:t>
            </w:r>
          </w:p>
        </w:tc>
      </w:tr>
      <w:tr>
        <w:trPr>
          <w:cantSplit/>
        </w:trPr>
        <w:tc>
          <w:tcPr>
            <w:tcW w:type="dxa" w:w="567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전체 집계 Actual</w:t>
            </w:r>
          </w:p>
        </w:tc>
        <w:tc>
          <w:tcPr>
            <w:tcW w:type="dxa" w:w="201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100.00000000</w:t>
            </w:r>
          </w:p>
        </w:tc>
      </w:tr>
    </w:tbl>
    <w:bookmarkEnd w:id="23"/>
    <w:bookmarkStart w:id="24" w:name="선택된-입자-채널에-대한-조건부-연결"/>
    <w:p>
      <w:pPr>
        <w:pStyle w:val="Heading2"/>
        <w:ind w:firstLine="0"/>
        <w:jc w:val="left"/>
      </w:pPr>
      <w:r>
        <w:rPr>
          <w:color w:val="000000"/>
        </w:rPr>
        <w:t xml:space="preserve">선택된 입자 채널에 대한 조건부 연결</w:t>
      </w:r>
    </w:p>
    <w:p>
      <w:pPr>
        <w:pStyle w:val="FirstParagraph"/>
        <w:keepNext/>
        <w:ind w:firstLine="0"/>
        <w:jc w:val="left"/>
      </w:pPr>
      <w:r>
        <w:t xml:space="preserve">0.8의 실제 선택 F_DX와 16개 출처에서의 순열 P를 그대로 실행한다. 표현형 주소 가중치를 조건부 출처 커널 q_i(n)에 따라 배분한 뒤 선택 순열을 적용하고, 정규화한 세 세대 상태 p_g를 곱한다. 기본 커널은 주소에 공통인 1/16, 세대는 각각 1/3이다. 최소 소인수가 특정 홀수 소수인 주소군에는 다른 정규화 커널을 입력할 수 있고, 비균등 커널 및 세대 가중치를 실제 대조했다.</w:t>
      </w:r>
    </w:p>
    <w:p>
      <w:pPr>
        <w:pStyle w:val="BodyText"/>
        <w:keepLines/>
        <w:spacing w:before="80" w:after="180"/>
        <w:ind w:firstLine="0"/>
        <w:jc w:val="left"/>
      </w:pPr>
      <m:oMathPara>
        <m:oMathParaPr>
          <m:jc m:val="center"/>
        </m:oMathParaPr>
        <m:oMath>
          <m:sSub>
            <m:e>
              <m:r>
                <m:t>x</m:t>
              </m:r>
            </m:e>
            <m:sub>
              <m:r>
                <m:t>i</m:t>
              </m:r>
            </m:sub>
          </m:sSub>
          <m:r>
            <m:rPr>
              <m:sty m:val="p"/>
            </m:rPr>
            <m:t>=</m:t>
          </m:r>
          <m:nary>
            <m:naryPr>
              <m:chr m:val="∑"/>
              <m:limLoc m:val="undOvr"/>
              <m:subHide m:val="off"/>
              <m:supHide m:val="on"/>
            </m:naryPr>
            <m:sub>
              <m:r>
                <m:t>n</m:t>
              </m:r>
            </m:sub>
            <m:sup>
              <m:r>
                <m:t>​</m:t>
              </m:r>
            </m:sup>
            <m:e>
              <m:sSub>
                <m:e>
                  <m:r>
                    <m:t>w</m:t>
                  </m:r>
                </m:e>
                <m:sub>
                  <m:r>
                    <m:t>n</m:t>
                  </m:r>
                </m:sub>
              </m:sSub>
            </m:e>
          </m:nary>
          <m:sSub>
            <m:e>
              <m:r>
                <m:t>e</m:t>
              </m:r>
            </m:e>
            <m:sub>
              <m:r>
                <m:t>φ</m:t>
              </m:r>
            </m:sub>
          </m:sSub>
          <m:d>
            <m:dPr>
              <m:begChr m:val="("/>
              <m:endChr m:val=")"/>
              <m:sepChr m:val=""/>
              <m:grow/>
            </m:dPr>
            <m:e>
              <m:r>
                <m:t>n</m:t>
              </m:r>
            </m:e>
          </m:d>
          <m:sSub>
            <m:e>
              <m:r>
                <m:t>q</m:t>
              </m:r>
            </m:e>
            <m:sub>
              <m:r>
                <m:t>i</m:t>
              </m:r>
            </m:sub>
          </m:sSub>
          <m:d>
            <m:dPr>
              <m:begChr m:val="("/>
              <m:endChr m:val=")"/>
              <m:sepChr m:val=""/>
              <m:grow/>
            </m:dPr>
            <m:e>
              <m:r>
                <m:t>n</m:t>
              </m:r>
            </m:e>
          </m:d>
          <m:r>
            <m:rPr>
              <m:sty m:val="p"/>
            </m:rPr>
            <m:t>,</m:t>
          </m:r>
          <m:r>
            <m:t> </m:t>
          </m:r>
          <m:nary>
            <m:naryPr>
              <m:chr m:val="∑"/>
              <m:limLoc m:val="undOvr"/>
              <m:subHide m:val="off"/>
              <m:supHide m:val="on"/>
            </m:naryPr>
            <m:sub>
              <m:r>
                <m:t>i</m:t>
              </m:r>
            </m:sub>
            <m:sup>
              <m:r>
                <m:t>​</m:t>
              </m:r>
            </m:sup>
            <m:e>
              <m:sSub>
                <m:e>
                  <m:r>
                    <m:t>q</m:t>
                  </m:r>
                </m:e>
                <m:sub>
                  <m:r>
                    <m:t>i</m:t>
                  </m:r>
                </m:sub>
              </m:sSub>
            </m:e>
          </m:nary>
          <m:d>
            <m:dPr>
              <m:begChr m:val="("/>
              <m:endChr m:val=")"/>
              <m:sepChr m:val=""/>
              <m:grow/>
            </m:dPr>
            <m:e>
              <m:r>
                <m:t>n</m:t>
              </m:r>
            </m:e>
          </m:d>
          <m:r>
            <m:rPr>
              <m:sty m:val="p"/>
            </m:rPr>
            <m:t>=</m:t>
          </m:r>
          <m:r>
            <m:t>1</m:t>
          </m:r>
          <m:r>
            <m:rPr>
              <m:sty m:val="p"/>
            </m:rPr>
            <m:t>,</m:t>
          </m:r>
          <m:r>
            <m:t>  </m:t>
          </m:r>
          <m:r>
            <m:t>y</m:t>
          </m:r>
          <m:r>
            <m:rPr>
              <m:sty m:val="p"/>
            </m:rPr>
            <m:t>=</m:t>
          </m:r>
          <m:r>
            <m:t>P</m:t>
          </m:r>
          <m:r>
            <m:t>x</m:t>
          </m:r>
          <m:r>
            <m:rPr>
              <m:sty m:val="p"/>
            </m:rPr>
            <m:t>.</m:t>
          </m:r>
          <m:r>
            <m:rPr>
              <m:sty m:val="p"/>
            </m:rPr>
            <m:t xml:space="preserve">   (10)</m:t>
          </m:r>
        </m:oMath>
      </m:oMathPara>
    </w:p>
    <w:p>
      <w:pPr>
        <w:pStyle w:val="FirstParagraph"/>
        <w:keepLines/>
        <w:spacing w:before="80" w:after="180"/>
        <w:ind w:firstLine="0"/>
        <w:jc w:val="left"/>
      </w:pPr>
      <m:oMathPara>
        <m:oMathParaPr>
          <m:jc m:val="center"/>
        </m:oMathParaPr>
        <m:oMath>
          <m:sSub>
            <m:e>
              <m:r>
                <m:t>W</m:t>
              </m:r>
            </m:e>
            <m:sub>
              <m:r>
                <m:t>g</m:t>
              </m:r>
              <m:r>
                <m:rPr>
                  <m:sty m:val="p"/>
                </m:rPr>
                <m:t>,</m:t>
              </m:r>
              <m:r>
                <m:t>i</m:t>
              </m:r>
            </m:sub>
          </m:sSub>
          <m:r>
            <m:rPr>
              <m:sty m:val="p"/>
            </m:rPr>
            <m:t>=</m:t>
          </m:r>
          <m:sSub>
            <m:e>
              <m:r>
                <m:t>p</m:t>
              </m:r>
            </m:e>
            <m:sub>
              <m:r>
                <m:t>g</m:t>
              </m:r>
            </m:sub>
          </m:sSub>
          <m:sSub>
            <m:e>
              <m:r>
                <m:t>y</m:t>
              </m:r>
            </m:e>
            <m:sub>
              <m:r>
                <m:t>i</m:t>
              </m:r>
            </m:sub>
          </m:sSub>
          <m:r>
            <m:rPr>
              <m:sty m:val="p"/>
            </m:rPr>
            <m:t>,</m:t>
          </m:r>
          <m:r>
            <m:t> </m:t>
          </m:r>
          <m:sSup>
            <m:e>
              <m:r>
                <m:t>P</m:t>
              </m:r>
            </m:e>
            <m:sup>
              <m:r>
                <m:rPr>
                  <m:sty m:val="p"/>
                </m:rPr>
                <m:t>†</m:t>
              </m:r>
            </m:sup>
          </m:sSup>
          <m:r>
            <m:t>P</m:t>
          </m:r>
          <m:r>
            <m:rPr>
              <m:sty m:val="p"/>
            </m:rPr>
            <m:t>=</m:t>
          </m:r>
          <m:r>
            <m:t>I</m:t>
          </m:r>
          <m:r>
            <m:rPr>
              <m:sty m:val="p"/>
            </m:rPr>
            <m:t>,</m:t>
          </m:r>
          <m:r>
            <m:t> </m:t>
          </m:r>
          <m:nary>
            <m:naryPr>
              <m:chr m:val="∑"/>
              <m:limLoc m:val="undOvr"/>
              <m:subHide m:val="off"/>
              <m:supHide m:val="on"/>
            </m:naryPr>
            <m:sub>
              <m:r>
                <m:t>g</m:t>
              </m:r>
            </m:sub>
            <m:sup>
              <m:r>
                <m:t>​</m:t>
              </m:r>
            </m:sup>
            <m:e>
              <m:sSub>
                <m:e>
                  <m:r>
                    <m:t>p</m:t>
                  </m:r>
                </m:e>
                <m:sub>
                  <m:r>
                    <m:t>g</m:t>
                  </m:r>
                </m:sub>
              </m:sSub>
            </m:e>
          </m:nary>
          <m:r>
            <m:rPr>
              <m:sty m:val="p"/>
            </m:rPr>
            <m:t>=</m:t>
          </m:r>
          <m:r>
            <m:t>1</m:t>
          </m:r>
          <m:r>
            <m:rPr>
              <m:sty m:val="p"/>
            </m:rPr>
            <m:t>,</m:t>
          </m:r>
          <m:r>
            <m:t> </m:t>
          </m:r>
          <m:nary>
            <m:naryPr>
              <m:chr m:val="∑"/>
              <m:limLoc m:val="undOvr"/>
              <m:subHide m:val="off"/>
              <m:supHide m:val="on"/>
            </m:naryPr>
            <m:sub>
              <m:r>
                <m:t>g</m:t>
              </m:r>
              <m:r>
                <m:rPr>
                  <m:sty m:val="p"/>
                </m:rPr>
                <m:t>,</m:t>
              </m:r>
              <m:r>
                <m:t>i</m:t>
              </m:r>
            </m:sub>
            <m:sup>
              <m:r>
                <m:t>​</m:t>
              </m:r>
            </m:sup>
            <m:e>
              <m:sSub>
                <m:e>
                  <m:r>
                    <m:t>W</m:t>
                  </m:r>
                </m:e>
                <m:sub>
                  <m:r>
                    <m:t>g</m:t>
                  </m:r>
                  <m:r>
                    <m:rPr>
                      <m:sty m:val="p"/>
                    </m:rPr>
                    <m:t>,</m:t>
                  </m:r>
                  <m:r>
                    <m:t>i</m:t>
                  </m:r>
                </m:sub>
              </m:sSub>
            </m:e>
          </m:nary>
          <m:r>
            <m:rPr>
              <m:sty m:val="p"/>
            </m:rPr>
            <m:t>=</m:t>
          </m:r>
          <m:sSub>
            <m:e>
              <m:r>
                <m:t>f</m:t>
              </m:r>
            </m:e>
            <m:sub>
              <m:r>
                <m:t>φ</m:t>
              </m:r>
            </m:sub>
          </m:sSub>
          <m:r>
            <m:rPr>
              <m:sty m:val="p"/>
            </m:rPr>
            <m:t>.</m:t>
          </m:r>
          <m:r>
            <m:rPr>
              <m:sty m:val="p"/>
            </m:rPr>
            <m:t xml:space="preserve">   (11)</m:t>
          </m:r>
        </m:oMath>
      </m:oMathPara>
    </w:p>
    <w:p>
      <w:pPr>
        <w:pStyle w:val="FirstParagraph"/>
        <w:ind w:firstLine="0"/>
        <w:jc w:val="left"/>
      </w:pPr>
      <w:r>
        <w:t xml:space="preserve">이 주소와 채널의 대응은 공개한 구성 입력이다. 소수 계보로부터 특정 입자 이름이나 질량을 고유하게 도출했다는 주장은 하지 않는다. 입자 채널의 Y와 Q는 0.8의 동일 연산자로 계산한다. 아래 가중치는 기준 커널에서 표현형 5%를 나눈 값이며 관측된 입자 점유율 또는 새 우주 구성비가 아니다. 표준모형 손지기 성분 45개와 조건부 중성 확장 슬롯 3개를 유지한다. 중성 확장 슬롯의 존재·질량·점유는 이번 계산으로 측정하지 않는다.</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152"/>
        <w:gridCol w:w="2880"/>
        <w:gridCol w:w="3946"/>
      </w:tblGrid>
      <w:tr>
        <w:trPr>
          <w:tblHeader w:val="true"/>
          <w:cantSplit/>
          <w:tblHeader/>
        </w:trPr>
        <w:tc>
          <w:tcPr>
            <w:tcW w:type="dxa" w:w="2016"/>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Field</w:t>
            </w:r>
          </w:p>
        </w:tc>
        <w:tc>
          <w:tcPr>
            <w:tcW w:type="dxa" w:w="115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Count</w:t>
            </w:r>
          </w:p>
        </w:tc>
        <w:tc>
          <w:tcPr>
            <w:tcW w:type="dxa" w:w="2880"/>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Y</w:t>
            </w:r>
          </w:p>
        </w:tc>
        <w:tc>
          <w:tcPr>
            <w:tcW w:type="dxa" w:w="394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Full ledger weight %</w:t>
            </w:r>
          </w:p>
        </w:tc>
      </w:tr>
      <w:tr>
        <w:trPr>
          <w:cantSplit/>
        </w:trPr>
        <w:tc>
          <w:tcPr>
            <w:tcW w:type="dxa" w:w="2016"/>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Q_L</w:t>
            </w:r>
          </w:p>
        </w:tc>
        <w:tc>
          <w:tcPr>
            <w:tcW w:type="dxa" w:w="115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18</w:t>
            </w:r>
          </w:p>
        </w:tc>
        <w:tc>
          <w:tcPr>
            <w:tcW w:type="dxa" w:w="288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1/6</w:t>
            </w:r>
          </w:p>
        </w:tc>
        <w:tc>
          <w:tcPr>
            <w:tcW w:type="dxa" w:w="39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1.87500000</w:t>
            </w:r>
          </w:p>
        </w:tc>
      </w:tr>
      <w:tr>
        <w:trPr>
          <w:cantSplit/>
        </w:trPr>
        <w:tc>
          <w:tcPr>
            <w:tcW w:type="dxa" w:w="2016"/>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L_L</w:t>
            </w:r>
          </w:p>
        </w:tc>
        <w:tc>
          <w:tcPr>
            <w:tcW w:type="dxa" w:w="115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w:t>
            </w:r>
          </w:p>
        </w:tc>
        <w:tc>
          <w:tcPr>
            <w:tcW w:type="dxa" w:w="288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w:t>
            </w:r>
          </w:p>
        </w:tc>
        <w:tc>
          <w:tcPr>
            <w:tcW w:type="dxa" w:w="39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0.62500000</w:t>
            </w:r>
          </w:p>
        </w:tc>
      </w:tr>
      <w:tr>
        <w:trPr>
          <w:cantSplit/>
        </w:trPr>
        <w:tc>
          <w:tcPr>
            <w:tcW w:type="dxa" w:w="2016"/>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u_c</w:t>
            </w:r>
          </w:p>
        </w:tc>
        <w:tc>
          <w:tcPr>
            <w:tcW w:type="dxa" w:w="115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w:t>
            </w:r>
          </w:p>
        </w:tc>
        <w:tc>
          <w:tcPr>
            <w:tcW w:type="dxa" w:w="288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-2/3</w:t>
            </w:r>
          </w:p>
        </w:tc>
        <w:tc>
          <w:tcPr>
            <w:tcW w:type="dxa" w:w="39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0.93750000</w:t>
            </w:r>
          </w:p>
        </w:tc>
      </w:tr>
      <w:tr>
        <w:trPr>
          <w:cantSplit/>
        </w:trPr>
        <w:tc>
          <w:tcPr>
            <w:tcW w:type="dxa" w:w="2016"/>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d_c</w:t>
            </w:r>
          </w:p>
        </w:tc>
        <w:tc>
          <w:tcPr>
            <w:tcW w:type="dxa" w:w="115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w:t>
            </w:r>
          </w:p>
        </w:tc>
        <w:tc>
          <w:tcPr>
            <w:tcW w:type="dxa" w:w="288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1/3</w:t>
            </w:r>
          </w:p>
        </w:tc>
        <w:tc>
          <w:tcPr>
            <w:tcW w:type="dxa" w:w="39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0.93750000</w:t>
            </w:r>
          </w:p>
        </w:tc>
      </w:tr>
      <w:tr>
        <w:trPr>
          <w:cantSplit/>
        </w:trPr>
        <w:tc>
          <w:tcPr>
            <w:tcW w:type="dxa" w:w="2016"/>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nu_c</w:t>
            </w:r>
          </w:p>
        </w:tc>
        <w:tc>
          <w:tcPr>
            <w:tcW w:type="dxa" w:w="115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w:t>
            </w:r>
          </w:p>
        </w:tc>
        <w:tc>
          <w:tcPr>
            <w:tcW w:type="dxa" w:w="288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w:t>
            </w:r>
          </w:p>
        </w:tc>
        <w:tc>
          <w:tcPr>
            <w:tcW w:type="dxa" w:w="39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0.31250000</w:t>
            </w:r>
          </w:p>
        </w:tc>
      </w:tr>
      <w:tr>
        <w:trPr>
          <w:cantSplit/>
        </w:trPr>
        <w:tc>
          <w:tcPr>
            <w:tcW w:type="dxa" w:w="2016"/>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e_c</w:t>
            </w:r>
          </w:p>
        </w:tc>
        <w:tc>
          <w:tcPr>
            <w:tcW w:type="dxa" w:w="115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w:t>
            </w:r>
          </w:p>
        </w:tc>
        <w:tc>
          <w:tcPr>
            <w:tcW w:type="dxa" w:w="288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39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0.31250000</w:t>
            </w:r>
          </w:p>
        </w:tc>
      </w:tr>
    </w:tbl>
    <w:bookmarkEnd w:id="24"/>
    <w:bookmarkStart w:id="25" w:name="물리-에너지와-압력으로-가는-다음-경계"/>
    <w:p>
      <w:pPr>
        <w:pStyle w:val="Heading2"/>
        <w:ind w:firstLine="0"/>
        <w:jc w:val="left"/>
      </w:pPr>
      <w:r>
        <w:rPr>
          <w:color w:val="000000"/>
        </w:rPr>
        <w:t xml:space="preserve">물리 에너지와 압력으로 가는 다음 경계</w:t>
      </w:r>
    </w:p>
    <w:p>
      <w:pPr>
        <w:pStyle w:val="FirstParagraph"/>
        <w:ind w:firstLine="0"/>
        <w:jc w:val="left"/>
      </w:pPr>
      <w:r>
        <w:t xml:space="preserve">현재의 공통 산술 분할은 5%·26.8%·68.2%이고, 0.6~0.8의 물리 에너지 보정은 4.93%·26.5%·68.57%다. 두 값을 별도 장부로 보존하며 산술 보정으로 기존 에너지 입력을 덮어쓰지 않는다. 현재 0.8의 부하·압력에서 중력과 팽창으로 가는 계산은 그대로 재현된다. 새로운 복귀분이 배경 에너지를 유지하는 방식은 physical_bridge의 배경 응답 대응으로 명시하되 실제 에너지 함수와 압력 함수는 비워 둔다.</w:t>
      </w:r>
    </w:p>
    <w:p>
      <w:pPr>
        <w:pStyle w:val="BodyText"/>
        <w:keepNext/>
        <w:ind w:firstLine="0"/>
        <w:jc w:val="left"/>
      </w:pPr>
      <w:r>
        <w:t xml:space="preserve">0.10은 주소별 물리 에너지 부하 epsilon_s(n,V), 부문 결합과 부피 의존성을 명시해야 한다. 다음 식은 그 인터페이스가 충족해야 할 에너지·압력 관계이며 0.9가 실행한 산출식이 아니다. 고정 상태 mathcal S는 주소 상태·효과·결합 구성이며 미복귀 SOURCE S_k와 구분한다. R=68.2%만으로 압력이 정해지지 않고, 95:5만으로 길이가 정해지지 않는다. 실제 팽창 응답과 앞으로 검증할 뒤틀림의 인과 설명도 구분한다. c는 SI 정의값을 고정 입력으로 유지한다.</w:t>
      </w:r>
    </w:p>
    <w:p>
      <w:pPr>
        <w:pStyle w:val="BodyText"/>
        <w:keepLines/>
        <w:spacing w:before="80" w:after="180"/>
        <w:ind w:firstLine="0"/>
        <w:jc w:val="left"/>
      </w:pPr>
      <m:oMathPara>
        <m:oMathParaPr>
          <m:jc m:val="center"/>
        </m:oMathParaPr>
        <m:oMath>
          <m:sSub>
            <m:e>
              <m:r>
                <m:t>E</m:t>
              </m:r>
            </m:e>
            <m:sub>
              <m:r>
                <m:t>s</m:t>
              </m:r>
            </m:sub>
          </m:sSub>
          <m:d>
            <m:dPr>
              <m:begChr m:val="("/>
              <m:endChr m:val=")"/>
              <m:sepChr m:val=""/>
              <m:grow/>
            </m:dPr>
            <m:e>
              <m:r>
                <m:t>V</m:t>
              </m:r>
            </m:e>
          </m:d>
          <m:r>
            <m:rPr>
              <m:sty m:val="p"/>
            </m:rPr>
            <m:t>=</m:t>
          </m:r>
          <m:nary>
            <m:naryPr>
              <m:chr m:val="∑"/>
              <m:limLoc m:val="undOvr"/>
              <m:subHide m:val="off"/>
              <m:supHide m:val="on"/>
            </m:naryPr>
            <m:sub>
              <m:r>
                <m:t>n</m:t>
              </m:r>
            </m:sub>
            <m:sup>
              <m:r>
                <m:t>​</m:t>
              </m:r>
            </m:sup>
            <m:e>
              <m:sSub>
                <m:e>
                  <m:r>
                    <m:t>w</m:t>
                  </m:r>
                </m:e>
                <m:sub>
                  <m:r>
                    <m:t>n</m:t>
                  </m:r>
                </m:sub>
              </m:sSub>
            </m:e>
          </m:nary>
          <m:sSub>
            <m:e>
              <m:r>
                <m:t>e</m:t>
              </m:r>
            </m:e>
            <m:sub>
              <m:r>
                <m:t>s</m:t>
              </m:r>
            </m:sub>
          </m:sSub>
          <m:d>
            <m:dPr>
              <m:begChr m:val="("/>
              <m:endChr m:val=")"/>
              <m:sepChr m:val=""/>
              <m:grow/>
            </m:dPr>
            <m:e>
              <m:r>
                <m:t>n</m:t>
              </m:r>
            </m:e>
          </m:d>
          <m:sSub>
            <m:e>
              <m:r>
                <m:t>ϵ</m:t>
              </m:r>
            </m:e>
            <m:sub>
              <m:r>
                <m:t>s</m:t>
              </m:r>
            </m:sub>
          </m:sSub>
          <m:d>
            <m:dPr>
              <m:begChr m:val="("/>
              <m:endChr m:val=")"/>
              <m:sepChr m:val=""/>
              <m:grow/>
            </m:dPr>
            <m:e>
              <m:r>
                <m:t>n</m:t>
              </m:r>
              <m:r>
                <m:rPr>
                  <m:sty m:val="p"/>
                </m:rPr>
                <m:t>,</m:t>
              </m:r>
              <m:r>
                <m:t>V</m:t>
              </m:r>
            </m:e>
          </m:d>
          <m:r>
            <m:rPr>
              <m:sty m:val="p"/>
            </m:rPr>
            <m:t>,</m:t>
          </m:r>
          <m:r>
            <m:t>  </m:t>
          </m:r>
          <m:sSub>
            <m:e>
              <m:r>
                <m:t>P</m:t>
              </m:r>
            </m:e>
            <m:sub>
              <m:r>
                <m:t>s</m:t>
              </m:r>
            </m:sub>
          </m:sSub>
          <m:r>
            <m:rPr>
              <m:sty m:val="p"/>
            </m:rPr>
            <m:t>=</m:t>
          </m:r>
          <m:r>
            <m:rPr>
              <m:sty m:val="p"/>
            </m:rPr>
            <m:t>−</m:t>
          </m:r>
          <m:sSub>
            <m:e>
              <m:d>
                <m:dPr>
                  <m:begChr m:val=""/>
                  <m:endChr m:val="|"/>
                  <m:sepChr m:val=""/>
                  <m:grow/>
                </m:dPr>
                <m:e>
                  <m:f>
                    <m:fPr>
                      <m:type m:val="bar"/>
                    </m:fPr>
                    <m:num>
                      <m:r>
                        <m:rPr>
                          <m:sty m:val="p"/>
                        </m:rPr>
                        <m:t>∂</m:t>
                      </m:r>
                      <m:sSub>
                        <m:e>
                          <m:r>
                            <m:t>E</m:t>
                          </m:r>
                        </m:e>
                        <m:sub>
                          <m:r>
                            <m:t>s</m:t>
                          </m:r>
                        </m:sub>
                      </m:sSub>
                    </m:num>
                    <m:den>
                      <m:r>
                        <m:rPr>
                          <m:sty m:val="p"/>
                        </m:rPr>
                        <m:t>∂</m:t>
                      </m:r>
                      <m:r>
                        <m:t>V</m:t>
                      </m:r>
                    </m:den>
                  </m:f>
                </m:e>
              </m:d>
            </m:e>
            <m:sub>
              <m:r>
                <m:rPr>
                  <m:sty m:val="p"/>
                  <m:scr m:val="script"/>
                </m:rPr>
                <m:t>S</m:t>
              </m:r>
            </m:sub>
          </m:sSub>
          <m:r>
            <m:rPr>
              <m:sty m:val="p"/>
            </m:rPr>
            <m:t>.</m:t>
          </m:r>
          <m:r>
            <m:rPr>
              <m:sty m:val="p"/>
            </m:rPr>
            <m:t xml:space="preserve">   (12)</m:t>
          </m:r>
        </m:oMath>
      </m:oMathPara>
    </w:p>
    <w:p>
      <w:pPr>
        <w:pStyle w:val="FirstParagraph"/>
        <w:ind w:firstLine="0"/>
        <w:jc w:val="left"/>
      </w:pPr>
      <w:r>
        <w:t xml:space="preserve">갱신 순서와 물리 시간, 주소 컷오프와 제타 영점 컷오프 및 정보 용량, 국소 임계값과 전역 Capacity는 후속 단계에서 구분하여 닫는다. 상류 입력의 미시적 생성 기원, 전 우주 과부하와 리셋, 초기 개폐와 최초 컷오프의 선택은 상류 과제로 남는다. 장부의 코드 실행 기록은 재현 출처이며 물리 관측 기록이나 누적 꼬임 기록으로 부르지 않는다.</w:t>
      </w:r>
    </w:p>
    <w:bookmarkEnd w:id="25"/>
    <w:bookmarkStart w:id="26" w:name="검증과-재현"/>
    <w:p>
      <w:pPr>
        <w:pStyle w:val="Heading2"/>
        <w:ind w:firstLine="0"/>
        <w:jc w:val="left"/>
      </w:pPr>
      <w:r>
        <w:rPr>
          <w:color w:val="000000"/>
        </w:rPr>
        <w:t xml:space="preserve">검증과 재현</w:t>
      </w:r>
    </w:p>
    <w:p>
      <w:pPr>
        <w:pStyle w:val="FirstParagraph"/>
        <w:ind w:firstLine="0"/>
        <w:jc w:val="left"/>
      </w:pPr>
      <w:r>
        <w:t xml:space="preserve">27개 묶음은 독립 소수 분류, 동결한 상류 코드와 결과, 제타 영점 재검산, 누적곱과 고갈 수송, 각 주소와 각 갱신의 보존, Actual 분모, 0.8 전체 결과의 동일성, 비균등 채널 결합, 임의 대각 상태와 작은 결맞음 상태의 효과 양성, 명시적 산술 재보정, 경계 변경, 서로 다른 미시 규칙의 같은 총량, 컷오프 구분, 잘못된 입력 16개의 차단과 출처 해시를 포함한다. r1은 희소 커널 전체 재배정 20개 경우를 추가 검사하고, 양의 직접 합산으로 채널의 영 지지를 보존한다.</w:t>
      </w:r>
    </w:p>
    <w:p>
      <w:pPr>
        <w:pStyle w:val="BodyText"/>
        <w:ind w:firstLine="0"/>
        <w:jc w:val="left"/>
      </w:pPr>
      <w:r>
        <w:t xml:space="preserve">K를 4와 16으로 바꾸고 나머지 보정을 고정하면 표현형은 약 3.704795%와 5.682474%가 된다. xi=0에서 h를 명시적으로 다시 보정하면 5%를 다시 맞추지만 주소별 입장은 달라진다. 따라서 총량 재현은 내부 주소 규칙의 유일성을 뜻하지 않는다. 검증된 보정값과 공개한 규칙 아래의 설명 성과를 인정하며, 모형을 확정한 뒤 미측정 값을 산출하는 단계에서 예측을 구분한다.</w:t>
      </w:r>
    </w:p>
    <w:p>
      <w:pPr>
        <w:pStyle w:val="SourceCode"/>
        <w:ind w:firstLine="0"/>
        <w:jc w:val="left"/>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calculations/wrra_m_0_9/requirements.txt</w:t>
      </w:r>
      <w:r>
        <w:br/>
      </w:r>
      <w:r>
        <w:rPr>
          <w:rStyle w:val="ExtensionTok"/>
        </w:rPr>
        <w:t xml:space="preserve">python</w:t>
      </w:r>
      <w:r>
        <w:rPr>
          <w:rStyle w:val="NormalTok"/>
        </w:rPr>
        <w:t xml:space="preserve"> calculations/wrra_m_0_9/run_release.py</w:t>
      </w:r>
    </w:p>
    <w:p>
      <w:pPr>
        <w:pStyle w:val="FirstParagraph"/>
        <w:ind w:firstLine="0"/>
        <w:jc w:val="left"/>
      </w:pPr>
      <w:r>
        <w:t xml:space="preserve">압축파일 루트에서 위 명령을 실행하면 입력 장부·결과 JSON, 갱신·분모·주소·채널 CSV와 검증 결과가 생성된다. parameters.json이 유일한 구성 입력이며 상류 원본 5개와 0.8 입력을 함께 동결한다. 깨끗한 복사본에서 저장 산출물을 지우고 실행해 바이트 단위 재현과 SHA256 목록을 확인한다. 문서의 한영 수식 및 계산 표를 대조한다.</w:t>
      </w:r>
    </w:p>
    <w:p>
      <w:pPr>
        <w:pStyle w:val="BodyText"/>
        <w:ind w:firstLine="0"/>
        <w:jc w:val="left"/>
      </w:pPr>
      <w:r>
        <w:t xml:space="preserve">Input SHA256 7986e6afcbe26e3546111387f34f953147e16cb3c8cb6b900264adf214e51e95</w:t>
      </w:r>
    </w:p>
    <w:bookmarkEnd w:id="26"/>
    <w:bookmarkStart w:id="27" w:name="후속-개발-순서"/>
    <w:p>
      <w:pPr>
        <w:pStyle w:val="Heading2"/>
        <w:ind w:firstLine="0"/>
        <w:jc w:val="left"/>
      </w:pPr>
      <w:r>
        <w:rPr>
          <w:color w:val="000000"/>
        </w:rPr>
        <w:t xml:space="preserve">후속 개발 순서</w:t>
      </w:r>
    </w:p>
    <w:p>
      <w:pPr>
        <w:pStyle w:val="FirstParagraph"/>
        <w:ind w:firstLine="0"/>
        <w:jc w:val="left"/>
      </w:pPr>
      <w:r>
        <w:t xml:space="preserve">다음은 0.10 에너지·압력 사상, 0.11 첫 다섯 입력의 순차 보정 G → H0 → f_phi → f_c → m_e c^2, 0.12 셔터와 고유시간 및 스펙트럼, 0.13 양자화와 관측 및 기록, 0.14 컷오프와 정보 용량, 0.15 응력과 뒤틀림 및 크기, 0.16 중성미자 질량·혼합·진동, 0.17 같은 기하의 전파, 1.0 통합 검증과 확정이다. 각 판은 검증 입력 → WRRA 고유 변환 → 산출값 → 반증조건으로 닫는다.</w:t>
      </w:r>
    </w:p>
    <w:bookmarkEnd w:id="27"/>
    <w:bookmarkStart w:id="28" w:name="참고-자료"/>
    <w:p>
      <w:pPr>
        <w:pStyle w:val="Heading2"/>
        <w:keepNext/>
        <w:ind w:firstLine="0"/>
        <w:jc w:val="left"/>
      </w:pPr>
      <w:r>
        <w:rPr>
          <w:color w:val="000000"/>
        </w:rPr>
        <w:t xml:space="preserve">참고 자료</w:t>
      </w:r>
    </w:p>
    <w:p>
      <w:pPr>
        <w:pStyle w:val="FirstParagraph"/>
        <w:keepNext/>
        <w:spacing w:line="240" w:lineRule="auto" w:after="60"/>
        <w:ind w:firstLine="0"/>
        <w:jc w:val="left"/>
      </w:pPr>
      <w:r>
        <w:rPr>
          <w:sz w:val="20"/>
        </w:rPr>
        <w:t xml:space="preserve">Choi Wonsik. WRRA-M 0.1 to 0.8 and upstream hypotheses. GitHub research repository. https://github.com/Wonsik-Choi-janefather/wrra-m-0.1</w:t>
      </w:r>
    </w:p>
    <w:p>
      <w:pPr>
        <w:pStyle w:val="BodyText"/>
        <w:keepNext/>
        <w:spacing w:line="240" w:lineRule="auto" w:after="60"/>
        <w:ind w:firstLine="0"/>
        <w:jc w:val="left"/>
      </w:pPr>
      <w:r>
        <w:rPr>
          <w:sz w:val="20"/>
        </w:rPr>
        <w:t xml:space="preserve">Choi Wonsik. Upstream two stage filter v1.0 and zeta frame v0.1. Source commit 9ca21c547e5238be34ceace5a1015db50cb824ff. Included reference snapshots.</w:t>
      </w:r>
    </w:p>
    <w:p>
      <w:pPr>
        <w:pStyle w:val="BodyText"/>
        <w:keepNext/>
        <w:spacing w:line="240" w:lineRule="auto" w:after="60"/>
        <w:ind w:firstLine="0"/>
        <w:jc w:val="left"/>
      </w:pPr>
      <w:r>
        <w:rPr>
          <w:sz w:val="20"/>
        </w:rPr>
        <w:t xml:space="preserve">Choi Wonsik. Minimal Computation Cosmology 2.3.2. Common carrier baseline. https://github.com/Wonsik-Choi-janefather/minimal-computing-cosmology-2.3.2</w:t>
      </w:r>
    </w:p>
    <w:p>
      <w:pPr>
        <w:pStyle w:val="BodyText"/>
        <w:keepNext w:val="0"/>
        <w:spacing w:line="240" w:lineRule="auto" w:after="60"/>
        <w:ind w:firstLine="0"/>
        <w:jc w:val="left"/>
      </w:pPr>
      <w:r>
        <w:rPr>
          <w:sz w:val="20"/>
        </w:rPr>
        <w:t xml:space="preserve">NIST Digital Library of Mathematical Functions. Sections 25.10 and 25.11 iii. Zeta zeros and Euler Maclaurin representation. https://dlmf.nist.gov/25.10 https://dlmf.nist.gov/25.11</w:t>
      </w:r>
    </w:p>
    <w:bookmarkEnd w:id="28"/>
    <w:bookmarkEnd w:id="29"/>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Liberation Serif" w:hAnsi="Liberation Serif"/>
        <w:sz w:val="16"/>
      </w:rPr>
      <w:t xml:space="preserve">Copyright 2026 Wonsik Choi. CC BY 4.0. https://creativecommons.org/licenses/by/4.0/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71" w:lineRule="auto"/>
    </w:pPr>
    <w:rPr>
      <w:rFonts w:ascii="Liberation Serif" w:hAnsi="Liberation Serif" w:eastAsia="Noto Sans CJK KR"/>
      <w:color w:val="000000"/>
      <w:sz w:val="22"/>
    </w:rPr>
  </w:style>
  <w:style w:styleId="BodyText" w:type="paragraph">
    <w:name w:val="Body Text"/>
    <w:basedOn w:val="Normal"/>
    <w:link w:val="BodyTextChar"/>
    <w:pPr>
      <w:spacing w:after="140" w:before="180" w:line="271" w:lineRule="auto"/>
    </w:pPr>
    <w:qFormat/>
    <w:rPr>
      <w:rFonts w:ascii="Liberation Serif" w:hAnsi="Liberation Serif" w:eastAsia="Noto Sans CJK KR"/>
      <w:color w:val="000000"/>
      <w:sz w:val="22"/>
    </w:rPr>
  </w:style>
  <w:style w:customStyle="1" w:styleId="FirstParagraph" w:type="paragraph">
    <w:name w:val="First Paragraph"/>
    <w:basedOn w:val="BodyText"/>
    <w:next w:val="BodyText"/>
    <w:qFormat/>
    <w:pPr>
      <w:spacing w:after="140" w:line="271" w:lineRule="auto"/>
    </w:pPr>
    <w:rPr>
      <w:rFonts w:ascii="Liberation Serif" w:hAnsi="Liberation Serif" w:eastAsia="Noto Sans CJK KR"/>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1" w:lineRule="auto"/>
      <w:jc w:val="center"/>
    </w:pPr>
    <w:rPr>
      <w:rFonts w:asciiTheme="majorHAnsi" w:cstheme="majorBidi" w:eastAsiaTheme="majorEastAsia" w:hAnsiTheme="majorHAnsi" w:ascii="Liberation Sans" w:hAnsi="Liberation Sans" w:eastAsia="Noto Sans CJK KR"/>
      <w:b/>
      <w:bCs/>
      <w:color w:val="000000"/>
      <w:sz w:val="40"/>
      <w:szCs w:val="36"/>
    </w:rPr>
  </w:style>
  <w:style w:styleId="Subtitle" w:type="paragraph">
    <w:name w:val="Subtitle"/>
    <w:basedOn w:val="Title"/>
    <w:next w:val="BodyText"/>
    <w:qFormat/>
    <w:pPr>
      <w:keepNext/>
      <w:keepLines/>
      <w:spacing w:after="140" w:before="240" w:line="271" w:lineRule="auto"/>
      <w:jc w:val="center"/>
    </w:pPr>
    <w:rPr>
      <w:rFonts w:ascii="Liberation Serif" w:hAnsi="Liberation Serif" w:eastAsia="Noto Sans CJK KR"/>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1" w:lineRule="auto"/>
    </w:pPr>
    <w:rPr>
      <w:rFonts w:ascii="Liberation Serif" w:hAnsi="Liberation Serif" w:eastAsia="Noto Sans CJK KR"/>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1" w:lineRule="auto"/>
    </w:pPr>
    <w:rPr>
      <w:rFonts w:ascii="Liberation Sans" w:hAnsi="Liberation Sans" w:eastAsia="Noto Sans CJK KR"/>
      <w:color w:val="000000"/>
      <w:sz w:val="34"/>
    </w:rPr>
  </w:style>
  <w:style w:type="paragraph" w:customStyle="1" w:styleId="Heading2">
    <w:name w:val="heading 2"/>
    <w:basedOn w:val="Normal"/>
    <w:pPr>
      <w:keepNext/>
      <w:spacing w:after="140" w:line="271" w:lineRule="auto" w:before="260"/>
    </w:pPr>
    <w:rPr>
      <w:rFonts w:ascii="Liberation Sans" w:hAnsi="Liberation Sans" w:eastAsia="Noto Sans CJK KR"/>
      <w:color w:val="000000"/>
      <w:sz w:val="28"/>
    </w:rPr>
  </w:style>
  <w:style w:type="paragraph" w:customStyle="1" w:styleId="Heading3">
    <w:name w:val="heading 3"/>
    <w:basedOn w:val="Normal"/>
    <w:pPr>
      <w:keepNext/>
      <w:spacing w:after="140" w:line="271" w:lineRule="auto"/>
    </w:pPr>
    <w:rPr>
      <w:rFonts w:ascii="Liberation Sans" w:hAnsi="Liberation Sans" w:eastAsia="Noto Sans CJK KR"/>
      <w:color w:val="000000"/>
      <w:sz w:val="24"/>
    </w:rPr>
  </w:style>
  <w:style w:type="paragraph" w:customStyle="1" w:styleId="Caption">
    <w:name w:val="caption"/>
    <w:basedOn w:val="Normal"/>
    <w:pPr>
      <w:spacing w:after="140" w:line="271" w:lineRule="auto"/>
    </w:pPr>
    <w:rPr>
      <w:rFonts w:ascii="Liberation Serif" w:hAnsi="Liberation Serif" w:eastAsia="Noto Sans CJK KR"/>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0.9 Common Sector Accounting and the Upstream Input Contract</dc:title>
  <dc:creator>Wonsik Choi</dc:creator>
  <cp:keywords/>
  <dcterms:created xsi:type="dcterms:W3CDTF">2026-10-01T22:51:41Z</dcterms:created>
  <dcterms:modified xsi:type="dcterms:W3CDTF">2026-10-01T22:51:41Z</dcterms:modified>
  <dc:subject>KO edition with matched equations and calculated accounting checks</dc:subject>
</cp:coreProperties>
</file>

<file path=docProps/custom.xml><?xml version="1.0" encoding="utf-8"?>
<Properties xmlns="http://schemas.openxmlformats.org/officeDocument/2006/custom-properties" xmlns:vt="http://schemas.openxmlformats.org/officeDocument/2006/docPropsVTypes"/>
</file>