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left"/>
      </w:pPr>
      <w:r>
        <w:rPr>
          <w:rFonts w:ascii="Aptos Display" w:hAnsi="Aptos Display"/>
          <w:b/>
          <w:sz w:val="50"/>
        </w:rPr>
        <w:t>WRRA-M Foundational Architecture and First Structural Calculation</w:t>
      </w:r>
    </w:p>
    <w:p>
      <w:pPr>
        <w:spacing w:after="520"/>
      </w:pPr>
      <w:r>
        <w:rPr>
          <w:rFonts w:ascii="Aptos Display" w:hAnsi="Aptos Display"/>
          <w:color w:val="66717C"/>
          <w:sz w:val="29"/>
        </w:rPr>
        <w:t>Seven Predimensional Degrees, the Dimension Filter, and Fifteen Chiral Channels</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39"/>
        <w:gridCol w:w="4939"/>
      </w:tblGrid>
      <w:tr>
        <w:tc>
          <w:tcPr>
            <w:tcW w:type="dxa" w:w="1728"/>
            <w:tcMar>
              <w:top w:w="70" w:type="dxa"/>
              <w:start w:w="0" w:type="dxa"/>
              <w:bottom w:w="70" w:type="dxa"/>
              <w:end w:w="80" w:type="dxa"/>
            </w:tcMar>
          </w:tcPr>
          <w:p>
            <w:r>
              <w:rPr>
                <w:rFonts w:ascii="Aptos" w:hAnsi="Aptos"/>
                <w:b/>
                <w:color w:val="66717C"/>
                <w:sz w:val="20"/>
              </w:rPr>
              <w:t>Author</w:t>
            </w:r>
          </w:p>
        </w:tc>
        <w:tc>
          <w:tcPr>
            <w:tcW w:type="dxa" w:w="7776"/>
            <w:tcMar>
              <w:top w:w="70" w:type="dxa"/>
              <w:start w:w="0" w:type="dxa"/>
              <w:bottom w:w="70" w:type="dxa"/>
              <w:end w:w="80" w:type="dxa"/>
            </w:tcMar>
          </w:tcPr>
          <w:p>
            <w:r>
              <w:rPr>
                <w:rFonts w:ascii="Aptos" w:hAnsi="Aptos"/>
                <w:sz w:val="20"/>
              </w:rPr>
              <w:t>Wonsik Choi</w:t>
            </w:r>
          </w:p>
        </w:tc>
      </w:tr>
      <w:tr>
        <w:tc>
          <w:tcPr>
            <w:tcW w:type="dxa" w:w="1728"/>
            <w:tcMar>
              <w:top w:w="70" w:type="dxa"/>
              <w:start w:w="0" w:type="dxa"/>
              <w:bottom w:w="70" w:type="dxa"/>
              <w:end w:w="80" w:type="dxa"/>
            </w:tcMar>
          </w:tcPr>
          <w:p>
            <w:r>
              <w:rPr>
                <w:rFonts w:ascii="Aptos" w:hAnsi="Aptos"/>
                <w:b/>
                <w:color w:val="66717C"/>
                <w:sz w:val="20"/>
              </w:rPr>
              <w:t>ORCID</w:t>
            </w:r>
          </w:p>
        </w:tc>
        <w:tc>
          <w:tcPr>
            <w:tcW w:type="dxa" w:w="7776"/>
            <w:tcMar>
              <w:top w:w="70" w:type="dxa"/>
              <w:start w:w="0" w:type="dxa"/>
              <w:bottom w:w="70" w:type="dxa"/>
              <w:end w:w="80" w:type="dxa"/>
            </w:tcMar>
          </w:tcPr>
          <w:p>
            <w:r>
              <w:rPr>
                <w:rFonts w:ascii="Aptos" w:hAnsi="Aptos"/>
                <w:sz w:val="20"/>
              </w:rPr>
              <w:t>0009-0001-4263-9772</w:t>
            </w:r>
          </w:p>
        </w:tc>
      </w:tr>
      <w:tr>
        <w:tc>
          <w:tcPr>
            <w:tcW w:type="dxa" w:w="1728"/>
            <w:tcMar>
              <w:top w:w="70" w:type="dxa"/>
              <w:start w:w="0" w:type="dxa"/>
              <w:bottom w:w="70" w:type="dxa"/>
              <w:end w:w="80" w:type="dxa"/>
            </w:tcMar>
          </w:tcPr>
          <w:p>
            <w:r>
              <w:rPr>
                <w:rFonts w:ascii="Aptos" w:hAnsi="Aptos"/>
                <w:b/>
                <w:color w:val="66717C"/>
                <w:sz w:val="20"/>
              </w:rPr>
              <w:t>Email</w:t>
            </w:r>
          </w:p>
        </w:tc>
        <w:tc>
          <w:tcPr>
            <w:tcW w:type="dxa" w:w="7776"/>
            <w:tcMar>
              <w:top w:w="70" w:type="dxa"/>
              <w:start w:w="0" w:type="dxa"/>
              <w:bottom w:w="70" w:type="dxa"/>
              <w:end w:w="80" w:type="dxa"/>
            </w:tcMar>
          </w:tcPr>
          <w:p>
            <w:r>
              <w:rPr>
                <w:rFonts w:ascii="Aptos" w:hAnsi="Aptos"/>
                <w:sz w:val="20"/>
              </w:rPr>
              <w:t>janefather@gmail.com</w:t>
            </w:r>
          </w:p>
        </w:tc>
      </w:tr>
      <w:tr>
        <w:tc>
          <w:tcPr>
            <w:tcW w:type="dxa" w:w="1728"/>
            <w:tcMar>
              <w:top w:w="70" w:type="dxa"/>
              <w:start w:w="0" w:type="dxa"/>
              <w:bottom w:w="70" w:type="dxa"/>
              <w:end w:w="80" w:type="dxa"/>
            </w:tcMar>
          </w:tcPr>
          <w:p>
            <w:r>
              <w:rPr>
                <w:rFonts w:ascii="Aptos" w:hAnsi="Aptos"/>
                <w:b/>
                <w:color w:val="66717C"/>
                <w:sz w:val="20"/>
              </w:rPr>
              <w:t>Version</w:t>
            </w:r>
          </w:p>
        </w:tc>
        <w:tc>
          <w:tcPr>
            <w:tcW w:type="dxa" w:w="7776"/>
            <w:tcMar>
              <w:top w:w="70" w:type="dxa"/>
              <w:start w:w="0" w:type="dxa"/>
              <w:bottom w:w="70" w:type="dxa"/>
              <w:end w:w="80" w:type="dxa"/>
            </w:tcMar>
          </w:tcPr>
          <w:p>
            <w:r>
              <w:rPr>
                <w:rFonts w:ascii="Aptos" w:hAnsi="Aptos"/>
                <w:sz w:val="20"/>
              </w:rPr>
              <w:t>WRRA-M 0.1</w:t>
            </w:r>
          </w:p>
        </w:tc>
      </w:tr>
      <w:tr>
        <w:tc>
          <w:tcPr>
            <w:tcW w:type="dxa" w:w="1728"/>
            <w:tcMar>
              <w:top w:w="70" w:type="dxa"/>
              <w:start w:w="0" w:type="dxa"/>
              <w:bottom w:w="70" w:type="dxa"/>
              <w:end w:w="80" w:type="dxa"/>
            </w:tcMar>
          </w:tcPr>
          <w:p>
            <w:r>
              <w:rPr>
                <w:rFonts w:ascii="Aptos" w:hAnsi="Aptos"/>
                <w:b/>
                <w:color w:val="66717C"/>
                <w:sz w:val="20"/>
              </w:rPr>
              <w:t>Date</w:t>
            </w:r>
          </w:p>
        </w:tc>
        <w:tc>
          <w:tcPr>
            <w:tcW w:type="dxa" w:w="7776"/>
            <w:tcMar>
              <w:top w:w="70" w:type="dxa"/>
              <w:start w:w="0" w:type="dxa"/>
              <w:bottom w:w="70" w:type="dxa"/>
              <w:end w:w="80" w:type="dxa"/>
            </w:tcMar>
          </w:tcPr>
          <w:p>
            <w:r>
              <w:rPr>
                <w:rFonts w:ascii="Aptos" w:hAnsi="Aptos"/>
                <w:sz w:val="20"/>
              </w:rPr>
              <w:t>30 September 2026</w:t>
            </w:r>
          </w:p>
        </w:tc>
      </w:tr>
      <w:tr>
        <w:tc>
          <w:tcPr>
            <w:tcW w:type="dxa" w:w="1728"/>
            <w:tcMar>
              <w:top w:w="70" w:type="dxa"/>
              <w:start w:w="0" w:type="dxa"/>
              <w:bottom w:w="70" w:type="dxa"/>
              <w:end w:w="80" w:type="dxa"/>
            </w:tcMar>
          </w:tcPr>
          <w:p>
            <w:r>
              <w:rPr>
                <w:rFonts w:ascii="Aptos" w:hAnsi="Aptos"/>
                <w:b/>
                <w:color w:val="66717C"/>
                <w:sz w:val="20"/>
              </w:rPr>
              <w:t>Status</w:t>
            </w:r>
          </w:p>
        </w:tc>
        <w:tc>
          <w:tcPr>
            <w:tcW w:type="dxa" w:w="7776"/>
            <w:tcMar>
              <w:top w:w="70" w:type="dxa"/>
              <w:start w:w="0" w:type="dxa"/>
              <w:bottom w:w="70" w:type="dxa"/>
              <w:end w:w="80" w:type="dxa"/>
            </w:tcMar>
          </w:tcPr>
          <w:p>
            <w:r>
              <w:rPr>
                <w:rFonts w:ascii="Aptos" w:hAnsi="Aptos"/>
                <w:sz w:val="20"/>
              </w:rPr>
              <w:t>Separate from WRRA Core 1.0</w:t>
            </w:r>
          </w:p>
        </w:tc>
      </w:tr>
    </w:tbl>
    <w:p>
      <w:pPr>
        <w:spacing w:before="840" w:after="0"/>
      </w:pPr>
      <w:r>
        <w:rPr>
          <w:rFonts w:ascii="Aptos" w:hAnsi="Aptos"/>
          <w:b/>
          <w:sz w:val="22"/>
        </w:rPr>
        <w:t>Research decision</w:t>
      </w:r>
    </w:p>
    <w:p>
      <w:r>
        <w:rPr>
          <w:rFonts w:ascii="Aptos" w:hAnsi="Aptos"/>
          <w:sz w:val="22"/>
        </w:rPr>
        <w:t>WRRA-M is opened as a separate research branch. It does not alter WRRA Core 1.0. Its first task is to test whether the seven internal dimensions used in four dimensional M theory compactification can be reinterpreted as seven predimensional degrees that are rendered through the WRRA dimension filter.</w:t>
      </w:r>
    </w:p>
    <w:p>
      <w:r>
        <w:br w:type="page"/>
      </w:r>
    </w:p>
    <w:p>
      <w:pPr>
        <w:pStyle w:val="Heading1"/>
      </w:pPr>
      <w:r>
        <w:t>Abstract</w:t>
      </w:r>
    </w:p>
    <w:p>
      <w:pPr>
        <w:keepLines w:val="0"/>
      </w:pPr>
      <w:r>
        <w:rPr>
          <w:rFonts w:ascii="Aptos" w:hAnsi="Aptos"/>
          <w:i w:val="0"/>
        </w:rPr>
        <w:t>This research note defines WRRA-M as a testable branch of the Wonsik Reality Renderer Architecture. The branch treats the seven internal dimensions of eleven dimensional M theory as a mathematical image of seven predimensional degrees rather than as seven small spatial directions. A dimension filter renders those degrees into a three dimensional spatial phenotype, a residue ordered time direction, and particle channels. Gravity is placed at the interface because it reads the total upstream kinetic and stress structure, while gauge interactions act on labels that already passed the filter. The note also records the first nontrivial structural calculation. Two copies of the seven dimensional fundamental representation of G2 together with one invariant channel give fifteen channels. Under the color subgroup SU(3), their branching multiplicities exactly match the color content of one Standard Model generation. This is an exact color sector match, not yet a derivation of weak isospin, hypercharge, chirality, masses, or three generations.</w:t>
      </w:r>
    </w:p>
    <w:p>
      <w:pPr>
        <w:pStyle w:val="Heading1"/>
      </w:pPr>
      <w:r>
        <w:t>Main result</w:t>
      </w:r>
    </w:p>
    <w:p>
      <w:pPr>
        <w:keepLines w:val="0"/>
      </w:pPr>
      <w:r>
        <w:rPr>
          <w:rFonts w:ascii="Aptos" w:hAnsi="Aptos"/>
          <w:i w:val="0"/>
        </w:rPr>
        <w:t>The first WRRA-M calculation produces an exact representation count in the color sector. The candidate channel space is one invariant channel plus two seven dimensional sectors. Each seven branches under SU(3) into a triplet, an antitriplet, and a singlet. The total therefore contains two triplets, two antitriplets, and three singlets. One Standard Model generation without a right handed neutrino has precisely the same color representation multiplicities.</w:t>
      </w:r>
    </w:p>
    <w:p>
      <w:pPr>
        <w:keepLines/>
        <w:spacing w:before="80" w:after="100"/>
        <w:jc w:val="center"/>
      </w:pPr>
      <w:r>
        <w:drawing>
          <wp:inline xmlns:a="http://schemas.openxmlformats.org/drawingml/2006/main" xmlns:pic="http://schemas.openxmlformats.org/drawingml/2006/picture">
            <wp:extent cx="2926080" cy="305280"/>
            <wp:docPr id="1" name="Picture 1"/>
            <wp:cNvGraphicFramePr>
              <a:graphicFrameLocks noChangeAspect="1"/>
            </wp:cNvGraphicFramePr>
            <a:graphic>
              <a:graphicData uri="http://schemas.openxmlformats.org/drawingml/2006/picture">
                <pic:pic>
                  <pic:nvPicPr>
                    <pic:cNvPr id="0" name="eq_08.png"/>
                    <pic:cNvPicPr/>
                  </pic:nvPicPr>
                  <pic:blipFill>
                    <a:blip r:embed="rId10"/>
                    <a:stretch>
                      <a:fillRect/>
                    </a:stretch>
                  </pic:blipFill>
                  <pic:spPr>
                    <a:xfrm>
                      <a:off x="0" y="0"/>
                      <a:ext cx="2926080" cy="305280"/>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3383280" cy="352980"/>
            <wp:docPr id="2" name="Picture 2"/>
            <wp:cNvGraphicFramePr>
              <a:graphicFrameLocks noChangeAspect="1"/>
            </wp:cNvGraphicFramePr>
            <a:graphic>
              <a:graphicData uri="http://schemas.openxmlformats.org/drawingml/2006/picture">
                <pic:pic>
                  <pic:nvPicPr>
                    <pic:cNvPr id="0" name="eq_09.png"/>
                    <pic:cNvPicPr/>
                  </pic:nvPicPr>
                  <pic:blipFill>
                    <a:blip r:embed="rId11"/>
                    <a:stretch>
                      <a:fillRect/>
                    </a:stretch>
                  </pic:blipFill>
                  <pic:spPr>
                    <a:xfrm>
                      <a:off x="0" y="0"/>
                      <a:ext cx="3383280" cy="352980"/>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4754880" cy="496080"/>
            <wp:docPr id="3" name="Picture 3"/>
            <wp:cNvGraphicFramePr>
              <a:graphicFrameLocks noChangeAspect="1"/>
            </wp:cNvGraphicFramePr>
            <a:graphic>
              <a:graphicData uri="http://schemas.openxmlformats.org/drawingml/2006/picture">
                <pic:pic>
                  <pic:nvPicPr>
                    <pic:cNvPr id="0" name="eq_10.png"/>
                    <pic:cNvPicPr/>
                  </pic:nvPicPr>
                  <pic:blipFill>
                    <a:blip r:embed="rId12"/>
                    <a:stretch>
                      <a:fillRect/>
                    </a:stretch>
                  </pic:blipFill>
                  <pic:spPr>
                    <a:xfrm>
                      <a:off x="0" y="0"/>
                      <a:ext cx="4754880" cy="496080"/>
                    </a:xfrm>
                    <a:prstGeom prst="rect"/>
                  </pic:spPr>
                </pic:pic>
              </a:graphicData>
            </a:graphic>
          </wp:inline>
        </w:drawing>
      </w:r>
    </w:p>
    <w:p>
      <w:pPr>
        <w:keepLines w:val="0"/>
      </w:pPr>
      <w:r>
        <w:rPr>
          <w:rFonts w:ascii="Aptos" w:hAnsi="Aptos"/>
          <w:i w:val="0"/>
        </w:rPr>
        <w:t>This result raises the WRRA-M branch above a numerical coincidence between seven and fifteen. It supplies a concrete group theoretic bridge. The bridge remains incomplete until the filter also derives the SU(2) pairing and the U(1) hypercharges.</w:t>
      </w:r>
    </w:p>
    <w:p>
      <w:r>
        <w:br w:type="page"/>
      </w:r>
    </w:p>
    <w:p>
      <w:pPr>
        <w:pStyle w:val="Heading1"/>
      </w:pPr>
      <w:r>
        <w:t>Scope and fixed evaluation rule</w:t>
      </w:r>
    </w:p>
    <w:p>
      <w:pPr>
        <w:keepLines w:val="0"/>
      </w:pPr>
      <w:r>
        <w:rPr>
          <w:rFonts w:ascii="Aptos" w:hAnsi="Aptos"/>
          <w:i w:val="0"/>
        </w:rPr>
        <w:t>WRRA-M follows the fixed WRRA evaluation sequence for every claim. Known measurements and established mathematical results may calibrate the model. Once the model is fixed, outputs for unmeasured quantities count as WRRA-M predictions. Independent prediction is not imposed as a prerequisite for theoretical value.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376"/>
            <w:shd w:fill="18324A"/>
            <w:tcMar>
              <w:top w:w="120" w:type="dxa"/>
              <w:start w:w="140" w:type="dxa"/>
              <w:bottom w:w="120" w:type="dxa"/>
              <w:end w:w="140" w:type="dxa"/>
            </w:tcMar>
            <w:vAlign w:val="center"/>
          </w:tcPr>
          <w:p>
            <w:pPr>
              <w:spacing w:after="0"/>
              <w:jc w:val="center"/>
            </w:pPr>
            <w:r>
              <w:rPr>
                <w:rFonts w:ascii="Aptos" w:hAnsi="Aptos"/>
                <w:b/>
                <w:color w:val="FFFFFF"/>
                <w:sz w:val="18"/>
              </w:rPr>
              <w:t>Stage</w:t>
            </w:r>
          </w:p>
        </w:tc>
        <w:tc>
          <w:tcPr>
            <w:tcW w:type="dxa" w:w="7200"/>
            <w:shd w:fill="18324A"/>
            <w:tcMar>
              <w:top w:w="120" w:type="dxa"/>
              <w:start w:w="140" w:type="dxa"/>
              <w:bottom w:w="120" w:type="dxa"/>
              <w:end w:w="140" w:type="dxa"/>
            </w:tcMar>
            <w:vAlign w:val="center"/>
          </w:tcPr>
          <w:p>
            <w:pPr>
              <w:spacing w:after="0"/>
              <w:jc w:val="center"/>
            </w:pPr>
            <w:r>
              <w:rPr>
                <w:rFonts w:ascii="Aptos" w:hAnsi="Aptos"/>
                <w:b/>
                <w:color w:val="FFFFFF"/>
                <w:sz w:val="18"/>
              </w:rPr>
              <w:t>Question</w:t>
            </w:r>
          </w:p>
        </w:tc>
      </w:tr>
      <w:tr>
        <w:trPr>
          <w:cantSplit/>
        </w:trPr>
        <w:tc>
          <w:tcPr>
            <w:tcW w:type="dxa" w:w="2376"/>
            <w:tcMar>
              <w:top w:w="120" w:type="dxa"/>
              <w:start w:w="140" w:type="dxa"/>
              <w:bottom w:w="120" w:type="dxa"/>
              <w:end w:w="140" w:type="dxa"/>
            </w:tcMar>
            <w:vAlign w:val="center"/>
          </w:tcPr>
          <w:p>
            <w:pPr>
              <w:spacing w:after="0"/>
              <w:jc w:val="left"/>
            </w:pPr>
            <w:r>
              <w:rPr>
                <w:rFonts w:ascii="Aptos" w:hAnsi="Aptos"/>
                <w:sz w:val="18"/>
              </w:rPr>
              <w:t>Verification input</w:t>
            </w:r>
          </w:p>
        </w:tc>
        <w:tc>
          <w:tcPr>
            <w:tcW w:type="dxa" w:w="7200"/>
            <w:tcMar>
              <w:top w:w="120" w:type="dxa"/>
              <w:start w:w="140" w:type="dxa"/>
              <w:bottom w:w="120" w:type="dxa"/>
              <w:end w:w="140" w:type="dxa"/>
            </w:tcMar>
            <w:vAlign w:val="center"/>
          </w:tcPr>
          <w:p>
            <w:pPr>
              <w:spacing w:after="0"/>
              <w:jc w:val="left"/>
            </w:pPr>
            <w:r>
              <w:rPr>
                <w:rFonts w:ascii="Aptos" w:hAnsi="Aptos"/>
                <w:sz w:val="18"/>
              </w:rPr>
              <w:t>What measured value or established mathematical result enters the calculation</w:t>
            </w:r>
          </w:p>
        </w:tc>
      </w:tr>
      <w:tr>
        <w:trPr>
          <w:cantSplit/>
        </w:trPr>
        <w:tc>
          <w:tcPr>
            <w:tcW w:type="dxa" w:w="2376"/>
            <w:shd w:fill="EAF2F8"/>
            <w:tcMar>
              <w:top w:w="120" w:type="dxa"/>
              <w:start w:w="140" w:type="dxa"/>
              <w:bottom w:w="120" w:type="dxa"/>
              <w:end w:w="140" w:type="dxa"/>
            </w:tcMar>
            <w:vAlign w:val="center"/>
          </w:tcPr>
          <w:p>
            <w:pPr>
              <w:spacing w:after="0"/>
              <w:jc w:val="left"/>
            </w:pPr>
            <w:r>
              <w:rPr>
                <w:rFonts w:ascii="Aptos" w:hAnsi="Aptos"/>
                <w:sz w:val="18"/>
              </w:rPr>
              <w:t>WRRA specific transformation</w:t>
            </w:r>
          </w:p>
        </w:tc>
        <w:tc>
          <w:tcPr>
            <w:tcW w:type="dxa" w:w="7200"/>
            <w:shd w:fill="EAF2F8"/>
            <w:tcMar>
              <w:top w:w="120" w:type="dxa"/>
              <w:start w:w="140" w:type="dxa"/>
              <w:bottom w:w="120" w:type="dxa"/>
              <w:end w:w="140" w:type="dxa"/>
            </w:tcMar>
            <w:vAlign w:val="center"/>
          </w:tcPr>
          <w:p>
            <w:pPr>
              <w:spacing w:after="0"/>
              <w:jc w:val="left"/>
            </w:pPr>
            <w:r>
              <w:rPr>
                <w:rFonts w:ascii="Aptos" w:hAnsi="Aptos"/>
                <w:sz w:val="18"/>
              </w:rPr>
              <w:t>What operation is performed by the WRRA-M architecture</w:t>
            </w:r>
          </w:p>
        </w:tc>
      </w:tr>
      <w:tr>
        <w:trPr>
          <w:cantSplit/>
        </w:trPr>
        <w:tc>
          <w:tcPr>
            <w:tcW w:type="dxa" w:w="2376"/>
            <w:tcMar>
              <w:top w:w="120" w:type="dxa"/>
              <w:start w:w="140" w:type="dxa"/>
              <w:bottom w:w="120" w:type="dxa"/>
              <w:end w:w="140" w:type="dxa"/>
            </w:tcMar>
            <w:vAlign w:val="center"/>
          </w:tcPr>
          <w:p>
            <w:pPr>
              <w:spacing w:after="0"/>
              <w:jc w:val="center"/>
            </w:pPr>
            <w:r>
              <w:rPr>
                <w:rFonts w:ascii="Aptos" w:hAnsi="Aptos"/>
                <w:sz w:val="18"/>
              </w:rPr>
              <w:t>Output</w:t>
            </w:r>
          </w:p>
        </w:tc>
        <w:tc>
          <w:tcPr>
            <w:tcW w:type="dxa" w:w="7200"/>
            <w:tcMar>
              <w:top w:w="120" w:type="dxa"/>
              <w:start w:w="140" w:type="dxa"/>
              <w:bottom w:w="120" w:type="dxa"/>
              <w:end w:w="140" w:type="dxa"/>
            </w:tcMar>
            <w:vAlign w:val="center"/>
          </w:tcPr>
          <w:p>
            <w:pPr>
              <w:spacing w:after="0"/>
              <w:jc w:val="left"/>
            </w:pPr>
            <w:r>
              <w:rPr>
                <w:rFonts w:ascii="Aptos" w:hAnsi="Aptos"/>
                <w:sz w:val="18"/>
              </w:rPr>
              <w:t>What value structure or relation follows</w:t>
            </w:r>
          </w:p>
        </w:tc>
      </w:tr>
      <w:tr>
        <w:trPr>
          <w:cantSplit/>
        </w:trPr>
        <w:tc>
          <w:tcPr>
            <w:tcW w:type="dxa" w:w="2376"/>
            <w:shd w:fill="EAF2F8"/>
            <w:tcMar>
              <w:top w:w="120" w:type="dxa"/>
              <w:start w:w="140" w:type="dxa"/>
              <w:bottom w:w="120" w:type="dxa"/>
              <w:end w:w="140" w:type="dxa"/>
            </w:tcMar>
            <w:vAlign w:val="center"/>
          </w:tcPr>
          <w:p>
            <w:pPr>
              <w:spacing w:after="0"/>
              <w:jc w:val="left"/>
            </w:pPr>
            <w:r>
              <w:rPr>
                <w:rFonts w:ascii="Aptos" w:hAnsi="Aptos"/>
                <w:sz w:val="18"/>
              </w:rPr>
              <w:t>Falsification condition</w:t>
            </w:r>
          </w:p>
        </w:tc>
        <w:tc>
          <w:tcPr>
            <w:tcW w:type="dxa" w:w="7200"/>
            <w:shd w:fill="EAF2F8"/>
            <w:tcMar>
              <w:top w:w="120" w:type="dxa"/>
              <w:start w:w="140" w:type="dxa"/>
              <w:bottom w:w="120" w:type="dxa"/>
              <w:end w:w="140" w:type="dxa"/>
            </w:tcMar>
            <w:vAlign w:val="center"/>
          </w:tcPr>
          <w:p>
            <w:pPr>
              <w:spacing w:after="0"/>
              <w:jc w:val="left"/>
            </w:pPr>
            <w:r>
              <w:rPr>
                <w:rFonts w:ascii="Aptos" w:hAnsi="Aptos"/>
                <w:sz w:val="18"/>
              </w:rPr>
              <w:t>What observation or failed derivation would reject the claim</w:t>
            </w:r>
          </w:p>
        </w:tc>
      </w:tr>
    </w:tbl>
    <w:p>
      <w:pPr>
        <w:spacing w:after="20"/>
      </w:pPr>
    </w:p>
    <w:p>
      <w:pPr>
        <w:pStyle w:val="Heading1"/>
      </w:pPr>
      <w:r>
        <w:t>External physical baseline</w:t>
      </w:r>
    </w:p>
    <w:p>
      <w:pPr>
        <w:keepLines w:val="0"/>
      </w:pPr>
      <w:r>
        <w:rPr>
          <w:rFonts w:ascii="Aptos" w:hAnsi="Aptos"/>
          <w:i w:val="0"/>
        </w:rPr>
        <w:t>The following statements belong to the external baseline and are not claimed as WRRA discoveries. Superstring theories are normally formulated in ten spacetime dimensions. Witten argued that eleven dimensional supergravity appears as the low energy limit of strongly coupled type IIA string theory, providing the central route to M theory [1]. Four dimensional compactifications of M theory use seven dimensional internal spaces, often with G2 holonomy [2]. Gravity is already present in the eleven dimensional theory and is not a twelfth dimension. Singular G2 compactifications can support non Abelian gauge groups and chiral fermions in four dimensions [3][4].</w:t>
      </w:r>
    </w:p>
    <w:p>
      <w:pPr>
        <w:keepLines w:val="0"/>
      </w:pPr>
      <w:r>
        <w:rPr>
          <w:rFonts w:ascii="Aptos" w:hAnsi="Aptos"/>
          <w:i w:val="0"/>
        </w:rPr>
        <w:t>WRRA-M changes the interpretation, not these mathematical inputs. It asks whether seven geometric dimensions in the external formalism are the calculational image of seven predimensional degrees in WRRA. A successful correspondence must reproduce more than the dimension count. It must recover the four dimensional metric, the fifteen chiral channels, their gauge assignments, and the universal coupling of gravity.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592"/>
            <w:shd w:fill="18324A"/>
            <w:tcMar>
              <w:top w:w="120" w:type="dxa"/>
              <w:start w:w="140" w:type="dxa"/>
              <w:bottom w:w="120" w:type="dxa"/>
              <w:end w:w="140" w:type="dxa"/>
            </w:tcMar>
            <w:vAlign w:val="center"/>
          </w:tcPr>
          <w:p>
            <w:pPr>
              <w:spacing w:after="0"/>
              <w:jc w:val="center"/>
            </w:pPr>
            <w:r>
              <w:rPr>
                <w:rFonts w:ascii="Aptos" w:hAnsi="Aptos"/>
                <w:b/>
                <w:color w:val="FFFFFF"/>
                <w:sz w:val="17"/>
              </w:rPr>
              <w:t>External formalism</w:t>
            </w:r>
          </w:p>
        </w:tc>
        <w:tc>
          <w:tcPr>
            <w:tcW w:type="dxa" w:w="4536"/>
            <w:shd w:fill="18324A"/>
            <w:tcMar>
              <w:top w:w="120" w:type="dxa"/>
              <w:start w:w="140" w:type="dxa"/>
              <w:bottom w:w="120" w:type="dxa"/>
              <w:end w:w="140" w:type="dxa"/>
            </w:tcMar>
            <w:vAlign w:val="center"/>
          </w:tcPr>
          <w:p>
            <w:pPr>
              <w:spacing w:after="0"/>
              <w:jc w:val="center"/>
            </w:pPr>
            <w:r>
              <w:rPr>
                <w:rFonts w:ascii="Aptos" w:hAnsi="Aptos"/>
                <w:b/>
                <w:color w:val="FFFFFF"/>
                <w:sz w:val="17"/>
              </w:rPr>
              <w:t>WRRA-M interpretation</w:t>
            </w:r>
          </w:p>
        </w:tc>
        <w:tc>
          <w:tcPr>
            <w:tcW w:type="dxa" w:w="2448"/>
            <w:shd w:fill="18324A"/>
            <w:tcMar>
              <w:top w:w="120" w:type="dxa"/>
              <w:start w:w="140" w:type="dxa"/>
              <w:bottom w:w="120" w:type="dxa"/>
              <w:end w:w="140" w:type="dxa"/>
            </w:tcMar>
            <w:vAlign w:val="center"/>
          </w:tcPr>
          <w:p>
            <w:pPr>
              <w:spacing w:after="0"/>
              <w:jc w:val="center"/>
            </w:pPr>
            <w:r>
              <w:rPr>
                <w:rFonts w:ascii="Aptos" w:hAnsi="Aptos"/>
                <w:b/>
                <w:color w:val="FFFFFF"/>
                <w:sz w:val="17"/>
              </w:rPr>
              <w:t>Current status</w:t>
            </w:r>
          </w:p>
        </w:tc>
      </w:tr>
      <w:tr>
        <w:trPr>
          <w:cantSplit/>
        </w:trPr>
        <w:tc>
          <w:tcPr>
            <w:tcW w:type="dxa" w:w="2592"/>
            <w:tcMar>
              <w:top w:w="120" w:type="dxa"/>
              <w:start w:w="140" w:type="dxa"/>
              <w:bottom w:w="120" w:type="dxa"/>
              <w:end w:w="140" w:type="dxa"/>
            </w:tcMar>
            <w:vAlign w:val="center"/>
          </w:tcPr>
          <w:p>
            <w:pPr>
              <w:spacing w:after="0"/>
              <w:jc w:val="left"/>
            </w:pPr>
            <w:r>
              <w:rPr>
                <w:rFonts w:ascii="Aptos" w:hAnsi="Aptos"/>
                <w:sz w:val="17"/>
              </w:rPr>
              <w:t>Eleven dimensional spacetime</w:t>
            </w:r>
          </w:p>
        </w:tc>
        <w:tc>
          <w:tcPr>
            <w:tcW w:type="dxa" w:w="4536"/>
            <w:tcMar>
              <w:top w:w="120" w:type="dxa"/>
              <w:start w:w="140" w:type="dxa"/>
              <w:bottom w:w="120" w:type="dxa"/>
              <w:end w:w="140" w:type="dxa"/>
            </w:tcMar>
            <w:vAlign w:val="center"/>
          </w:tcPr>
          <w:p>
            <w:pPr>
              <w:spacing w:after="0"/>
              <w:jc w:val="left"/>
            </w:pPr>
            <w:r>
              <w:rPr>
                <w:rFonts w:ascii="Aptos" w:hAnsi="Aptos"/>
                <w:sz w:val="17"/>
              </w:rPr>
              <w:t>Four phenotype coordinates plus seven predimensional degrees</w:t>
            </w:r>
          </w:p>
        </w:tc>
        <w:tc>
          <w:tcPr>
            <w:tcW w:type="dxa" w:w="2448"/>
            <w:tcMar>
              <w:top w:w="120" w:type="dxa"/>
              <w:start w:w="140" w:type="dxa"/>
              <w:bottom w:w="120" w:type="dxa"/>
              <w:end w:w="140" w:type="dxa"/>
            </w:tcMar>
            <w:vAlign w:val="center"/>
          </w:tcPr>
          <w:p>
            <w:pPr>
              <w:spacing w:after="0"/>
              <w:jc w:val="left"/>
            </w:pPr>
            <w:r>
              <w:rPr>
                <w:rFonts w:ascii="Aptos" w:hAnsi="Aptos"/>
                <w:sz w:val="17"/>
              </w:rPr>
              <w:t>Correspondence hypothesis</w:t>
            </w:r>
          </w:p>
        </w:tc>
      </w:tr>
      <w:tr>
        <w:trPr>
          <w:cantSplit/>
        </w:trPr>
        <w:tc>
          <w:tcPr>
            <w:tcW w:type="dxa" w:w="2592"/>
            <w:shd w:fill="EAF2F8"/>
            <w:tcMar>
              <w:top w:w="120" w:type="dxa"/>
              <w:start w:w="140" w:type="dxa"/>
              <w:bottom w:w="120" w:type="dxa"/>
              <w:end w:w="140" w:type="dxa"/>
            </w:tcMar>
            <w:vAlign w:val="center"/>
          </w:tcPr>
          <w:p>
            <w:pPr>
              <w:spacing w:after="0"/>
              <w:jc w:val="left"/>
            </w:pPr>
            <w:r>
              <w:rPr>
                <w:rFonts w:ascii="Aptos" w:hAnsi="Aptos"/>
                <w:sz w:val="17"/>
              </w:rPr>
              <w:t>Seven dimensional compact space</w:t>
            </w:r>
          </w:p>
        </w:tc>
        <w:tc>
          <w:tcPr>
            <w:tcW w:type="dxa" w:w="4536"/>
            <w:shd w:fill="EAF2F8"/>
            <w:tcMar>
              <w:top w:w="120" w:type="dxa"/>
              <w:start w:w="140" w:type="dxa"/>
              <w:bottom w:w="120" w:type="dxa"/>
              <w:end w:w="140" w:type="dxa"/>
            </w:tcMar>
            <w:vAlign w:val="center"/>
          </w:tcPr>
          <w:p>
            <w:pPr>
              <w:spacing w:after="0"/>
              <w:jc w:val="left"/>
            </w:pPr>
            <w:r>
              <w:rPr>
                <w:rFonts w:ascii="Aptos" w:hAnsi="Aptos"/>
                <w:sz w:val="17"/>
              </w:rPr>
              <w:t>Calculational representation of P7</w:t>
            </w:r>
          </w:p>
        </w:tc>
        <w:tc>
          <w:tcPr>
            <w:tcW w:type="dxa" w:w="2448"/>
            <w:shd w:fill="EAF2F8"/>
            <w:tcMar>
              <w:top w:w="120" w:type="dxa"/>
              <w:start w:w="140" w:type="dxa"/>
              <w:bottom w:w="120" w:type="dxa"/>
              <w:end w:w="140" w:type="dxa"/>
            </w:tcMar>
            <w:vAlign w:val="center"/>
          </w:tcPr>
          <w:p>
            <w:pPr>
              <w:spacing w:after="0"/>
              <w:jc w:val="left"/>
            </w:pPr>
            <w:r>
              <w:rPr>
                <w:rFonts w:ascii="Aptos" w:hAnsi="Aptos"/>
                <w:sz w:val="17"/>
              </w:rPr>
              <w:t>Defined but not derived</w:t>
            </w:r>
          </w:p>
        </w:tc>
      </w:tr>
      <w:tr>
        <w:trPr>
          <w:cantSplit/>
        </w:trPr>
        <w:tc>
          <w:tcPr>
            <w:tcW w:type="dxa" w:w="2592"/>
            <w:tcMar>
              <w:top w:w="120" w:type="dxa"/>
              <w:start w:w="140" w:type="dxa"/>
              <w:bottom w:w="120" w:type="dxa"/>
              <w:end w:w="140" w:type="dxa"/>
            </w:tcMar>
            <w:vAlign w:val="center"/>
          </w:tcPr>
          <w:p>
            <w:pPr>
              <w:spacing w:after="0"/>
              <w:jc w:val="left"/>
            </w:pPr>
            <w:r>
              <w:rPr>
                <w:rFonts w:ascii="Aptos" w:hAnsi="Aptos"/>
                <w:sz w:val="17"/>
              </w:rPr>
              <w:t>Compactification</w:t>
            </w:r>
          </w:p>
        </w:tc>
        <w:tc>
          <w:tcPr>
            <w:tcW w:type="dxa" w:w="4536"/>
            <w:tcMar>
              <w:top w:w="120" w:type="dxa"/>
              <w:start w:w="140" w:type="dxa"/>
              <w:bottom w:w="120" w:type="dxa"/>
              <w:end w:w="140" w:type="dxa"/>
            </w:tcMar>
            <w:vAlign w:val="center"/>
          </w:tcPr>
          <w:p>
            <w:pPr>
              <w:spacing w:after="0"/>
              <w:jc w:val="left"/>
            </w:pPr>
            <w:r>
              <w:rPr>
                <w:rFonts w:ascii="Aptos" w:hAnsi="Aptos"/>
                <w:sz w:val="17"/>
              </w:rPr>
              <w:t>Dimension filter projection</w:t>
            </w:r>
          </w:p>
        </w:tc>
        <w:tc>
          <w:tcPr>
            <w:tcW w:type="dxa" w:w="2448"/>
            <w:tcMar>
              <w:top w:w="120" w:type="dxa"/>
              <w:start w:w="140" w:type="dxa"/>
              <w:bottom w:w="120" w:type="dxa"/>
              <w:end w:w="140" w:type="dxa"/>
            </w:tcMar>
            <w:vAlign w:val="center"/>
          </w:tcPr>
          <w:p>
            <w:pPr>
              <w:spacing w:after="0"/>
              <w:jc w:val="left"/>
            </w:pPr>
            <w:r>
              <w:rPr>
                <w:rFonts w:ascii="Aptos" w:hAnsi="Aptos"/>
                <w:sz w:val="17"/>
              </w:rPr>
              <w:t>Architecture definition</w:t>
            </w:r>
          </w:p>
        </w:tc>
      </w:tr>
      <w:tr>
        <w:trPr>
          <w:cantSplit/>
        </w:trPr>
        <w:tc>
          <w:tcPr>
            <w:tcW w:type="dxa" w:w="2592"/>
            <w:shd w:fill="EAF2F8"/>
            <w:tcMar>
              <w:top w:w="120" w:type="dxa"/>
              <w:start w:w="140" w:type="dxa"/>
              <w:bottom w:w="120" w:type="dxa"/>
              <w:end w:w="140" w:type="dxa"/>
            </w:tcMar>
            <w:vAlign w:val="center"/>
          </w:tcPr>
          <w:p>
            <w:pPr>
              <w:spacing w:after="0"/>
              <w:jc w:val="left"/>
            </w:pPr>
            <w:r>
              <w:rPr>
                <w:rFonts w:ascii="Aptos" w:hAnsi="Aptos"/>
                <w:sz w:val="17"/>
              </w:rPr>
              <w:t>Eleven dimensional metric</w:t>
            </w:r>
          </w:p>
        </w:tc>
        <w:tc>
          <w:tcPr>
            <w:tcW w:type="dxa" w:w="4536"/>
            <w:shd w:fill="EAF2F8"/>
            <w:tcMar>
              <w:top w:w="120" w:type="dxa"/>
              <w:start w:w="140" w:type="dxa"/>
              <w:bottom w:w="120" w:type="dxa"/>
              <w:end w:w="140" w:type="dxa"/>
            </w:tcMar>
            <w:vAlign w:val="center"/>
          </w:tcPr>
          <w:p>
            <w:pPr>
              <w:spacing w:after="0"/>
              <w:jc w:val="left"/>
            </w:pPr>
            <w:r>
              <w:rPr>
                <w:rFonts w:ascii="Aptos" w:hAnsi="Aptos"/>
                <w:sz w:val="17"/>
              </w:rPr>
              <w:t>Universal upstream kinetic structure inherited by the phenotype</w:t>
            </w:r>
          </w:p>
        </w:tc>
        <w:tc>
          <w:tcPr>
            <w:tcW w:type="dxa" w:w="2448"/>
            <w:shd w:fill="EAF2F8"/>
            <w:tcMar>
              <w:top w:w="120" w:type="dxa"/>
              <w:start w:w="140" w:type="dxa"/>
              <w:bottom w:w="120" w:type="dxa"/>
              <w:end w:w="140" w:type="dxa"/>
            </w:tcMar>
            <w:vAlign w:val="center"/>
          </w:tcPr>
          <w:p>
            <w:pPr>
              <w:spacing w:after="0"/>
              <w:jc w:val="left"/>
            </w:pPr>
            <w:r>
              <w:rPr>
                <w:rFonts w:ascii="Aptos" w:hAnsi="Aptos"/>
                <w:sz w:val="17"/>
              </w:rPr>
              <w:t>Candidate bridge</w:t>
            </w:r>
          </w:p>
        </w:tc>
      </w:tr>
      <w:tr>
        <w:trPr>
          <w:cantSplit/>
        </w:trPr>
        <w:tc>
          <w:tcPr>
            <w:tcW w:type="dxa" w:w="2592"/>
            <w:tcMar>
              <w:top w:w="120" w:type="dxa"/>
              <w:start w:w="140" w:type="dxa"/>
              <w:bottom w:w="120" w:type="dxa"/>
              <w:end w:w="140" w:type="dxa"/>
            </w:tcMar>
            <w:vAlign w:val="center"/>
          </w:tcPr>
          <w:p>
            <w:pPr>
              <w:spacing w:after="0"/>
              <w:jc w:val="left"/>
            </w:pPr>
            <w:r>
              <w:rPr>
                <w:rFonts w:ascii="Aptos" w:hAnsi="Aptos"/>
                <w:sz w:val="17"/>
              </w:rPr>
              <w:t>Four dimensional fields</w:t>
            </w:r>
          </w:p>
        </w:tc>
        <w:tc>
          <w:tcPr>
            <w:tcW w:type="dxa" w:w="4536"/>
            <w:tcMar>
              <w:top w:w="120" w:type="dxa"/>
              <w:start w:w="140" w:type="dxa"/>
              <w:bottom w:w="120" w:type="dxa"/>
              <w:end w:w="140" w:type="dxa"/>
            </w:tcMar>
            <w:vAlign w:val="center"/>
          </w:tcPr>
          <w:p>
            <w:pPr>
              <w:spacing w:after="0"/>
              <w:jc w:val="left"/>
            </w:pPr>
            <w:r>
              <w:rPr>
                <w:rFonts w:ascii="Aptos" w:hAnsi="Aptos"/>
                <w:sz w:val="17"/>
              </w:rPr>
              <w:t>Phenotype channels selected by the filter</w:t>
            </w:r>
          </w:p>
        </w:tc>
        <w:tc>
          <w:tcPr>
            <w:tcW w:type="dxa" w:w="2448"/>
            <w:tcMar>
              <w:top w:w="120" w:type="dxa"/>
              <w:start w:w="140" w:type="dxa"/>
              <w:bottom w:w="120" w:type="dxa"/>
              <w:end w:w="140" w:type="dxa"/>
            </w:tcMar>
            <w:vAlign w:val="center"/>
          </w:tcPr>
          <w:p>
            <w:pPr>
              <w:spacing w:after="0"/>
              <w:jc w:val="left"/>
            </w:pPr>
            <w:r>
              <w:rPr>
                <w:rFonts w:ascii="Aptos" w:hAnsi="Aptos"/>
                <w:sz w:val="17"/>
              </w:rPr>
              <w:t>Open derivation</w:t>
            </w:r>
          </w:p>
        </w:tc>
      </w:tr>
    </w:tbl>
    <w:p>
      <w:pPr>
        <w:spacing w:after="20"/>
      </w:pPr>
    </w:p>
    <w:p>
      <w:pPr>
        <w:pStyle w:val="Heading1"/>
      </w:pPr>
      <w:r>
        <w:t>WRRA-M ontology</w:t>
      </w:r>
    </w:p>
    <w:p>
      <w:pPr>
        <w:keepLines w:val="0"/>
      </w:pPr>
      <w:r>
        <w:rPr>
          <w:rFonts w:ascii="Aptos" w:hAnsi="Aptos"/>
          <w:i w:val="0"/>
        </w:rPr>
        <w:t>The predimensional layer has no spatial coordinates and no external clock. The symbol P7 therefore does not denote a seven dimensional place. It denotes seven independent degrees needed by the renderer before space and time are expressed. This choice preserves the WRRA premise that the phenotype does not reveal the complete universe.</w:t>
      </w:r>
    </w:p>
    <w:p>
      <w:pPr>
        <w:keepLines/>
        <w:spacing w:before="80" w:after="100"/>
        <w:jc w:val="center"/>
      </w:pPr>
      <w:r>
        <w:drawing>
          <wp:inline xmlns:a="http://schemas.openxmlformats.org/drawingml/2006/main" xmlns:pic="http://schemas.openxmlformats.org/drawingml/2006/picture">
            <wp:extent cx="4572000" cy="477000"/>
            <wp:docPr id="4" name="Picture 4"/>
            <wp:cNvGraphicFramePr>
              <a:graphicFrameLocks noChangeAspect="1"/>
            </wp:cNvGraphicFramePr>
            <a:graphic>
              <a:graphicData uri="http://schemas.openxmlformats.org/drawingml/2006/picture">
                <pic:pic>
                  <pic:nvPicPr>
                    <pic:cNvPr id="0" name="eq_01.png"/>
                    <pic:cNvPicPr/>
                  </pic:nvPicPr>
                  <pic:blipFill>
                    <a:blip r:embed="rId13"/>
                    <a:stretch>
                      <a:fillRect/>
                    </a:stretch>
                  </pic:blipFill>
                  <pic:spPr>
                    <a:xfrm>
                      <a:off x="0" y="0"/>
                      <a:ext cx="4572000" cy="477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584"/>
            <w:shd w:fill="18324A"/>
            <w:tcMar>
              <w:top w:w="120" w:type="dxa"/>
              <w:start w:w="140" w:type="dxa"/>
              <w:bottom w:w="120" w:type="dxa"/>
              <w:end w:w="140" w:type="dxa"/>
            </w:tcMar>
            <w:vAlign w:val="center"/>
          </w:tcPr>
          <w:p>
            <w:pPr>
              <w:spacing w:after="0"/>
              <w:jc w:val="center"/>
            </w:pPr>
            <w:r>
              <w:rPr>
                <w:rFonts w:ascii="Aptos" w:hAnsi="Aptos"/>
                <w:b/>
                <w:color w:val="FFFFFF"/>
                <w:sz w:val="18"/>
              </w:rPr>
              <w:t>Symbol</w:t>
            </w:r>
          </w:p>
        </w:tc>
        <w:tc>
          <w:tcPr>
            <w:tcW w:type="dxa" w:w="3384"/>
            <w:shd w:fill="18324A"/>
            <w:tcMar>
              <w:top w:w="120" w:type="dxa"/>
              <w:start w:w="140" w:type="dxa"/>
              <w:bottom w:w="120" w:type="dxa"/>
              <w:end w:w="140" w:type="dxa"/>
            </w:tcMar>
            <w:vAlign w:val="center"/>
          </w:tcPr>
          <w:p>
            <w:pPr>
              <w:spacing w:after="0"/>
              <w:jc w:val="center"/>
            </w:pPr>
            <w:r>
              <w:rPr>
                <w:rFonts w:ascii="Aptos" w:hAnsi="Aptos"/>
                <w:b/>
                <w:color w:val="FFFFFF"/>
                <w:sz w:val="18"/>
              </w:rPr>
              <w:t>Meaning</w:t>
            </w:r>
          </w:p>
        </w:tc>
        <w:tc>
          <w:tcPr>
            <w:tcW w:type="dxa" w:w="4608"/>
            <w:shd w:fill="18324A"/>
            <w:tcMar>
              <w:top w:w="120" w:type="dxa"/>
              <w:start w:w="140" w:type="dxa"/>
              <w:bottom w:w="120" w:type="dxa"/>
              <w:end w:w="140" w:type="dxa"/>
            </w:tcMar>
            <w:vAlign w:val="center"/>
          </w:tcPr>
          <w:p>
            <w:pPr>
              <w:spacing w:after="0"/>
              <w:jc w:val="center"/>
            </w:pPr>
            <w:r>
              <w:rPr>
                <w:rFonts w:ascii="Aptos" w:hAnsi="Aptos"/>
                <w:b/>
                <w:color w:val="FFFFFF"/>
                <w:sz w:val="18"/>
              </w:rPr>
              <w:t>Constraint</w:t>
            </w:r>
          </w:p>
        </w:tc>
      </w:tr>
      <w:tr>
        <w:trPr>
          <w:cantSplit/>
        </w:trPr>
        <w:tc>
          <w:tcPr>
            <w:tcW w:type="dxa" w:w="1584"/>
            <w:tcMar>
              <w:top w:w="120" w:type="dxa"/>
              <w:start w:w="140" w:type="dxa"/>
              <w:bottom w:w="120" w:type="dxa"/>
              <w:end w:w="140" w:type="dxa"/>
            </w:tcMar>
            <w:vAlign w:val="center"/>
          </w:tcPr>
          <w:p>
            <w:pPr>
              <w:spacing w:after="0"/>
              <w:jc w:val="center"/>
            </w:pPr>
            <w:r>
              <w:rPr>
                <w:rFonts w:ascii="Aptos" w:hAnsi="Aptos"/>
                <w:sz w:val="18"/>
              </w:rPr>
              <w:t>S</w:t>
            </w:r>
          </w:p>
        </w:tc>
        <w:tc>
          <w:tcPr>
            <w:tcW w:type="dxa" w:w="3384"/>
            <w:tcMar>
              <w:top w:w="120" w:type="dxa"/>
              <w:start w:w="140" w:type="dxa"/>
              <w:bottom w:w="120" w:type="dxa"/>
              <w:end w:w="140" w:type="dxa"/>
            </w:tcMar>
            <w:vAlign w:val="center"/>
          </w:tcPr>
          <w:p>
            <w:pPr>
              <w:spacing w:after="0"/>
              <w:jc w:val="center"/>
            </w:pPr>
            <w:r>
              <w:rPr>
                <w:rFonts w:ascii="Aptos" w:hAnsi="Aptos"/>
                <w:sz w:val="18"/>
              </w:rPr>
              <w:t>Source</w:t>
            </w:r>
          </w:p>
        </w:tc>
        <w:tc>
          <w:tcPr>
            <w:tcW w:type="dxa" w:w="4608"/>
            <w:tcMar>
              <w:top w:w="120" w:type="dxa"/>
              <w:start w:w="140" w:type="dxa"/>
              <w:bottom w:w="120" w:type="dxa"/>
              <w:end w:w="140" w:type="dxa"/>
            </w:tcMar>
            <w:vAlign w:val="center"/>
          </w:tcPr>
          <w:p>
            <w:pPr>
              <w:spacing w:after="0"/>
              <w:jc w:val="left"/>
            </w:pPr>
            <w:r>
              <w:rPr>
                <w:rFonts w:ascii="Aptos" w:hAnsi="Aptos"/>
                <w:sz w:val="18"/>
              </w:rPr>
              <w:t>Finite actualizable information</w:t>
            </w:r>
          </w:p>
        </w:tc>
      </w:tr>
      <w:tr>
        <w:trPr>
          <w:cantSplit/>
        </w:trPr>
        <w:tc>
          <w:tcPr>
            <w:tcW w:type="dxa" w:w="1584"/>
            <w:shd w:fill="EAF2F8"/>
            <w:tcMar>
              <w:top w:w="120" w:type="dxa"/>
              <w:start w:w="140" w:type="dxa"/>
              <w:bottom w:w="120" w:type="dxa"/>
              <w:end w:w="140" w:type="dxa"/>
            </w:tcMar>
            <w:vAlign w:val="center"/>
          </w:tcPr>
          <w:p>
            <w:pPr>
              <w:spacing w:after="0"/>
              <w:jc w:val="center"/>
            </w:pPr>
            <w:r>
              <w:rPr>
                <w:rFonts w:ascii="Aptos" w:hAnsi="Aptos"/>
                <w:sz w:val="18"/>
              </w:rPr>
              <w:t>L</w:t>
            </w:r>
          </w:p>
        </w:tc>
        <w:tc>
          <w:tcPr>
            <w:tcW w:type="dxa" w:w="3384"/>
            <w:shd w:fill="EAF2F8"/>
            <w:tcMar>
              <w:top w:w="120" w:type="dxa"/>
              <w:start w:w="140" w:type="dxa"/>
              <w:bottom w:w="120" w:type="dxa"/>
              <w:end w:w="140" w:type="dxa"/>
            </w:tcMar>
            <w:vAlign w:val="center"/>
          </w:tcPr>
          <w:p>
            <w:pPr>
              <w:spacing w:after="0"/>
              <w:jc w:val="center"/>
            </w:pPr>
            <w:r>
              <w:rPr>
                <w:rFonts w:ascii="Aptos" w:hAnsi="Aptos"/>
                <w:sz w:val="18"/>
              </w:rPr>
              <w:t>Law</w:t>
            </w:r>
          </w:p>
        </w:tc>
        <w:tc>
          <w:tcPr>
            <w:tcW w:type="dxa" w:w="4608"/>
            <w:shd w:fill="EAF2F8"/>
            <w:tcMar>
              <w:top w:w="120" w:type="dxa"/>
              <w:start w:w="140" w:type="dxa"/>
              <w:bottom w:w="120" w:type="dxa"/>
              <w:end w:w="140" w:type="dxa"/>
            </w:tcMar>
            <w:vAlign w:val="center"/>
          </w:tcPr>
          <w:p>
            <w:pPr>
              <w:spacing w:after="0"/>
              <w:jc w:val="left"/>
            </w:pPr>
            <w:r>
              <w:rPr>
                <w:rFonts w:ascii="Aptos" w:hAnsi="Aptos"/>
                <w:sz w:val="18"/>
              </w:rPr>
              <w:t>Invariant transition rule</w:t>
            </w:r>
          </w:p>
        </w:tc>
      </w:tr>
      <w:tr>
        <w:trPr>
          <w:cantSplit/>
        </w:trPr>
        <w:tc>
          <w:tcPr>
            <w:tcW w:type="dxa" w:w="1584"/>
            <w:tcMar>
              <w:top w:w="120" w:type="dxa"/>
              <w:start w:w="140" w:type="dxa"/>
              <w:bottom w:w="120" w:type="dxa"/>
              <w:end w:w="140" w:type="dxa"/>
            </w:tcMar>
            <w:vAlign w:val="center"/>
          </w:tcPr>
          <w:p>
            <w:pPr>
              <w:spacing w:after="0"/>
              <w:jc w:val="center"/>
            </w:pPr>
            <w:r>
              <w:rPr>
                <w:rFonts w:ascii="Aptos" w:hAnsi="Aptos"/>
                <w:sz w:val="18"/>
              </w:rPr>
              <w:t>P₇</w:t>
            </w:r>
          </w:p>
        </w:tc>
        <w:tc>
          <w:tcPr>
            <w:tcW w:type="dxa" w:w="3384"/>
            <w:tcMar>
              <w:top w:w="120" w:type="dxa"/>
              <w:start w:w="140" w:type="dxa"/>
              <w:bottom w:w="120" w:type="dxa"/>
              <w:end w:w="140" w:type="dxa"/>
            </w:tcMar>
            <w:vAlign w:val="center"/>
          </w:tcPr>
          <w:p>
            <w:pPr>
              <w:spacing w:after="0"/>
              <w:jc w:val="left"/>
            </w:pPr>
            <w:r>
              <w:rPr>
                <w:rFonts w:ascii="Aptos" w:hAnsi="Aptos"/>
                <w:sz w:val="18"/>
              </w:rPr>
              <w:t>Seven predimensional degrees</w:t>
            </w:r>
          </w:p>
        </w:tc>
        <w:tc>
          <w:tcPr>
            <w:tcW w:type="dxa" w:w="4608"/>
            <w:tcMar>
              <w:top w:w="120" w:type="dxa"/>
              <w:start w:w="140" w:type="dxa"/>
              <w:bottom w:w="120" w:type="dxa"/>
              <w:end w:w="140" w:type="dxa"/>
            </w:tcMar>
            <w:vAlign w:val="center"/>
          </w:tcPr>
          <w:p>
            <w:pPr>
              <w:spacing w:after="0"/>
              <w:jc w:val="left"/>
            </w:pPr>
            <w:r>
              <w:rPr>
                <w:rFonts w:ascii="Aptos" w:hAnsi="Aptos"/>
                <w:sz w:val="18"/>
              </w:rPr>
              <w:t>No spatial interpretation is assumed</w:t>
            </w:r>
          </w:p>
        </w:tc>
      </w:tr>
      <w:tr>
        <w:trPr>
          <w:cantSplit/>
        </w:trPr>
        <w:tc>
          <w:tcPr>
            <w:tcW w:type="dxa" w:w="1584"/>
            <w:shd w:fill="EAF2F8"/>
            <w:tcMar>
              <w:top w:w="120" w:type="dxa"/>
              <w:start w:w="140" w:type="dxa"/>
              <w:bottom w:w="120" w:type="dxa"/>
              <w:end w:w="140" w:type="dxa"/>
            </w:tcMar>
            <w:vAlign w:val="center"/>
          </w:tcPr>
          <w:p>
            <w:pPr>
              <w:spacing w:after="0"/>
              <w:jc w:val="center"/>
            </w:pPr>
            <w:r>
              <w:rPr>
                <w:rFonts w:ascii="Aptos" w:hAnsi="Aptos"/>
                <w:sz w:val="18"/>
              </w:rPr>
              <w:t>R</w:t>
            </w:r>
          </w:p>
        </w:tc>
        <w:tc>
          <w:tcPr>
            <w:tcW w:type="dxa" w:w="3384"/>
            <w:shd w:fill="EAF2F8"/>
            <w:tcMar>
              <w:top w:w="120" w:type="dxa"/>
              <w:start w:w="140" w:type="dxa"/>
              <w:bottom w:w="120" w:type="dxa"/>
              <w:end w:w="140" w:type="dxa"/>
            </w:tcMar>
            <w:vAlign w:val="center"/>
          </w:tcPr>
          <w:p>
            <w:pPr>
              <w:spacing w:after="0"/>
              <w:jc w:val="center"/>
            </w:pPr>
            <w:r>
              <w:rPr>
                <w:rFonts w:ascii="Aptos" w:hAnsi="Aptos"/>
                <w:sz w:val="18"/>
              </w:rPr>
              <w:t>Residue</w:t>
            </w:r>
          </w:p>
        </w:tc>
        <w:tc>
          <w:tcPr>
            <w:tcW w:type="dxa" w:w="4608"/>
            <w:shd w:fill="EAF2F8"/>
            <w:tcMar>
              <w:top w:w="120" w:type="dxa"/>
              <w:start w:w="140" w:type="dxa"/>
              <w:bottom w:w="120" w:type="dxa"/>
              <w:end w:w="140" w:type="dxa"/>
            </w:tcMar>
            <w:vAlign w:val="center"/>
          </w:tcPr>
          <w:p>
            <w:pPr>
              <w:spacing w:after="0"/>
              <w:jc w:val="left"/>
            </w:pPr>
            <w:r>
              <w:rPr>
                <w:rFonts w:ascii="Aptos" w:hAnsi="Aptos"/>
                <w:sz w:val="18"/>
              </w:rPr>
              <w:t>Present record of earlier transitions</w:t>
            </w:r>
          </w:p>
        </w:tc>
      </w:tr>
      <w:tr>
        <w:trPr>
          <w:cantSplit/>
        </w:trPr>
        <w:tc>
          <w:tcPr>
            <w:tcW w:type="dxa" w:w="1584"/>
            <w:tcMar>
              <w:top w:w="120" w:type="dxa"/>
              <w:start w:w="140" w:type="dxa"/>
              <w:bottom w:w="120" w:type="dxa"/>
              <w:end w:w="140" w:type="dxa"/>
            </w:tcMar>
            <w:vAlign w:val="center"/>
          </w:tcPr>
          <w:p>
            <w:pPr>
              <w:spacing w:after="0"/>
              <w:jc w:val="center"/>
            </w:pPr>
            <w:r>
              <w:rPr>
                <w:rFonts w:ascii="Aptos" w:hAnsi="Aptos"/>
                <w:sz w:val="18"/>
              </w:rPr>
              <w:t>DF_M</w:t>
            </w:r>
          </w:p>
        </w:tc>
        <w:tc>
          <w:tcPr>
            <w:tcW w:type="dxa" w:w="3384"/>
            <w:tcMar>
              <w:top w:w="120" w:type="dxa"/>
              <w:start w:w="140" w:type="dxa"/>
              <w:bottom w:w="120" w:type="dxa"/>
              <w:end w:w="140" w:type="dxa"/>
            </w:tcMar>
            <w:vAlign w:val="center"/>
          </w:tcPr>
          <w:p>
            <w:pPr>
              <w:spacing w:after="0"/>
              <w:jc w:val="left"/>
            </w:pPr>
            <w:r>
              <w:rPr>
                <w:rFonts w:ascii="Aptos" w:hAnsi="Aptos"/>
                <w:sz w:val="18"/>
              </w:rPr>
              <w:t>Meta dimensional filter</w:t>
            </w:r>
          </w:p>
        </w:tc>
        <w:tc>
          <w:tcPr>
            <w:tcW w:type="dxa" w:w="4608"/>
            <w:tcMar>
              <w:top w:w="120" w:type="dxa"/>
              <w:start w:w="140" w:type="dxa"/>
              <w:bottom w:w="120" w:type="dxa"/>
              <w:end w:w="140" w:type="dxa"/>
            </w:tcMar>
            <w:vAlign w:val="center"/>
          </w:tcPr>
          <w:p>
            <w:pPr>
              <w:spacing w:after="0"/>
              <w:jc w:val="left"/>
            </w:pPr>
            <w:r>
              <w:rPr>
                <w:rFonts w:ascii="Aptos" w:hAnsi="Aptos"/>
                <w:sz w:val="18"/>
              </w:rPr>
              <w:t>Produces finite phenotype outputs</w:t>
            </w:r>
          </w:p>
        </w:tc>
      </w:tr>
      <w:tr>
        <w:trPr>
          <w:cantSplit/>
        </w:trPr>
        <w:tc>
          <w:tcPr>
            <w:tcW w:type="dxa" w:w="1584"/>
            <w:shd w:fill="EAF2F8"/>
            <w:tcMar>
              <w:top w:w="120" w:type="dxa"/>
              <w:start w:w="140" w:type="dxa"/>
              <w:bottom w:w="120" w:type="dxa"/>
              <w:end w:w="140" w:type="dxa"/>
            </w:tcMar>
            <w:vAlign w:val="center"/>
          </w:tcPr>
          <w:p>
            <w:pPr>
              <w:spacing w:after="0"/>
              <w:jc w:val="center"/>
            </w:pPr>
            <w:r>
              <w:rPr>
                <w:rFonts w:ascii="Aptos" w:hAnsi="Aptos"/>
                <w:sz w:val="18"/>
              </w:rPr>
              <w:t>Φ₃₊₁</w:t>
            </w:r>
          </w:p>
        </w:tc>
        <w:tc>
          <w:tcPr>
            <w:tcW w:type="dxa" w:w="3384"/>
            <w:shd w:fill="EAF2F8"/>
            <w:tcMar>
              <w:top w:w="120" w:type="dxa"/>
              <w:start w:w="140" w:type="dxa"/>
              <w:bottom w:w="120" w:type="dxa"/>
              <w:end w:w="140" w:type="dxa"/>
            </w:tcMar>
            <w:vAlign w:val="center"/>
          </w:tcPr>
          <w:p>
            <w:pPr>
              <w:spacing w:after="0"/>
              <w:jc w:val="left"/>
            </w:pPr>
            <w:r>
              <w:rPr>
                <w:rFonts w:ascii="Aptos" w:hAnsi="Aptos"/>
                <w:sz w:val="18"/>
              </w:rPr>
              <w:t>Rendered spacetime and fields</w:t>
            </w:r>
          </w:p>
        </w:tc>
        <w:tc>
          <w:tcPr>
            <w:tcW w:type="dxa" w:w="4608"/>
            <w:shd w:fill="EAF2F8"/>
            <w:tcMar>
              <w:top w:w="120" w:type="dxa"/>
              <w:start w:w="140" w:type="dxa"/>
              <w:bottom w:w="120" w:type="dxa"/>
              <w:end w:w="140" w:type="dxa"/>
            </w:tcMar>
            <w:vAlign w:val="center"/>
          </w:tcPr>
          <w:p>
            <w:pPr>
              <w:spacing w:after="0"/>
              <w:jc w:val="left"/>
            </w:pPr>
            <w:r>
              <w:rPr>
                <w:rFonts w:ascii="Aptos" w:hAnsi="Aptos"/>
                <w:sz w:val="18"/>
              </w:rPr>
              <w:t>Incomplete phenotype</w:t>
            </w:r>
          </w:p>
        </w:tc>
      </w:tr>
    </w:tbl>
    <w:p>
      <w:pPr>
        <w:spacing w:after="20"/>
      </w:pPr>
    </w:p>
    <w:p>
      <w:pPr>
        <w:keepLines w:val="0"/>
      </w:pPr>
      <w:r>
        <w:rPr>
          <w:rFonts w:ascii="Aptos" w:hAnsi="Aptos"/>
          <w:i w:val="0"/>
        </w:rPr>
        <w:t>Every phenotype point is local in the output and directly connected to the same Source and Law in the upstream architecture. This does not place a complete copy of the visible universe inside each point. It means that no phenotype location has privileged access to the substrate. Every location is a dimension filter interface.</w:t>
      </w:r>
    </w:p>
    <w:p>
      <w:r>
        <w:br w:type="page"/>
      </w:r>
    </w:p>
    <w:p>
      <w:pPr>
        <w:pStyle w:val="Heading1"/>
      </w:pPr>
      <w:r>
        <w:t>State transition and emergent time</w:t>
      </w:r>
    </w:p>
    <w:p>
      <w:pPr>
        <w:keepLines w:val="0"/>
      </w:pPr>
      <w:r>
        <w:rPr>
          <w:rFonts w:ascii="Aptos" w:hAnsi="Aptos"/>
          <w:i w:val="0"/>
        </w:rPr>
        <w:t>A state transition is indexed by n only to record order. The index is not an absolute background time. The transition rule acts on the predimensional state and its residue. A quantum or otherwise irreducible selection can enter through xi.</w:t>
      </w:r>
    </w:p>
    <w:p>
      <w:pPr>
        <w:keepLines/>
        <w:spacing w:before="80" w:after="100"/>
        <w:jc w:val="center"/>
      </w:pPr>
      <w:r>
        <w:drawing>
          <wp:inline xmlns:a="http://schemas.openxmlformats.org/drawingml/2006/main" xmlns:pic="http://schemas.openxmlformats.org/drawingml/2006/picture">
            <wp:extent cx="5029200" cy="524700"/>
            <wp:docPr id="5" name="Picture 5"/>
            <wp:cNvGraphicFramePr>
              <a:graphicFrameLocks noChangeAspect="1"/>
            </wp:cNvGraphicFramePr>
            <a:graphic>
              <a:graphicData uri="http://schemas.openxmlformats.org/drawingml/2006/picture">
                <pic:pic>
                  <pic:nvPicPr>
                    <pic:cNvPr id="0" name="eq_02.png"/>
                    <pic:cNvPicPr/>
                  </pic:nvPicPr>
                  <pic:blipFill>
                    <a:blip r:embed="rId14"/>
                    <a:stretch>
                      <a:fillRect/>
                    </a:stretch>
                  </pic:blipFill>
                  <pic:spPr>
                    <a:xfrm>
                      <a:off x="0" y="0"/>
                      <a:ext cx="5029200" cy="524700"/>
                    </a:xfrm>
                    <a:prstGeom prst="rect"/>
                  </pic:spPr>
                </pic:pic>
              </a:graphicData>
            </a:graphic>
          </wp:inline>
        </w:drawing>
      </w:r>
    </w:p>
    <w:p>
      <w:pPr>
        <w:keepLines w:val="0"/>
      </w:pPr>
      <w:r>
        <w:rPr>
          <w:rFonts w:ascii="Aptos" w:hAnsi="Aptos"/>
          <w:i w:val="0"/>
        </w:rPr>
        <w:t>The current phenotype is a filtered function of the present predimensional state and the residue available at the same transition.</w:t>
      </w:r>
    </w:p>
    <w:p>
      <w:pPr>
        <w:keepLines/>
        <w:spacing w:before="80" w:after="100"/>
        <w:jc w:val="center"/>
      </w:pPr>
      <w:r>
        <w:drawing>
          <wp:inline xmlns:a="http://schemas.openxmlformats.org/drawingml/2006/main" xmlns:pic="http://schemas.openxmlformats.org/drawingml/2006/picture">
            <wp:extent cx="3931920" cy="410220"/>
            <wp:docPr id="6" name="Picture 6"/>
            <wp:cNvGraphicFramePr>
              <a:graphicFrameLocks noChangeAspect="1"/>
            </wp:cNvGraphicFramePr>
            <a:graphic>
              <a:graphicData uri="http://schemas.openxmlformats.org/drawingml/2006/picture">
                <pic:pic>
                  <pic:nvPicPr>
                    <pic:cNvPr id="0" name="eq_03.png"/>
                    <pic:cNvPicPr/>
                  </pic:nvPicPr>
                  <pic:blipFill>
                    <a:blip r:embed="rId15"/>
                    <a:stretch>
                      <a:fillRect/>
                    </a:stretch>
                  </pic:blipFill>
                  <pic:spPr>
                    <a:xfrm>
                      <a:off x="0" y="0"/>
                      <a:ext cx="3931920" cy="410220"/>
                    </a:xfrm>
                    <a:prstGeom prst="rect"/>
                  </pic:spPr>
                </pic:pic>
              </a:graphicData>
            </a:graphic>
          </wp:inline>
        </w:drawing>
      </w:r>
    </w:p>
    <w:p>
      <w:pPr>
        <w:keepLines w:val="0"/>
      </w:pPr>
      <w:r>
        <w:rPr>
          <w:rFonts w:ascii="Aptos" w:hAnsi="Aptos"/>
          <w:i w:val="0"/>
        </w:rPr>
        <w:t>Physical time appears when the renderer orders distinguishable residues. Without an ordered residue relation, an instant and an unlimited duration have no experiential distinction. The first filter target is therefore three spatial relations, one residue ordering, and fifteen chiral channels.</w:t>
      </w:r>
    </w:p>
    <w:p>
      <w:pPr>
        <w:keepLines/>
        <w:spacing w:before="80" w:after="100"/>
        <w:jc w:val="center"/>
      </w:pPr>
      <w:r>
        <w:drawing>
          <wp:inline xmlns:a="http://schemas.openxmlformats.org/drawingml/2006/main" xmlns:pic="http://schemas.openxmlformats.org/drawingml/2006/picture">
            <wp:extent cx="5394960" cy="562860"/>
            <wp:docPr id="7" name="Picture 7"/>
            <wp:cNvGraphicFramePr>
              <a:graphicFrameLocks noChangeAspect="1"/>
            </wp:cNvGraphicFramePr>
            <a:graphic>
              <a:graphicData uri="http://schemas.openxmlformats.org/drawingml/2006/picture">
                <pic:pic>
                  <pic:nvPicPr>
                    <pic:cNvPr id="0" name="eq_04.png"/>
                    <pic:cNvPicPr/>
                  </pic:nvPicPr>
                  <pic:blipFill>
                    <a:blip r:embed="rId16"/>
                    <a:stretch>
                      <a:fillRect/>
                    </a:stretch>
                  </pic:blipFill>
                  <pic:spPr>
                    <a:xfrm>
                      <a:off x="0" y="0"/>
                      <a:ext cx="5394960" cy="562860"/>
                    </a:xfrm>
                    <a:prstGeom prst="rect"/>
                  </pic:spPr>
                </pic:pic>
              </a:graphicData>
            </a:graphic>
          </wp:inline>
        </w:drawing>
      </w:r>
    </w:p>
    <w:p>
      <w:pPr>
        <w:pStyle w:val="Heading1"/>
      </w:pPr>
      <w:r>
        <w:t>Layer architecture</w:t>
      </w:r>
    </w:p>
    <w:p>
      <w:pPr>
        <w:keepLines/>
        <w:jc w:val="center"/>
      </w:pPr>
      <w:r>
        <w:drawing>
          <wp:inline xmlns:a="http://schemas.openxmlformats.org/drawingml/2006/main" xmlns:pic="http://schemas.openxmlformats.org/drawingml/2006/picture">
            <wp:extent cx="6035040" cy="3395221"/>
            <wp:docPr id="8" name="Picture 8"/>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6035040" cy="3395221"/>
                    </a:xfrm>
                    <a:prstGeom prst="rect"/>
                  </pic:spPr>
                </pic:pic>
              </a:graphicData>
            </a:graphic>
          </wp:inline>
        </w:drawing>
      </w:r>
    </w:p>
    <w:p>
      <w:pPr>
        <w:pStyle w:val="CaptionSmall"/>
        <w:jc w:val="center"/>
      </w:pPr>
      <w:r>
        <w:t>Figure 1  WRRA-M keeps the predimensional state separate from the phenotype and assigns gravity to the universal interface</w:t>
      </w:r>
    </w:p>
    <w:p>
      <w:pPr>
        <w:pStyle w:val="Heading1"/>
      </w:pPr>
      <w:r>
        <w:t>Gravity as the universal upstream port</w:t>
      </w:r>
    </w:p>
    <w:p>
      <w:pPr>
        <w:keepLines w:val="0"/>
      </w:pPr>
      <w:r>
        <w:rPr>
          <w:rFonts w:ascii="Aptos" w:hAnsi="Aptos"/>
          <w:i w:val="0"/>
        </w:rPr>
        <w:t>WRRA-M does not add gravity as a twelfth coordinate. Gravity is the phenotype inheritance of the total upstream kinetic and stress structure. Electromagnetic, weak, and strong interactions require labels such as charge, chirality, and color that already exist in the phenotype channel space. Gravity reads the total load before those labels are selected.</w:t>
      </w:r>
    </w:p>
    <w:p>
      <w:pPr>
        <w:keepLines w:val="0"/>
      </w:pPr>
      <w:r>
        <w:rPr>
          <w:rFonts w:ascii="Aptos" w:hAnsi="Aptos"/>
          <w:i w:val="0"/>
        </w:rPr>
        <w:t>A candidate metric ansatz separates a positive spatial relation h from a residue ordering direction u. The Jacobian J connects local phenotype coordinates to the predimensional degrees after a local chart has been rendered. K is the upstream kinetic metric.</w:t>
      </w:r>
    </w:p>
    <w:p>
      <w:pPr>
        <w:keepLines/>
        <w:spacing w:before="80" w:after="100"/>
        <w:jc w:val="center"/>
      </w:pPr>
      <w:r>
        <w:drawing>
          <wp:inline xmlns:a="http://schemas.openxmlformats.org/drawingml/2006/main" xmlns:pic="http://schemas.openxmlformats.org/drawingml/2006/picture">
            <wp:extent cx="4937760" cy="515160"/>
            <wp:docPr id="9" name="Picture 9"/>
            <wp:cNvGraphicFramePr>
              <a:graphicFrameLocks noChangeAspect="1"/>
            </wp:cNvGraphicFramePr>
            <a:graphic>
              <a:graphicData uri="http://schemas.openxmlformats.org/drawingml/2006/picture">
                <pic:pic>
                  <pic:nvPicPr>
                    <pic:cNvPr id="0" name="eq_05.png"/>
                    <pic:cNvPicPr/>
                  </pic:nvPicPr>
                  <pic:blipFill>
                    <a:blip r:embed="rId18"/>
                    <a:stretch>
                      <a:fillRect/>
                    </a:stretch>
                  </pic:blipFill>
                  <pic:spPr>
                    <a:xfrm>
                      <a:off x="0" y="0"/>
                      <a:ext cx="4937760" cy="515160"/>
                    </a:xfrm>
                    <a:prstGeom prst="rect"/>
                  </pic:spPr>
                </pic:pic>
              </a:graphicData>
            </a:graphic>
          </wp:inline>
        </w:drawing>
      </w:r>
    </w:p>
    <w:p>
      <w:pPr>
        <w:keepLines w:val="0"/>
      </w:pPr>
      <w:r>
        <w:rPr>
          <w:rFonts w:ascii="Aptos" w:hAnsi="Aptos"/>
          <w:i w:val="0"/>
        </w:rPr>
        <w:t>This ansatz is a construction target, not a completed derivation. It must produce one timelike and three spacelike directions, remain stable under allowed transitions, and recover the tested weak field and relativistic limits.</w:t>
      </w:r>
    </w:p>
    <w:p>
      <w:pPr>
        <w:pStyle w:val="Heading1"/>
      </w:pPr>
      <w:r>
        <w:t>Dark matter as twist stress</w:t>
      </w:r>
    </w:p>
    <w:p>
      <w:pPr>
        <w:keepLines w:val="0"/>
      </w:pPr>
      <w:r>
        <w:rPr>
          <w:rFonts w:ascii="Aptos" w:hAnsi="Aptos"/>
          <w:i w:val="0"/>
        </w:rPr>
        <w:t>The same interface allows an upstream state to have zero matter phenotype and a nonzero gravitational output. WRRA-M names the effective source twist stress. The familiar four dimensional field equation can be used as an interface equation while the microscopic origin of the second term is calculated from P7 and the filter.</w:t>
      </w:r>
    </w:p>
    <w:p>
      <w:pPr>
        <w:keepLines/>
        <w:spacing w:before="80" w:after="100"/>
        <w:jc w:val="center"/>
      </w:pPr>
      <w:r>
        <w:drawing>
          <wp:inline xmlns:a="http://schemas.openxmlformats.org/drawingml/2006/main" xmlns:pic="http://schemas.openxmlformats.org/drawingml/2006/picture">
            <wp:extent cx="5029200" cy="524700"/>
            <wp:docPr id="10" name="Picture 10"/>
            <wp:cNvGraphicFramePr>
              <a:graphicFrameLocks noChangeAspect="1"/>
            </wp:cNvGraphicFramePr>
            <a:graphic>
              <a:graphicData uri="http://schemas.openxmlformats.org/drawingml/2006/picture">
                <pic:pic>
                  <pic:nvPicPr>
                    <pic:cNvPr id="0" name="eq_06.png"/>
                    <pic:cNvPicPr/>
                  </pic:nvPicPr>
                  <pic:blipFill>
                    <a:blip r:embed="rId19"/>
                    <a:stretch>
                      <a:fillRect/>
                    </a:stretch>
                  </pic:blipFill>
                  <pic:spPr>
                    <a:xfrm>
                      <a:off x="0" y="0"/>
                      <a:ext cx="5029200" cy="524700"/>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4389120" cy="457920"/>
            <wp:docPr id="11" name="Picture 11"/>
            <wp:cNvGraphicFramePr>
              <a:graphicFrameLocks noChangeAspect="1"/>
            </wp:cNvGraphicFramePr>
            <a:graphic>
              <a:graphicData uri="http://schemas.openxmlformats.org/drawingml/2006/picture">
                <pic:pic>
                  <pic:nvPicPr>
                    <pic:cNvPr id="0" name="eq_07.png"/>
                    <pic:cNvPicPr/>
                  </pic:nvPicPr>
                  <pic:blipFill>
                    <a:blip r:embed="rId20"/>
                    <a:stretch>
                      <a:fillRect/>
                    </a:stretch>
                  </pic:blipFill>
                  <pic:spPr>
                    <a:xfrm>
                      <a:off x="0" y="0"/>
                      <a:ext cx="4389120" cy="457920"/>
                    </a:xfrm>
                    <a:prstGeom prst="rect"/>
                  </pic:spPr>
                </pic:pic>
              </a:graphicData>
            </a:graphic>
          </wp:inline>
        </w:drawing>
      </w:r>
    </w:p>
    <w:p>
      <w:pPr>
        <w:keepLines w:val="0"/>
      </w:pPr>
      <w:r>
        <w:rPr>
          <w:rFonts w:ascii="Aptos" w:hAnsi="Aptos"/>
          <w:i w:val="0"/>
        </w:rPr>
        <w:t>The claim is stronger than saying that unknown matter gravitates. It says that the extra gravitational source is the failure of the phenotype to display the complete upstream geometry. The model must use one transferable stress law across galaxy rotation, lensing, cluster dynamics, and cosmological structure. Object by object tuning would not establish the claim.</w:t>
      </w:r>
    </w:p>
    <w:p>
      <w:r>
        <w:br w:type="page"/>
      </w:r>
    </w:p>
    <w:p>
      <w:pPr>
        <w:pStyle w:val="Heading1"/>
      </w:pPr>
      <w:r>
        <w:t>First structural calculation from seven to fifteen</w:t>
      </w:r>
    </w:p>
    <w:p>
      <w:pPr>
        <w:keepLines w:val="0"/>
      </w:pPr>
      <w:r>
        <w:rPr>
          <w:rFonts w:ascii="Aptos" w:hAnsi="Aptos"/>
          <w:i w:val="0"/>
        </w:rPr>
        <w:t>The central calculation begins with a G2 structured seven degree sector. The fundamental seven dimensional representation branches under the SU(3) subgroup into a color triplet, an antitriplet, and a singlet [5]. WRRA-M introduces two oriented copies of the seven sector plus one invariant channel. The two copies are provisionally interpreted as a state sector and a residue dual sector. Their physical distinction must later be derived from the transition law.</w:t>
      </w:r>
    </w:p>
    <w:p>
      <w:pPr>
        <w:keepLines/>
        <w:spacing w:before="80" w:after="100"/>
        <w:jc w:val="center"/>
      </w:pPr>
      <w:r>
        <w:drawing>
          <wp:inline xmlns:a="http://schemas.openxmlformats.org/drawingml/2006/main" xmlns:pic="http://schemas.openxmlformats.org/drawingml/2006/picture">
            <wp:extent cx="2926080" cy="305280"/>
            <wp:docPr id="12" name="Picture 12"/>
            <wp:cNvGraphicFramePr>
              <a:graphicFrameLocks noChangeAspect="1"/>
            </wp:cNvGraphicFramePr>
            <a:graphic>
              <a:graphicData uri="http://schemas.openxmlformats.org/drawingml/2006/picture">
                <pic:pic>
                  <pic:nvPicPr>
                    <pic:cNvPr id="0" name="eq_08.png"/>
                    <pic:cNvPicPr/>
                  </pic:nvPicPr>
                  <pic:blipFill>
                    <a:blip r:embed="rId10"/>
                    <a:stretch>
                      <a:fillRect/>
                    </a:stretch>
                  </pic:blipFill>
                  <pic:spPr>
                    <a:xfrm>
                      <a:off x="0" y="0"/>
                      <a:ext cx="2926080" cy="305280"/>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3383280" cy="352980"/>
            <wp:docPr id="13" name="Picture 13"/>
            <wp:cNvGraphicFramePr>
              <a:graphicFrameLocks noChangeAspect="1"/>
            </wp:cNvGraphicFramePr>
            <a:graphic>
              <a:graphicData uri="http://schemas.openxmlformats.org/drawingml/2006/picture">
                <pic:pic>
                  <pic:nvPicPr>
                    <pic:cNvPr id="0" name="eq_09.png"/>
                    <pic:cNvPicPr/>
                  </pic:nvPicPr>
                  <pic:blipFill>
                    <a:blip r:embed="rId11"/>
                    <a:stretch>
                      <a:fillRect/>
                    </a:stretch>
                  </pic:blipFill>
                  <pic:spPr>
                    <a:xfrm>
                      <a:off x="0" y="0"/>
                      <a:ext cx="3383280" cy="352980"/>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4754880" cy="496080"/>
            <wp:docPr id="14" name="Picture 14"/>
            <wp:cNvGraphicFramePr>
              <a:graphicFrameLocks noChangeAspect="1"/>
            </wp:cNvGraphicFramePr>
            <a:graphic>
              <a:graphicData uri="http://schemas.openxmlformats.org/drawingml/2006/picture">
                <pic:pic>
                  <pic:nvPicPr>
                    <pic:cNvPr id="0" name="eq_10.png"/>
                    <pic:cNvPicPr/>
                  </pic:nvPicPr>
                  <pic:blipFill>
                    <a:blip r:embed="rId12"/>
                    <a:stretch>
                      <a:fillRect/>
                    </a:stretch>
                  </pic:blipFill>
                  <pic:spPr>
                    <a:xfrm>
                      <a:off x="0" y="0"/>
                      <a:ext cx="4754880" cy="496080"/>
                    </a:xfrm>
                    <a:prstGeom prst="rect"/>
                  </pic:spPr>
                </pic:pic>
              </a:graphicData>
            </a:graphic>
          </wp:inline>
        </w:drawing>
      </w:r>
    </w:p>
    <w:p>
      <w:pPr>
        <w:keepLines w:val="0"/>
      </w:pPr>
      <w:r>
        <w:rPr>
          <w:rFonts w:ascii="Aptos" w:hAnsi="Aptos"/>
          <w:i w:val="0"/>
        </w:rPr>
        <w:t>The Standard Model color content of one generation has the same decomposition. The left handed quark doublet supplies two color triplets. The left handed conjugates of the up and down singlets supply two antitriplets. The lepton doublet and the charged lepton singlet supply three color singlets.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512"/>
            <w:shd w:fill="18324A"/>
            <w:tcMar>
              <w:top w:w="120" w:type="dxa"/>
              <w:start w:w="140" w:type="dxa"/>
              <w:bottom w:w="120" w:type="dxa"/>
              <w:end w:w="140" w:type="dxa"/>
            </w:tcMar>
            <w:vAlign w:val="center"/>
          </w:tcPr>
          <w:p>
            <w:pPr>
              <w:spacing w:after="0"/>
              <w:jc w:val="center"/>
            </w:pPr>
            <w:r>
              <w:rPr>
                <w:rFonts w:ascii="Aptos" w:hAnsi="Aptos"/>
                <w:b/>
                <w:color w:val="FFFFFF"/>
                <w:sz w:val="17"/>
              </w:rPr>
              <w:t>Standard Model field</w:t>
            </w:r>
          </w:p>
        </w:tc>
        <w:tc>
          <w:tcPr>
            <w:tcW w:type="dxa" w:w="2376"/>
            <w:shd w:fill="18324A"/>
            <w:tcMar>
              <w:top w:w="120" w:type="dxa"/>
              <w:start w:w="140" w:type="dxa"/>
              <w:bottom w:w="120" w:type="dxa"/>
              <w:end w:w="140" w:type="dxa"/>
            </w:tcMar>
            <w:vAlign w:val="center"/>
          </w:tcPr>
          <w:p>
            <w:pPr>
              <w:spacing w:after="0"/>
              <w:jc w:val="center"/>
            </w:pPr>
            <w:r>
              <w:rPr>
                <w:rFonts w:ascii="Aptos" w:hAnsi="Aptos"/>
                <w:b/>
                <w:color w:val="FFFFFF"/>
                <w:sz w:val="17"/>
              </w:rPr>
              <w:t>Gauge representation</w:t>
            </w:r>
          </w:p>
        </w:tc>
        <w:tc>
          <w:tcPr>
            <w:tcW w:type="dxa" w:w="1080"/>
            <w:shd w:fill="18324A"/>
            <w:tcMar>
              <w:top w:w="120" w:type="dxa"/>
              <w:start w:w="140" w:type="dxa"/>
              <w:bottom w:w="120" w:type="dxa"/>
              <w:end w:w="140" w:type="dxa"/>
            </w:tcMar>
            <w:vAlign w:val="center"/>
          </w:tcPr>
          <w:p>
            <w:pPr>
              <w:spacing w:after="0"/>
              <w:jc w:val="center"/>
            </w:pPr>
            <w:r>
              <w:rPr>
                <w:rFonts w:ascii="Aptos" w:hAnsi="Aptos"/>
                <w:b/>
                <w:color w:val="FFFFFF"/>
                <w:sz w:val="17"/>
              </w:rPr>
              <w:t>Weyl count</w:t>
            </w:r>
          </w:p>
        </w:tc>
        <w:tc>
          <w:tcPr>
            <w:tcW w:type="dxa" w:w="4608"/>
            <w:shd w:fill="18324A"/>
            <w:tcMar>
              <w:top w:w="120" w:type="dxa"/>
              <w:start w:w="140" w:type="dxa"/>
              <w:bottom w:w="120" w:type="dxa"/>
              <w:end w:w="140" w:type="dxa"/>
            </w:tcMar>
            <w:vAlign w:val="center"/>
          </w:tcPr>
          <w:p>
            <w:pPr>
              <w:spacing w:after="0"/>
              <w:jc w:val="center"/>
            </w:pPr>
            <w:r>
              <w:rPr>
                <w:rFonts w:ascii="Aptos" w:hAnsi="Aptos"/>
                <w:b/>
                <w:color w:val="FFFFFF"/>
                <w:sz w:val="17"/>
              </w:rPr>
              <w:t>Candidate WRRA-M placement</w:t>
            </w:r>
          </w:p>
        </w:tc>
      </w:tr>
      <w:tr>
        <w:trPr>
          <w:cantSplit/>
        </w:trPr>
        <w:tc>
          <w:tcPr>
            <w:tcW w:type="dxa" w:w="1512"/>
            <w:tcMar>
              <w:top w:w="120" w:type="dxa"/>
              <w:start w:w="140" w:type="dxa"/>
              <w:bottom w:w="120" w:type="dxa"/>
              <w:end w:w="140" w:type="dxa"/>
            </w:tcMar>
            <w:vAlign w:val="center"/>
          </w:tcPr>
          <w:p>
            <w:pPr>
              <w:spacing w:after="0"/>
              <w:jc w:val="center"/>
            </w:pPr>
            <w:r>
              <w:rPr>
                <w:rFonts w:ascii="Aptos" w:hAnsi="Aptos"/>
                <w:sz w:val="17"/>
              </w:rPr>
              <w:t>Q_L</w:t>
            </w:r>
          </w:p>
        </w:tc>
        <w:tc>
          <w:tcPr>
            <w:tcW w:type="dxa" w:w="2376"/>
            <w:tcMar>
              <w:top w:w="120" w:type="dxa"/>
              <w:start w:w="140" w:type="dxa"/>
              <w:bottom w:w="120" w:type="dxa"/>
              <w:end w:w="140" w:type="dxa"/>
            </w:tcMar>
            <w:vAlign w:val="center"/>
          </w:tcPr>
          <w:p>
            <w:pPr>
              <w:spacing w:after="0"/>
              <w:jc w:val="left"/>
            </w:pPr>
            <w:r>
              <w:rPr>
                <w:rFonts w:ascii="Aptos" w:hAnsi="Aptos"/>
                <w:sz w:val="17"/>
              </w:rPr>
              <w:t>(3, 2), Y = 1/6</w:t>
            </w:r>
          </w:p>
        </w:tc>
        <w:tc>
          <w:tcPr>
            <w:tcW w:type="dxa" w:w="1080"/>
            <w:tcMar>
              <w:top w:w="120" w:type="dxa"/>
              <w:start w:w="140" w:type="dxa"/>
              <w:bottom w:w="120" w:type="dxa"/>
              <w:end w:w="140" w:type="dxa"/>
            </w:tcMar>
            <w:vAlign w:val="center"/>
          </w:tcPr>
          <w:p>
            <w:pPr>
              <w:spacing w:after="0"/>
              <w:jc w:val="center"/>
            </w:pPr>
            <w:r>
              <w:rPr>
                <w:rFonts w:ascii="Aptos" w:hAnsi="Aptos"/>
                <w:sz w:val="17"/>
              </w:rPr>
              <w:t>6</w:t>
            </w:r>
          </w:p>
        </w:tc>
        <w:tc>
          <w:tcPr>
            <w:tcW w:type="dxa" w:w="4608"/>
            <w:tcMar>
              <w:top w:w="120" w:type="dxa"/>
              <w:start w:w="140" w:type="dxa"/>
              <w:bottom w:w="120" w:type="dxa"/>
              <w:end w:w="140" w:type="dxa"/>
            </w:tcMar>
            <w:vAlign w:val="center"/>
          </w:tcPr>
          <w:p>
            <w:pPr>
              <w:spacing w:after="0"/>
              <w:jc w:val="left"/>
            </w:pPr>
            <w:r>
              <w:rPr>
                <w:rFonts w:ascii="Aptos" w:hAnsi="Aptos"/>
                <w:sz w:val="17"/>
              </w:rPr>
              <w:t>Two triplets from 7 A and 7 B paired by the chiral filter</w:t>
            </w:r>
          </w:p>
        </w:tc>
      </w:tr>
      <w:tr>
        <w:trPr>
          <w:cantSplit/>
        </w:trPr>
        <w:tc>
          <w:tcPr>
            <w:tcW w:type="dxa" w:w="1512"/>
            <w:shd w:fill="EAF2F8"/>
            <w:tcMar>
              <w:top w:w="120" w:type="dxa"/>
              <w:start w:w="140" w:type="dxa"/>
              <w:bottom w:w="120" w:type="dxa"/>
              <w:end w:w="140" w:type="dxa"/>
            </w:tcMar>
            <w:vAlign w:val="center"/>
          </w:tcPr>
          <w:p>
            <w:pPr>
              <w:spacing w:after="0"/>
              <w:jc w:val="center"/>
            </w:pPr>
            <w:r>
              <w:rPr>
                <w:rFonts w:ascii="Aptos" w:hAnsi="Aptos"/>
                <w:sz w:val="17"/>
              </w:rPr>
              <w:t>uᶜ</w:t>
            </w:r>
          </w:p>
        </w:tc>
        <w:tc>
          <w:tcPr>
            <w:tcW w:type="dxa" w:w="2376"/>
            <w:shd w:fill="EAF2F8"/>
            <w:tcMar>
              <w:top w:w="120" w:type="dxa"/>
              <w:start w:w="140" w:type="dxa"/>
              <w:bottom w:w="120" w:type="dxa"/>
              <w:end w:w="140" w:type="dxa"/>
            </w:tcMar>
            <w:vAlign w:val="center"/>
          </w:tcPr>
          <w:p>
            <w:pPr>
              <w:spacing w:after="0"/>
              <w:jc w:val="left"/>
            </w:pPr>
            <w:r>
              <w:rPr>
                <w:rFonts w:ascii="Aptos" w:hAnsi="Aptos"/>
                <w:sz w:val="17"/>
              </w:rPr>
              <w:t>(anti-3, 1), Y = −2/3</w:t>
            </w:r>
          </w:p>
        </w:tc>
        <w:tc>
          <w:tcPr>
            <w:tcW w:type="dxa" w:w="1080"/>
            <w:shd w:fill="EAF2F8"/>
            <w:tcMar>
              <w:top w:w="120" w:type="dxa"/>
              <w:start w:w="140" w:type="dxa"/>
              <w:bottom w:w="120" w:type="dxa"/>
              <w:end w:w="140" w:type="dxa"/>
            </w:tcMar>
            <w:vAlign w:val="center"/>
          </w:tcPr>
          <w:p>
            <w:pPr>
              <w:spacing w:after="0"/>
              <w:jc w:val="center"/>
            </w:pPr>
            <w:r>
              <w:rPr>
                <w:rFonts w:ascii="Aptos" w:hAnsi="Aptos"/>
                <w:sz w:val="17"/>
              </w:rPr>
              <w:t>3</w:t>
            </w:r>
          </w:p>
        </w:tc>
        <w:tc>
          <w:tcPr>
            <w:tcW w:type="dxa" w:w="4608"/>
            <w:shd w:fill="EAF2F8"/>
            <w:tcMar>
              <w:top w:w="120" w:type="dxa"/>
              <w:start w:w="140" w:type="dxa"/>
              <w:bottom w:w="120" w:type="dxa"/>
              <w:end w:w="140" w:type="dxa"/>
            </w:tcMar>
            <w:vAlign w:val="center"/>
          </w:tcPr>
          <w:p>
            <w:pPr>
              <w:spacing w:after="0"/>
              <w:jc w:val="left"/>
            </w:pPr>
            <w:r>
              <w:rPr>
                <w:rFonts w:ascii="Aptos" w:hAnsi="Aptos"/>
                <w:sz w:val="17"/>
              </w:rPr>
              <w:t>Antitriplet from one seven sector</w:t>
            </w:r>
          </w:p>
        </w:tc>
      </w:tr>
      <w:tr>
        <w:trPr>
          <w:cantSplit/>
        </w:trPr>
        <w:tc>
          <w:tcPr>
            <w:tcW w:type="dxa" w:w="1512"/>
            <w:tcMar>
              <w:top w:w="120" w:type="dxa"/>
              <w:start w:w="140" w:type="dxa"/>
              <w:bottom w:w="120" w:type="dxa"/>
              <w:end w:w="140" w:type="dxa"/>
            </w:tcMar>
            <w:vAlign w:val="center"/>
          </w:tcPr>
          <w:p>
            <w:pPr>
              <w:spacing w:after="0"/>
              <w:jc w:val="center"/>
            </w:pPr>
            <w:r>
              <w:rPr>
                <w:rFonts w:ascii="Aptos" w:hAnsi="Aptos"/>
                <w:sz w:val="17"/>
              </w:rPr>
              <w:t>dᶜ</w:t>
            </w:r>
          </w:p>
        </w:tc>
        <w:tc>
          <w:tcPr>
            <w:tcW w:type="dxa" w:w="2376"/>
            <w:tcMar>
              <w:top w:w="120" w:type="dxa"/>
              <w:start w:w="140" w:type="dxa"/>
              <w:bottom w:w="120" w:type="dxa"/>
              <w:end w:w="140" w:type="dxa"/>
            </w:tcMar>
            <w:vAlign w:val="center"/>
          </w:tcPr>
          <w:p>
            <w:pPr>
              <w:spacing w:after="0"/>
              <w:jc w:val="left"/>
            </w:pPr>
            <w:r>
              <w:rPr>
                <w:rFonts w:ascii="Aptos" w:hAnsi="Aptos"/>
                <w:sz w:val="17"/>
              </w:rPr>
              <w:t>(anti-3, 1), Y = 1/3</w:t>
            </w:r>
          </w:p>
        </w:tc>
        <w:tc>
          <w:tcPr>
            <w:tcW w:type="dxa" w:w="1080"/>
            <w:tcMar>
              <w:top w:w="120" w:type="dxa"/>
              <w:start w:w="140" w:type="dxa"/>
              <w:bottom w:w="120" w:type="dxa"/>
              <w:end w:w="140" w:type="dxa"/>
            </w:tcMar>
            <w:vAlign w:val="center"/>
          </w:tcPr>
          <w:p>
            <w:pPr>
              <w:spacing w:after="0"/>
              <w:jc w:val="center"/>
            </w:pPr>
            <w:r>
              <w:rPr>
                <w:rFonts w:ascii="Aptos" w:hAnsi="Aptos"/>
                <w:sz w:val="17"/>
              </w:rPr>
              <w:t>3</w:t>
            </w:r>
          </w:p>
        </w:tc>
        <w:tc>
          <w:tcPr>
            <w:tcW w:type="dxa" w:w="4608"/>
            <w:tcMar>
              <w:top w:w="120" w:type="dxa"/>
              <w:start w:w="140" w:type="dxa"/>
              <w:bottom w:w="120" w:type="dxa"/>
              <w:end w:w="140" w:type="dxa"/>
            </w:tcMar>
            <w:vAlign w:val="center"/>
          </w:tcPr>
          <w:p>
            <w:pPr>
              <w:spacing w:after="0"/>
              <w:jc w:val="left"/>
            </w:pPr>
            <w:r>
              <w:rPr>
                <w:rFonts w:ascii="Aptos" w:hAnsi="Aptos"/>
                <w:sz w:val="17"/>
              </w:rPr>
              <w:t>Antitriplet from the other seven sector</w:t>
            </w:r>
          </w:p>
        </w:tc>
      </w:tr>
      <w:tr>
        <w:trPr>
          <w:cantSplit/>
        </w:trPr>
        <w:tc>
          <w:tcPr>
            <w:tcW w:type="dxa" w:w="1512"/>
            <w:shd w:fill="EAF2F8"/>
            <w:tcMar>
              <w:top w:w="120" w:type="dxa"/>
              <w:start w:w="140" w:type="dxa"/>
              <w:bottom w:w="120" w:type="dxa"/>
              <w:end w:w="140" w:type="dxa"/>
            </w:tcMar>
            <w:vAlign w:val="center"/>
          </w:tcPr>
          <w:p>
            <w:pPr>
              <w:spacing w:after="0"/>
              <w:jc w:val="center"/>
            </w:pPr>
            <w:r>
              <w:rPr>
                <w:rFonts w:ascii="Aptos" w:hAnsi="Aptos"/>
                <w:sz w:val="17"/>
              </w:rPr>
              <w:t>L_L</w:t>
            </w:r>
          </w:p>
        </w:tc>
        <w:tc>
          <w:tcPr>
            <w:tcW w:type="dxa" w:w="2376"/>
            <w:shd w:fill="EAF2F8"/>
            <w:tcMar>
              <w:top w:w="120" w:type="dxa"/>
              <w:start w:w="140" w:type="dxa"/>
              <w:bottom w:w="120" w:type="dxa"/>
              <w:end w:w="140" w:type="dxa"/>
            </w:tcMar>
            <w:vAlign w:val="center"/>
          </w:tcPr>
          <w:p>
            <w:pPr>
              <w:spacing w:after="0"/>
              <w:jc w:val="left"/>
            </w:pPr>
            <w:r>
              <w:rPr>
                <w:rFonts w:ascii="Aptos" w:hAnsi="Aptos"/>
                <w:sz w:val="17"/>
              </w:rPr>
              <w:t>(1, 2), Y = −1/2</w:t>
            </w:r>
          </w:p>
        </w:tc>
        <w:tc>
          <w:tcPr>
            <w:tcW w:type="dxa" w:w="1080"/>
            <w:shd w:fill="EAF2F8"/>
            <w:tcMar>
              <w:top w:w="120" w:type="dxa"/>
              <w:start w:w="140" w:type="dxa"/>
              <w:bottom w:w="120" w:type="dxa"/>
              <w:end w:w="140" w:type="dxa"/>
            </w:tcMar>
            <w:vAlign w:val="center"/>
          </w:tcPr>
          <w:p>
            <w:pPr>
              <w:spacing w:after="0"/>
              <w:jc w:val="center"/>
            </w:pPr>
            <w:r>
              <w:rPr>
                <w:rFonts w:ascii="Aptos" w:hAnsi="Aptos"/>
                <w:sz w:val="17"/>
              </w:rPr>
              <w:t>2</w:t>
            </w:r>
          </w:p>
        </w:tc>
        <w:tc>
          <w:tcPr>
            <w:tcW w:type="dxa" w:w="4608"/>
            <w:shd w:fill="EAF2F8"/>
            <w:tcMar>
              <w:top w:w="120" w:type="dxa"/>
              <w:start w:w="140" w:type="dxa"/>
              <w:bottom w:w="120" w:type="dxa"/>
              <w:end w:w="140" w:type="dxa"/>
            </w:tcMar>
            <w:vAlign w:val="center"/>
          </w:tcPr>
          <w:p>
            <w:pPr>
              <w:spacing w:after="0"/>
              <w:jc w:val="left"/>
            </w:pPr>
            <w:r>
              <w:rPr>
                <w:rFonts w:ascii="Aptos" w:hAnsi="Aptos"/>
                <w:sz w:val="17"/>
              </w:rPr>
              <w:t>Two singlets from 7 A and 7 B paired by the chiral filter</w:t>
            </w:r>
          </w:p>
        </w:tc>
      </w:tr>
      <w:tr>
        <w:trPr>
          <w:cantSplit/>
        </w:trPr>
        <w:tc>
          <w:tcPr>
            <w:tcW w:type="dxa" w:w="1512"/>
            <w:tcMar>
              <w:top w:w="120" w:type="dxa"/>
              <w:start w:w="140" w:type="dxa"/>
              <w:bottom w:w="120" w:type="dxa"/>
              <w:end w:w="140" w:type="dxa"/>
            </w:tcMar>
            <w:vAlign w:val="center"/>
          </w:tcPr>
          <w:p>
            <w:pPr>
              <w:spacing w:after="0"/>
              <w:jc w:val="center"/>
            </w:pPr>
            <w:r>
              <w:rPr>
                <w:rFonts w:ascii="Aptos" w:hAnsi="Aptos"/>
                <w:sz w:val="17"/>
              </w:rPr>
              <w:t>eᶜ</w:t>
            </w:r>
          </w:p>
        </w:tc>
        <w:tc>
          <w:tcPr>
            <w:tcW w:type="dxa" w:w="2376"/>
            <w:tcMar>
              <w:top w:w="120" w:type="dxa"/>
              <w:start w:w="140" w:type="dxa"/>
              <w:bottom w:w="120" w:type="dxa"/>
              <w:end w:w="140" w:type="dxa"/>
            </w:tcMar>
            <w:vAlign w:val="center"/>
          </w:tcPr>
          <w:p>
            <w:pPr>
              <w:spacing w:after="0"/>
              <w:jc w:val="left"/>
            </w:pPr>
            <w:r>
              <w:rPr>
                <w:rFonts w:ascii="Aptos" w:hAnsi="Aptos"/>
                <w:sz w:val="17"/>
              </w:rPr>
              <w:t>(1, 1), Y = 1</w:t>
            </w:r>
          </w:p>
        </w:tc>
        <w:tc>
          <w:tcPr>
            <w:tcW w:type="dxa" w:w="1080"/>
            <w:tcMar>
              <w:top w:w="120" w:type="dxa"/>
              <w:start w:w="140" w:type="dxa"/>
              <w:bottom w:w="120" w:type="dxa"/>
              <w:end w:w="140" w:type="dxa"/>
            </w:tcMar>
            <w:vAlign w:val="center"/>
          </w:tcPr>
          <w:p>
            <w:pPr>
              <w:spacing w:after="0"/>
              <w:jc w:val="center"/>
            </w:pPr>
            <w:r>
              <w:rPr>
                <w:rFonts w:ascii="Aptos" w:hAnsi="Aptos"/>
                <w:sz w:val="17"/>
              </w:rPr>
              <w:t>1</w:t>
            </w:r>
          </w:p>
        </w:tc>
        <w:tc>
          <w:tcPr>
            <w:tcW w:type="dxa" w:w="4608"/>
            <w:tcMar>
              <w:top w:w="120" w:type="dxa"/>
              <w:start w:w="140" w:type="dxa"/>
              <w:bottom w:w="120" w:type="dxa"/>
              <w:end w:w="140" w:type="dxa"/>
            </w:tcMar>
            <w:vAlign w:val="center"/>
          </w:tcPr>
          <w:p>
            <w:pPr>
              <w:spacing w:after="0"/>
              <w:jc w:val="left"/>
            </w:pPr>
            <w:r>
              <w:rPr>
                <w:rFonts w:ascii="Aptos" w:hAnsi="Aptos"/>
                <w:sz w:val="17"/>
              </w:rPr>
              <w:t>Invariant channel</w:t>
            </w:r>
          </w:p>
        </w:tc>
      </w:tr>
    </w:tbl>
    <w:p>
      <w:pPr>
        <w:spacing w:after="20"/>
      </w:pPr>
    </w:p>
    <w:p>
      <w:pPr>
        <w:keepLines w:val="0"/>
      </w:pPr>
      <w:r>
        <w:rPr>
          <w:rFonts w:ascii="Aptos" w:hAnsi="Aptos"/>
          <w:i w:val="0"/>
        </w:rPr>
        <w:t>Calculated result  The color representation multiplicities match exactly. Open result  The present calculation does not yet derive why the triplets and two singlets pair as weak doublets while the two antitriplets remain weak singlets. It also does not derive hypercharge. Those are the next filter equations.</w:t>
      </w:r>
    </w:p>
    <w:p>
      <w:pPr>
        <w:pStyle w:val="Heading1"/>
      </w:pPr>
      <w:r>
        <w:t>Null state extension</w:t>
      </w:r>
    </w:p>
    <w:p>
      <w:pPr>
        <w:keepLines w:val="0"/>
      </w:pPr>
      <w:r>
        <w:rPr>
          <w:rFonts w:ascii="Aptos" w:hAnsi="Aptos"/>
          <w:i w:val="0"/>
        </w:rPr>
        <w:t>WRRA already contains the WJNS null state. Adding one sterile null channel to the fifteen visible chiral channels gives sixteen. This mirrors the difference between the minimal Standard Model generation and a sixteen channel generation containing a sterile right handed neutrino. The match is a candidate structural interpretation and is not yet a particle identification.</w:t>
      </w:r>
    </w:p>
    <w:p>
      <w:pPr>
        <w:keepLines/>
        <w:spacing w:before="80" w:after="100"/>
        <w:jc w:val="center"/>
      </w:pPr>
      <w:r>
        <w:drawing>
          <wp:inline xmlns:a="http://schemas.openxmlformats.org/drawingml/2006/main" xmlns:pic="http://schemas.openxmlformats.org/drawingml/2006/picture">
            <wp:extent cx="3657600" cy="381600"/>
            <wp:docPr id="15" name="Picture 15"/>
            <wp:cNvGraphicFramePr>
              <a:graphicFrameLocks noChangeAspect="1"/>
            </wp:cNvGraphicFramePr>
            <a:graphic>
              <a:graphicData uri="http://schemas.openxmlformats.org/drawingml/2006/picture">
                <pic:pic>
                  <pic:nvPicPr>
                    <pic:cNvPr id="0" name="eq_11.png"/>
                    <pic:cNvPicPr/>
                  </pic:nvPicPr>
                  <pic:blipFill>
                    <a:blip r:embed="rId21"/>
                    <a:stretch>
                      <a:fillRect/>
                    </a:stretch>
                  </pic:blipFill>
                  <pic:spPr>
                    <a:xfrm>
                      <a:off x="0" y="0"/>
                      <a:ext cx="3657600" cy="381600"/>
                    </a:xfrm>
                    <a:prstGeom prst="rect"/>
                  </pic:spPr>
                </pic:pic>
              </a:graphicData>
            </a:graphic>
          </wp:inline>
        </w:drawing>
      </w:r>
    </w:p>
    <w:p>
      <w:pPr>
        <w:pStyle w:val="Heading1"/>
      </w:pPr>
      <w:r>
        <w:t>Calibrated anomaly benchmark</w:t>
      </w:r>
    </w:p>
    <w:p>
      <w:pPr>
        <w:keepLines w:val="0"/>
      </w:pPr>
      <w:r>
        <w:rPr>
          <w:rFonts w:ascii="Aptos" w:hAnsi="Aptos"/>
          <w:i w:val="0"/>
        </w:rPr>
        <w:t>The known Standard Model hypercharges may be used as calibration values under the fixed WRRA evaluation rule. When the five field groups are assigned their observed hypercharges, all local gauge and mixed gravitational anomalies cancel. The cancellation is reproduced below as a benchmark that the eventual WRRA-M charge operator must match.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88"/>
            <w:shd w:fill="18324A"/>
            <w:tcMar>
              <w:top w:w="120" w:type="dxa"/>
              <w:start w:w="140" w:type="dxa"/>
              <w:bottom w:w="120" w:type="dxa"/>
              <w:end w:w="140" w:type="dxa"/>
            </w:tcMar>
            <w:vAlign w:val="center"/>
          </w:tcPr>
          <w:p>
            <w:pPr>
              <w:spacing w:after="0"/>
              <w:jc w:val="center"/>
            </w:pPr>
            <w:r>
              <w:rPr>
                <w:rFonts w:ascii="Aptos" w:hAnsi="Aptos"/>
                <w:b/>
                <w:color w:val="FFFFFF"/>
                <w:sz w:val="16"/>
              </w:rPr>
              <w:t>Consistency condition</w:t>
            </w:r>
          </w:p>
        </w:tc>
        <w:tc>
          <w:tcPr>
            <w:tcW w:type="dxa" w:w="6264"/>
            <w:shd w:fill="18324A"/>
            <w:tcMar>
              <w:top w:w="120" w:type="dxa"/>
              <w:start w:w="140" w:type="dxa"/>
              <w:bottom w:w="120" w:type="dxa"/>
              <w:end w:w="140" w:type="dxa"/>
            </w:tcMar>
            <w:vAlign w:val="center"/>
          </w:tcPr>
          <w:p>
            <w:pPr>
              <w:spacing w:after="0"/>
              <w:jc w:val="center"/>
            </w:pPr>
            <w:r>
              <w:rPr>
                <w:rFonts w:ascii="Aptos" w:hAnsi="Aptos"/>
                <w:b/>
                <w:color w:val="FFFFFF"/>
                <w:sz w:val="16"/>
              </w:rPr>
              <w:t>Calibrated calculation</w:t>
            </w:r>
          </w:p>
        </w:tc>
        <w:tc>
          <w:tcPr>
            <w:tcW w:type="dxa" w:w="1224"/>
            <w:shd w:fill="18324A"/>
            <w:tcMar>
              <w:top w:w="120" w:type="dxa"/>
              <w:start w:w="140" w:type="dxa"/>
              <w:bottom w:w="120" w:type="dxa"/>
              <w:end w:w="140" w:type="dxa"/>
            </w:tcMar>
            <w:vAlign w:val="center"/>
          </w:tcPr>
          <w:p>
            <w:pPr>
              <w:spacing w:after="0"/>
              <w:jc w:val="center"/>
            </w:pPr>
            <w:r>
              <w:rPr>
                <w:rFonts w:ascii="Aptos" w:hAnsi="Aptos"/>
                <w:b/>
                <w:color w:val="FFFFFF"/>
                <w:sz w:val="16"/>
              </w:rPr>
              <w:t>Result</w:t>
            </w:r>
          </w:p>
        </w:tc>
      </w:tr>
      <w:tr>
        <w:trPr>
          <w:cantSplit/>
        </w:trPr>
        <w:tc>
          <w:tcPr>
            <w:tcW w:type="dxa" w:w="2088"/>
            <w:tcMar>
              <w:top w:w="120" w:type="dxa"/>
              <w:start w:w="140" w:type="dxa"/>
              <w:bottom w:w="120" w:type="dxa"/>
              <w:end w:w="140" w:type="dxa"/>
            </w:tcMar>
            <w:vAlign w:val="center"/>
          </w:tcPr>
          <w:p>
            <w:pPr>
              <w:spacing w:after="0"/>
              <w:jc w:val="center"/>
            </w:pPr>
            <w:r>
              <w:rPr>
                <w:rFonts w:ascii="Aptos" w:hAnsi="Aptos"/>
                <w:sz w:val="16"/>
              </w:rPr>
              <w:t>SU(3)^3</w:t>
            </w:r>
          </w:p>
        </w:tc>
        <w:tc>
          <w:tcPr>
            <w:tcW w:type="dxa" w:w="6264"/>
            <w:tcMar>
              <w:top w:w="120" w:type="dxa"/>
              <w:start w:w="140" w:type="dxa"/>
              <w:bottom w:w="120" w:type="dxa"/>
              <w:end w:w="140" w:type="dxa"/>
            </w:tcMar>
            <w:vAlign w:val="center"/>
          </w:tcPr>
          <w:p>
            <w:pPr>
              <w:spacing w:after="0"/>
              <w:jc w:val="center"/>
            </w:pPr>
            <w:r>
              <w:rPr>
                <w:rFonts w:ascii="Aptos" w:hAnsi="Aptos"/>
                <w:sz w:val="16"/>
              </w:rPr>
              <w:t>2 − 1 − 1</w:t>
            </w:r>
          </w:p>
        </w:tc>
        <w:tc>
          <w:tcPr>
            <w:tcW w:type="dxa" w:w="1224"/>
            <w:tcMar>
              <w:top w:w="120" w:type="dxa"/>
              <w:start w:w="140" w:type="dxa"/>
              <w:bottom w:w="120" w:type="dxa"/>
              <w:end w:w="140" w:type="dxa"/>
            </w:tcMar>
            <w:vAlign w:val="center"/>
          </w:tcPr>
          <w:p>
            <w:pPr>
              <w:spacing w:after="0"/>
              <w:jc w:val="center"/>
            </w:pPr>
            <w:r>
              <w:rPr>
                <w:rFonts w:ascii="Aptos" w:hAnsi="Aptos"/>
                <w:sz w:val="16"/>
              </w:rPr>
              <w:t>0</w:t>
            </w:r>
          </w:p>
        </w:tc>
      </w:tr>
      <w:tr>
        <w:trPr>
          <w:cantSplit/>
        </w:trPr>
        <w:tc>
          <w:tcPr>
            <w:tcW w:type="dxa" w:w="2088"/>
            <w:shd w:fill="EAF2F8"/>
            <w:tcMar>
              <w:top w:w="120" w:type="dxa"/>
              <w:start w:w="140" w:type="dxa"/>
              <w:bottom w:w="120" w:type="dxa"/>
              <w:end w:w="140" w:type="dxa"/>
            </w:tcMar>
            <w:vAlign w:val="center"/>
          </w:tcPr>
          <w:p>
            <w:pPr>
              <w:spacing w:after="0"/>
              <w:jc w:val="center"/>
            </w:pPr>
            <w:r>
              <w:rPr>
                <w:rFonts w:ascii="Aptos" w:hAnsi="Aptos"/>
                <w:sz w:val="16"/>
              </w:rPr>
              <w:t>SU(3)^2 U(1)</w:t>
            </w:r>
          </w:p>
        </w:tc>
        <w:tc>
          <w:tcPr>
            <w:tcW w:type="dxa" w:w="6264"/>
            <w:shd w:fill="EAF2F8"/>
            <w:tcMar>
              <w:top w:w="120" w:type="dxa"/>
              <w:start w:w="140" w:type="dxa"/>
              <w:bottom w:w="120" w:type="dxa"/>
              <w:end w:w="140" w:type="dxa"/>
            </w:tcMar>
            <w:vAlign w:val="center"/>
          </w:tcPr>
          <w:p>
            <w:pPr>
              <w:spacing w:after="0"/>
              <w:jc w:val="left"/>
            </w:pPr>
            <w:r>
              <w:rPr>
                <w:rFonts w:ascii="Aptos" w:hAnsi="Aptos"/>
                <w:sz w:val="16"/>
              </w:rPr>
              <w:t>2×(1/2)(1/6) + (1/2)(−2/3) + (1/2)(1/3)</w:t>
            </w:r>
          </w:p>
        </w:tc>
        <w:tc>
          <w:tcPr>
            <w:tcW w:type="dxa" w:w="1224"/>
            <w:shd w:fill="EAF2F8"/>
            <w:tcMar>
              <w:top w:w="120" w:type="dxa"/>
              <w:start w:w="140" w:type="dxa"/>
              <w:bottom w:w="120" w:type="dxa"/>
              <w:end w:w="140" w:type="dxa"/>
            </w:tcMar>
            <w:vAlign w:val="center"/>
          </w:tcPr>
          <w:p>
            <w:pPr>
              <w:spacing w:after="0"/>
              <w:jc w:val="center"/>
            </w:pPr>
            <w:r>
              <w:rPr>
                <w:rFonts w:ascii="Aptos" w:hAnsi="Aptos"/>
                <w:sz w:val="16"/>
              </w:rPr>
              <w:t>0</w:t>
            </w:r>
          </w:p>
        </w:tc>
      </w:tr>
      <w:tr>
        <w:trPr>
          <w:cantSplit/>
        </w:trPr>
        <w:tc>
          <w:tcPr>
            <w:tcW w:type="dxa" w:w="2088"/>
            <w:tcMar>
              <w:top w:w="120" w:type="dxa"/>
              <w:start w:w="140" w:type="dxa"/>
              <w:bottom w:w="120" w:type="dxa"/>
              <w:end w:w="140" w:type="dxa"/>
            </w:tcMar>
            <w:vAlign w:val="center"/>
          </w:tcPr>
          <w:p>
            <w:pPr>
              <w:spacing w:after="0"/>
              <w:jc w:val="center"/>
            </w:pPr>
            <w:r>
              <w:rPr>
                <w:rFonts w:ascii="Aptos" w:hAnsi="Aptos"/>
                <w:sz w:val="16"/>
              </w:rPr>
              <w:t>SU(2)^2 U(1)</w:t>
            </w:r>
          </w:p>
        </w:tc>
        <w:tc>
          <w:tcPr>
            <w:tcW w:type="dxa" w:w="6264"/>
            <w:tcMar>
              <w:top w:w="120" w:type="dxa"/>
              <w:start w:w="140" w:type="dxa"/>
              <w:bottom w:w="120" w:type="dxa"/>
              <w:end w:w="140" w:type="dxa"/>
            </w:tcMar>
            <w:vAlign w:val="center"/>
          </w:tcPr>
          <w:p>
            <w:pPr>
              <w:spacing w:after="0"/>
              <w:jc w:val="left"/>
            </w:pPr>
            <w:r>
              <w:rPr>
                <w:rFonts w:ascii="Aptos" w:hAnsi="Aptos"/>
                <w:sz w:val="16"/>
              </w:rPr>
              <w:t>3×(1/2)(1/6) + (1/2)(−1/2)</w:t>
            </w:r>
          </w:p>
        </w:tc>
        <w:tc>
          <w:tcPr>
            <w:tcW w:type="dxa" w:w="1224"/>
            <w:tcMar>
              <w:top w:w="120" w:type="dxa"/>
              <w:start w:w="140" w:type="dxa"/>
              <w:bottom w:w="120" w:type="dxa"/>
              <w:end w:w="140" w:type="dxa"/>
            </w:tcMar>
            <w:vAlign w:val="center"/>
          </w:tcPr>
          <w:p>
            <w:pPr>
              <w:spacing w:after="0"/>
              <w:jc w:val="center"/>
            </w:pPr>
            <w:r>
              <w:rPr>
                <w:rFonts w:ascii="Aptos" w:hAnsi="Aptos"/>
                <w:sz w:val="16"/>
              </w:rPr>
              <w:t>0</w:t>
            </w:r>
          </w:p>
        </w:tc>
      </w:tr>
      <w:tr>
        <w:trPr>
          <w:cantSplit/>
        </w:trPr>
        <w:tc>
          <w:tcPr>
            <w:tcW w:type="dxa" w:w="2088"/>
            <w:shd w:fill="EAF2F8"/>
            <w:tcMar>
              <w:top w:w="120" w:type="dxa"/>
              <w:start w:w="140" w:type="dxa"/>
              <w:bottom w:w="120" w:type="dxa"/>
              <w:end w:w="140" w:type="dxa"/>
            </w:tcMar>
            <w:vAlign w:val="center"/>
          </w:tcPr>
          <w:p>
            <w:pPr>
              <w:spacing w:after="0"/>
              <w:jc w:val="center"/>
            </w:pPr>
            <w:r>
              <w:rPr>
                <w:rFonts w:ascii="Aptos" w:hAnsi="Aptos"/>
                <w:sz w:val="16"/>
              </w:rPr>
              <w:t>U(1)^3</w:t>
            </w:r>
          </w:p>
        </w:tc>
        <w:tc>
          <w:tcPr>
            <w:tcW w:type="dxa" w:w="6264"/>
            <w:shd w:fill="EAF2F8"/>
            <w:tcMar>
              <w:top w:w="120" w:type="dxa"/>
              <w:start w:w="140" w:type="dxa"/>
              <w:bottom w:w="120" w:type="dxa"/>
              <w:end w:w="140" w:type="dxa"/>
            </w:tcMar>
            <w:vAlign w:val="center"/>
          </w:tcPr>
          <w:p>
            <w:pPr>
              <w:spacing w:after="0"/>
              <w:jc w:val="left"/>
            </w:pPr>
            <w:r>
              <w:rPr>
                <w:rFonts w:ascii="Aptos" w:hAnsi="Aptos"/>
                <w:sz w:val="16"/>
              </w:rPr>
              <w:t>6(1/6)^3 + 3(−2/3)^3 + 3(1/3)^3 + 2(−1/2)^3 + 1</w:t>
            </w:r>
          </w:p>
        </w:tc>
        <w:tc>
          <w:tcPr>
            <w:tcW w:type="dxa" w:w="1224"/>
            <w:shd w:fill="EAF2F8"/>
            <w:tcMar>
              <w:top w:w="120" w:type="dxa"/>
              <w:start w:w="140" w:type="dxa"/>
              <w:bottom w:w="120" w:type="dxa"/>
              <w:end w:w="140" w:type="dxa"/>
            </w:tcMar>
            <w:vAlign w:val="center"/>
          </w:tcPr>
          <w:p>
            <w:pPr>
              <w:spacing w:after="0"/>
              <w:jc w:val="center"/>
            </w:pPr>
            <w:r>
              <w:rPr>
                <w:rFonts w:ascii="Aptos" w:hAnsi="Aptos"/>
                <w:sz w:val="16"/>
              </w:rPr>
              <w:t>0</w:t>
            </w:r>
          </w:p>
        </w:tc>
      </w:tr>
      <w:tr>
        <w:trPr>
          <w:cantSplit/>
        </w:trPr>
        <w:tc>
          <w:tcPr>
            <w:tcW w:type="dxa" w:w="2088"/>
            <w:tcMar>
              <w:top w:w="120" w:type="dxa"/>
              <w:start w:w="140" w:type="dxa"/>
              <w:bottom w:w="120" w:type="dxa"/>
              <w:end w:w="140" w:type="dxa"/>
            </w:tcMar>
            <w:vAlign w:val="center"/>
          </w:tcPr>
          <w:p>
            <w:pPr>
              <w:spacing w:after="0"/>
              <w:jc w:val="center"/>
            </w:pPr>
            <w:r>
              <w:rPr>
                <w:rFonts w:ascii="Aptos" w:hAnsi="Aptos"/>
                <w:sz w:val="16"/>
              </w:rPr>
              <w:t>grav^2 U(1)</w:t>
            </w:r>
          </w:p>
        </w:tc>
        <w:tc>
          <w:tcPr>
            <w:tcW w:type="dxa" w:w="6264"/>
            <w:tcMar>
              <w:top w:w="120" w:type="dxa"/>
              <w:start w:w="140" w:type="dxa"/>
              <w:bottom w:w="120" w:type="dxa"/>
              <w:end w:w="140" w:type="dxa"/>
            </w:tcMar>
            <w:vAlign w:val="center"/>
          </w:tcPr>
          <w:p>
            <w:pPr>
              <w:spacing w:after="0"/>
              <w:jc w:val="left"/>
            </w:pPr>
            <w:r>
              <w:rPr>
                <w:rFonts w:ascii="Aptos" w:hAnsi="Aptos"/>
                <w:sz w:val="16"/>
              </w:rPr>
              <w:t>6(1/6) + 3(−2/3) + 3(1/3) + 2(−1/2) + 1</w:t>
            </w:r>
          </w:p>
        </w:tc>
        <w:tc>
          <w:tcPr>
            <w:tcW w:type="dxa" w:w="1224"/>
            <w:tcMar>
              <w:top w:w="120" w:type="dxa"/>
              <w:start w:w="140" w:type="dxa"/>
              <w:bottom w:w="120" w:type="dxa"/>
              <w:end w:w="140" w:type="dxa"/>
            </w:tcMar>
            <w:vAlign w:val="center"/>
          </w:tcPr>
          <w:p>
            <w:pPr>
              <w:spacing w:after="0"/>
              <w:jc w:val="center"/>
            </w:pPr>
            <w:r>
              <w:rPr>
                <w:rFonts w:ascii="Aptos" w:hAnsi="Aptos"/>
                <w:sz w:val="16"/>
              </w:rPr>
              <w:t>0</w:t>
            </w:r>
          </w:p>
        </w:tc>
      </w:tr>
      <w:tr>
        <w:trPr>
          <w:cantSplit/>
        </w:trPr>
        <w:tc>
          <w:tcPr>
            <w:tcW w:type="dxa" w:w="2088"/>
            <w:shd w:fill="EAF2F8"/>
            <w:tcMar>
              <w:top w:w="120" w:type="dxa"/>
              <w:start w:w="140" w:type="dxa"/>
              <w:bottom w:w="120" w:type="dxa"/>
              <w:end w:w="140" w:type="dxa"/>
            </w:tcMar>
            <w:vAlign w:val="center"/>
          </w:tcPr>
          <w:p>
            <w:pPr>
              <w:spacing w:after="0"/>
              <w:jc w:val="center"/>
            </w:pPr>
            <w:r>
              <w:rPr>
                <w:rFonts w:ascii="Aptos" w:hAnsi="Aptos"/>
                <w:sz w:val="16"/>
              </w:rPr>
              <w:t>Global SU(2)</w:t>
            </w:r>
          </w:p>
        </w:tc>
        <w:tc>
          <w:tcPr>
            <w:tcW w:type="dxa" w:w="6264"/>
            <w:shd w:fill="EAF2F8"/>
            <w:tcMar>
              <w:top w:w="120" w:type="dxa"/>
              <w:start w:w="140" w:type="dxa"/>
              <w:bottom w:w="120" w:type="dxa"/>
              <w:end w:w="140" w:type="dxa"/>
            </w:tcMar>
            <w:vAlign w:val="center"/>
          </w:tcPr>
          <w:p>
            <w:pPr>
              <w:spacing w:after="0"/>
              <w:jc w:val="left"/>
            </w:pPr>
            <w:r>
              <w:rPr>
                <w:rFonts w:ascii="Aptos" w:hAnsi="Aptos"/>
                <w:sz w:val="16"/>
              </w:rPr>
              <w:t>Three colored Q doublets plus one L doublet</w:t>
            </w:r>
          </w:p>
        </w:tc>
        <w:tc>
          <w:tcPr>
            <w:tcW w:type="dxa" w:w="1224"/>
            <w:shd w:fill="EAF2F8"/>
            <w:tcMar>
              <w:top w:w="120" w:type="dxa"/>
              <w:start w:w="140" w:type="dxa"/>
              <w:bottom w:w="120" w:type="dxa"/>
              <w:end w:w="140" w:type="dxa"/>
            </w:tcMar>
            <w:vAlign w:val="center"/>
          </w:tcPr>
          <w:p>
            <w:pPr>
              <w:spacing w:after="0"/>
              <w:jc w:val="left"/>
            </w:pPr>
            <w:r>
              <w:rPr>
                <w:rFonts w:ascii="Aptos" w:hAnsi="Aptos"/>
                <w:sz w:val="16"/>
              </w:rPr>
              <w:t>4 doublets, even</w:t>
            </w:r>
          </w:p>
        </w:tc>
      </w:tr>
    </w:tbl>
    <w:p>
      <w:pPr>
        <w:spacing w:after="20"/>
      </w:pPr>
    </w:p>
    <w:p>
      <w:pPr>
        <w:keepLines w:val="0"/>
      </w:pPr>
      <w:r>
        <w:rPr>
          <w:rFonts w:ascii="Aptos" w:hAnsi="Aptos"/>
          <w:i w:val="0"/>
        </w:rPr>
        <w:t>The benchmark confirms consistency after calibration. It does not show that WRRA-M has derived hypercharge. The required next result is a filter operator whose eigenvalues produce the calibrated charges and whose structure explains the cancellation rather than inserting each charge separately.</w:t>
      </w:r>
    </w:p>
    <w:p>
      <w:r>
        <w:br w:type="page"/>
      </w:r>
    </w:p>
    <w:p>
      <w:pPr>
        <w:pStyle w:val="Heading1"/>
      </w:pPr>
      <w:r>
        <w:t>Claim ledger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2376"/>
            <w:shd w:fill="18324A"/>
            <w:tcMar>
              <w:top w:w="120" w:type="dxa"/>
              <w:start w:w="140" w:type="dxa"/>
              <w:bottom w:w="120" w:type="dxa"/>
              <w:end w:w="140" w:type="dxa"/>
            </w:tcMar>
            <w:vAlign w:val="center"/>
          </w:tcPr>
          <w:p>
            <w:pPr>
              <w:spacing w:after="0"/>
              <w:jc w:val="center"/>
            </w:pPr>
            <w:r>
              <w:rPr>
                <w:rFonts w:ascii="Aptos" w:hAnsi="Aptos"/>
                <w:b/>
                <w:color w:val="FFFFFF"/>
                <w:sz w:val="15"/>
              </w:rPr>
              <w:t>Verification input</w:t>
            </w:r>
          </w:p>
        </w:tc>
        <w:tc>
          <w:tcPr>
            <w:tcW w:type="dxa" w:w="2952"/>
            <w:shd w:fill="18324A"/>
            <w:tcMar>
              <w:top w:w="120" w:type="dxa"/>
              <w:start w:w="140" w:type="dxa"/>
              <w:bottom w:w="120" w:type="dxa"/>
              <w:end w:w="140" w:type="dxa"/>
            </w:tcMar>
            <w:vAlign w:val="center"/>
          </w:tcPr>
          <w:p>
            <w:pPr>
              <w:spacing w:after="0"/>
              <w:jc w:val="center"/>
            </w:pPr>
            <w:r>
              <w:rPr>
                <w:rFonts w:ascii="Aptos" w:hAnsi="Aptos"/>
                <w:b/>
                <w:color w:val="FFFFFF"/>
                <w:sz w:val="15"/>
              </w:rPr>
              <w:t>WRRA specific transformation</w:t>
            </w:r>
          </w:p>
        </w:tc>
        <w:tc>
          <w:tcPr>
            <w:tcW w:type="dxa" w:w="2088"/>
            <w:shd w:fill="18324A"/>
            <w:tcMar>
              <w:top w:w="120" w:type="dxa"/>
              <w:start w:w="140" w:type="dxa"/>
              <w:bottom w:w="120" w:type="dxa"/>
              <w:end w:w="140" w:type="dxa"/>
            </w:tcMar>
            <w:vAlign w:val="center"/>
          </w:tcPr>
          <w:p>
            <w:pPr>
              <w:spacing w:after="0"/>
              <w:jc w:val="center"/>
            </w:pPr>
            <w:r>
              <w:rPr>
                <w:rFonts w:ascii="Aptos" w:hAnsi="Aptos"/>
                <w:b/>
                <w:color w:val="FFFFFF"/>
                <w:sz w:val="15"/>
              </w:rPr>
              <w:t>Output</w:t>
            </w:r>
          </w:p>
        </w:tc>
        <w:tc>
          <w:tcPr>
            <w:tcW w:type="dxa" w:w="2520"/>
            <w:shd w:fill="18324A"/>
            <w:tcMar>
              <w:top w:w="120" w:type="dxa"/>
              <w:start w:w="140" w:type="dxa"/>
              <w:bottom w:w="120" w:type="dxa"/>
              <w:end w:w="140" w:type="dxa"/>
            </w:tcMar>
            <w:vAlign w:val="center"/>
          </w:tcPr>
          <w:p>
            <w:pPr>
              <w:spacing w:after="0"/>
              <w:jc w:val="center"/>
            </w:pPr>
            <w:r>
              <w:rPr>
                <w:rFonts w:ascii="Aptos" w:hAnsi="Aptos"/>
                <w:b/>
                <w:color w:val="FFFFFF"/>
                <w:sz w:val="15"/>
              </w:rPr>
              <w:t>Falsification condition</w:t>
            </w:r>
          </w:p>
        </w:tc>
      </w:tr>
      <w:tr>
        <w:trPr>
          <w:cantSplit/>
        </w:trPr>
        <w:tc>
          <w:tcPr>
            <w:tcW w:type="dxa" w:w="2376"/>
            <w:tcMar>
              <w:top w:w="120" w:type="dxa"/>
              <w:start w:w="140" w:type="dxa"/>
              <w:bottom w:w="120" w:type="dxa"/>
              <w:end w:w="140" w:type="dxa"/>
            </w:tcMar>
            <w:vAlign w:val="center"/>
          </w:tcPr>
          <w:p>
            <w:pPr>
              <w:spacing w:after="0"/>
              <w:jc w:val="left"/>
            </w:pPr>
            <w:r>
              <w:rPr>
                <w:rFonts w:ascii="Aptos" w:hAnsi="Aptos"/>
                <w:sz w:val="15"/>
              </w:rPr>
              <w:t>M theory uses seven internal dimensions for a four dimensional compactification</w:t>
            </w:r>
          </w:p>
        </w:tc>
        <w:tc>
          <w:tcPr>
            <w:tcW w:type="dxa" w:w="2952"/>
            <w:tcMar>
              <w:top w:w="120" w:type="dxa"/>
              <w:start w:w="140" w:type="dxa"/>
              <w:bottom w:w="120" w:type="dxa"/>
              <w:end w:w="140" w:type="dxa"/>
            </w:tcMar>
            <w:vAlign w:val="center"/>
          </w:tcPr>
          <w:p>
            <w:pPr>
              <w:spacing w:after="0"/>
              <w:jc w:val="left"/>
            </w:pPr>
            <w:r>
              <w:rPr>
                <w:rFonts w:ascii="Aptos" w:hAnsi="Aptos"/>
                <w:sz w:val="15"/>
              </w:rPr>
              <w:t>Replace ontic internal space with seven predimensional degrees represented geometrically for calculation</w:t>
            </w:r>
          </w:p>
        </w:tc>
        <w:tc>
          <w:tcPr>
            <w:tcW w:type="dxa" w:w="2088"/>
            <w:tcMar>
              <w:top w:w="120" w:type="dxa"/>
              <w:start w:w="140" w:type="dxa"/>
              <w:bottom w:w="120" w:type="dxa"/>
              <w:end w:w="140" w:type="dxa"/>
            </w:tcMar>
            <w:vAlign w:val="center"/>
          </w:tcPr>
          <w:p>
            <w:pPr>
              <w:spacing w:after="0"/>
              <w:jc w:val="left"/>
            </w:pPr>
            <w:r>
              <w:rPr>
                <w:rFonts w:ascii="Aptos" w:hAnsi="Aptos"/>
                <w:sz w:val="15"/>
              </w:rPr>
              <w:t>P7 correspondence hypothesis</w:t>
            </w:r>
          </w:p>
        </w:tc>
        <w:tc>
          <w:tcPr>
            <w:tcW w:type="dxa" w:w="2520"/>
            <w:tcMar>
              <w:top w:w="120" w:type="dxa"/>
              <w:start w:w="140" w:type="dxa"/>
              <w:bottom w:w="120" w:type="dxa"/>
              <w:end w:w="140" w:type="dxa"/>
            </w:tcMar>
            <w:vAlign w:val="center"/>
          </w:tcPr>
          <w:p>
            <w:pPr>
              <w:spacing w:after="0"/>
              <w:jc w:val="left"/>
            </w:pPr>
            <w:r>
              <w:rPr>
                <w:rFonts w:ascii="Aptos" w:hAnsi="Aptos"/>
                <w:sz w:val="15"/>
              </w:rPr>
              <w:t>A four dimensional reduction requires structures that cannot be represented by seven predimensional degrees</w:t>
            </w:r>
          </w:p>
        </w:tc>
      </w:tr>
      <w:tr>
        <w:trPr>
          <w:cantSplit/>
        </w:trPr>
        <w:tc>
          <w:tcPr>
            <w:tcW w:type="dxa" w:w="2376"/>
            <w:shd w:fill="EAF2F8"/>
            <w:tcMar>
              <w:top w:w="120" w:type="dxa"/>
              <w:start w:w="140" w:type="dxa"/>
              <w:bottom w:w="120" w:type="dxa"/>
              <w:end w:w="140" w:type="dxa"/>
            </w:tcMar>
            <w:vAlign w:val="center"/>
          </w:tcPr>
          <w:p>
            <w:pPr>
              <w:spacing w:after="0"/>
              <w:jc w:val="left"/>
            </w:pPr>
            <w:r>
              <w:rPr>
                <w:rFonts w:ascii="Aptos" w:hAnsi="Aptos"/>
                <w:sz w:val="15"/>
              </w:rPr>
              <w:t>G2 fundamental branching gives 7 equals 3 plus 3 bar plus 1</w:t>
            </w:r>
          </w:p>
        </w:tc>
        <w:tc>
          <w:tcPr>
            <w:tcW w:type="dxa" w:w="2952"/>
            <w:shd w:fill="EAF2F8"/>
            <w:tcMar>
              <w:top w:w="120" w:type="dxa"/>
              <w:start w:w="140" w:type="dxa"/>
              <w:bottom w:w="120" w:type="dxa"/>
              <w:end w:w="140" w:type="dxa"/>
            </w:tcMar>
            <w:vAlign w:val="center"/>
          </w:tcPr>
          <w:p>
            <w:pPr>
              <w:spacing w:after="0"/>
              <w:jc w:val="left"/>
            </w:pPr>
            <w:r>
              <w:rPr>
                <w:rFonts w:ascii="Aptos" w:hAnsi="Aptos"/>
                <w:sz w:val="15"/>
              </w:rPr>
              <w:t>Use two oriented seven sectors and one invariant channel</w:t>
            </w:r>
          </w:p>
        </w:tc>
        <w:tc>
          <w:tcPr>
            <w:tcW w:type="dxa" w:w="2088"/>
            <w:shd w:fill="EAF2F8"/>
            <w:tcMar>
              <w:top w:w="120" w:type="dxa"/>
              <w:start w:w="140" w:type="dxa"/>
              <w:bottom w:w="120" w:type="dxa"/>
              <w:end w:w="140" w:type="dxa"/>
            </w:tcMar>
            <w:vAlign w:val="center"/>
          </w:tcPr>
          <w:p>
            <w:pPr>
              <w:spacing w:after="0"/>
              <w:jc w:val="left"/>
            </w:pPr>
            <w:r>
              <w:rPr>
                <w:rFonts w:ascii="Aptos" w:hAnsi="Aptos"/>
                <w:sz w:val="15"/>
              </w:rPr>
              <w:t>Two triplets two antitriplets and three singlets</w:t>
            </w:r>
          </w:p>
        </w:tc>
        <w:tc>
          <w:tcPr>
            <w:tcW w:type="dxa" w:w="2520"/>
            <w:shd w:fill="EAF2F8"/>
            <w:tcMar>
              <w:top w:w="120" w:type="dxa"/>
              <w:start w:w="140" w:type="dxa"/>
              <w:bottom w:w="120" w:type="dxa"/>
              <w:end w:w="140" w:type="dxa"/>
            </w:tcMar>
            <w:vAlign w:val="center"/>
          </w:tcPr>
          <w:p>
            <w:pPr>
              <w:spacing w:after="0"/>
              <w:jc w:val="left"/>
            </w:pPr>
            <w:r>
              <w:rPr>
                <w:rFonts w:ascii="Aptos" w:hAnsi="Aptos"/>
                <w:sz w:val="15"/>
              </w:rPr>
              <w:t>The filter cannot preserve the branching or cannot assign the channels to one generation</w:t>
            </w:r>
          </w:p>
        </w:tc>
      </w:tr>
      <w:tr>
        <w:trPr>
          <w:cantSplit/>
        </w:trPr>
        <w:tc>
          <w:tcPr>
            <w:tcW w:type="dxa" w:w="2376"/>
            <w:tcMar>
              <w:top w:w="120" w:type="dxa"/>
              <w:start w:w="140" w:type="dxa"/>
              <w:bottom w:w="120" w:type="dxa"/>
              <w:end w:w="140" w:type="dxa"/>
            </w:tcMar>
            <w:vAlign w:val="center"/>
          </w:tcPr>
          <w:p>
            <w:pPr>
              <w:spacing w:after="0"/>
              <w:jc w:val="left"/>
            </w:pPr>
            <w:r>
              <w:rPr>
                <w:rFonts w:ascii="Aptos" w:hAnsi="Aptos"/>
                <w:sz w:val="15"/>
              </w:rPr>
              <w:t>One Standard Model generation has fifteen Weyl channels</w:t>
            </w:r>
          </w:p>
        </w:tc>
        <w:tc>
          <w:tcPr>
            <w:tcW w:type="dxa" w:w="2952"/>
            <w:tcMar>
              <w:top w:w="120" w:type="dxa"/>
              <w:start w:w="140" w:type="dxa"/>
              <w:bottom w:w="120" w:type="dxa"/>
              <w:end w:w="140" w:type="dxa"/>
            </w:tcMar>
            <w:vAlign w:val="center"/>
          </w:tcPr>
          <w:p>
            <w:pPr>
              <w:spacing w:after="0"/>
              <w:jc w:val="left"/>
            </w:pPr>
            <w:r>
              <w:rPr>
                <w:rFonts w:ascii="Aptos" w:hAnsi="Aptos"/>
                <w:sz w:val="15"/>
              </w:rPr>
              <w:t>Match only the SU 3 color multiplicities</w:t>
            </w:r>
          </w:p>
        </w:tc>
        <w:tc>
          <w:tcPr>
            <w:tcW w:type="dxa" w:w="2088"/>
            <w:tcMar>
              <w:top w:w="120" w:type="dxa"/>
              <w:start w:w="140" w:type="dxa"/>
              <w:bottom w:w="120" w:type="dxa"/>
              <w:end w:w="140" w:type="dxa"/>
            </w:tcMar>
            <w:vAlign w:val="center"/>
          </w:tcPr>
          <w:p>
            <w:pPr>
              <w:spacing w:after="0"/>
              <w:jc w:val="left"/>
            </w:pPr>
            <w:r>
              <w:rPr>
                <w:rFonts w:ascii="Aptos" w:hAnsi="Aptos"/>
                <w:sz w:val="15"/>
              </w:rPr>
              <w:t>Exact color sector multiplicity match</w:t>
            </w:r>
          </w:p>
        </w:tc>
        <w:tc>
          <w:tcPr>
            <w:tcW w:type="dxa" w:w="2520"/>
            <w:tcMar>
              <w:top w:w="120" w:type="dxa"/>
              <w:start w:w="140" w:type="dxa"/>
              <w:bottom w:w="120" w:type="dxa"/>
              <w:end w:w="140" w:type="dxa"/>
            </w:tcMar>
            <w:vAlign w:val="center"/>
          </w:tcPr>
          <w:p>
            <w:pPr>
              <w:spacing w:after="0"/>
              <w:jc w:val="left"/>
            </w:pPr>
            <w:r>
              <w:rPr>
                <w:rFonts w:ascii="Aptos" w:hAnsi="Aptos"/>
                <w:sz w:val="15"/>
              </w:rPr>
              <w:t>Any channel count or color representation fails after a complete field assignment</w:t>
            </w:r>
          </w:p>
        </w:tc>
      </w:tr>
      <w:tr>
        <w:trPr>
          <w:cantSplit/>
        </w:trPr>
        <w:tc>
          <w:tcPr>
            <w:tcW w:type="dxa" w:w="2376"/>
            <w:shd w:fill="EAF2F8"/>
            <w:tcMar>
              <w:top w:w="120" w:type="dxa"/>
              <w:start w:w="140" w:type="dxa"/>
              <w:bottom w:w="120" w:type="dxa"/>
              <w:end w:w="140" w:type="dxa"/>
            </w:tcMar>
            <w:vAlign w:val="center"/>
          </w:tcPr>
          <w:p>
            <w:pPr>
              <w:spacing w:after="0"/>
              <w:jc w:val="left"/>
            </w:pPr>
            <w:r>
              <w:rPr>
                <w:rFonts w:ascii="Aptos" w:hAnsi="Aptos"/>
                <w:sz w:val="15"/>
              </w:rPr>
              <w:t>Observed hypercharges</w:t>
            </w:r>
          </w:p>
        </w:tc>
        <w:tc>
          <w:tcPr>
            <w:tcW w:type="dxa" w:w="2952"/>
            <w:shd w:fill="EAF2F8"/>
            <w:tcMar>
              <w:top w:w="120" w:type="dxa"/>
              <w:start w:w="140" w:type="dxa"/>
              <w:bottom w:w="120" w:type="dxa"/>
              <w:end w:w="140" w:type="dxa"/>
            </w:tcMar>
            <w:vAlign w:val="center"/>
          </w:tcPr>
          <w:p>
            <w:pPr>
              <w:spacing w:after="0"/>
              <w:jc w:val="left"/>
            </w:pPr>
            <w:r>
              <w:rPr>
                <w:rFonts w:ascii="Aptos" w:hAnsi="Aptos"/>
                <w:sz w:val="15"/>
              </w:rPr>
              <w:t>Calibrate the candidate charge operator and run anomaly sums</w:t>
            </w:r>
          </w:p>
        </w:tc>
        <w:tc>
          <w:tcPr>
            <w:tcW w:type="dxa" w:w="2088"/>
            <w:shd w:fill="EAF2F8"/>
            <w:tcMar>
              <w:top w:w="120" w:type="dxa"/>
              <w:start w:w="140" w:type="dxa"/>
              <w:bottom w:w="120" w:type="dxa"/>
              <w:end w:w="140" w:type="dxa"/>
            </w:tcMar>
            <w:vAlign w:val="center"/>
          </w:tcPr>
          <w:p>
            <w:pPr>
              <w:spacing w:after="0"/>
              <w:jc w:val="left"/>
            </w:pPr>
            <w:r>
              <w:rPr>
                <w:rFonts w:ascii="Aptos" w:hAnsi="Aptos"/>
                <w:sz w:val="15"/>
              </w:rPr>
              <w:t>All benchmark anomalies vanish</w:t>
            </w:r>
          </w:p>
        </w:tc>
        <w:tc>
          <w:tcPr>
            <w:tcW w:type="dxa" w:w="2520"/>
            <w:shd w:fill="EAF2F8"/>
            <w:tcMar>
              <w:top w:w="120" w:type="dxa"/>
              <w:start w:w="140" w:type="dxa"/>
              <w:bottom w:w="120" w:type="dxa"/>
              <w:end w:w="140" w:type="dxa"/>
            </w:tcMar>
            <w:vAlign w:val="center"/>
          </w:tcPr>
          <w:p>
            <w:pPr>
              <w:spacing w:after="0"/>
              <w:jc w:val="left"/>
            </w:pPr>
            <w:r>
              <w:rPr>
                <w:rFonts w:ascii="Aptos" w:hAnsi="Aptos"/>
                <w:sz w:val="15"/>
              </w:rPr>
              <w:t>No single filter operator can generate the charges without channel by channel insertion</w:t>
            </w:r>
          </w:p>
        </w:tc>
      </w:tr>
      <w:tr>
        <w:trPr>
          <w:cantSplit/>
        </w:trPr>
        <w:tc>
          <w:tcPr>
            <w:tcW w:type="dxa" w:w="2376"/>
            <w:tcMar>
              <w:top w:w="120" w:type="dxa"/>
              <w:start w:w="140" w:type="dxa"/>
              <w:bottom w:w="120" w:type="dxa"/>
              <w:end w:w="140" w:type="dxa"/>
            </w:tcMar>
            <w:vAlign w:val="center"/>
          </w:tcPr>
          <w:p>
            <w:pPr>
              <w:spacing w:after="0"/>
              <w:jc w:val="left"/>
            </w:pPr>
            <w:r>
              <w:rPr>
                <w:rFonts w:ascii="Aptos" w:hAnsi="Aptos"/>
                <w:sz w:val="15"/>
              </w:rPr>
              <w:t>Additional gravity is inferred without light</w:t>
            </w:r>
          </w:p>
        </w:tc>
        <w:tc>
          <w:tcPr>
            <w:tcW w:type="dxa" w:w="2952"/>
            <w:tcMar>
              <w:top w:w="120" w:type="dxa"/>
              <w:start w:w="140" w:type="dxa"/>
              <w:bottom w:w="120" w:type="dxa"/>
              <w:end w:w="140" w:type="dxa"/>
            </w:tcMar>
            <w:vAlign w:val="center"/>
          </w:tcPr>
          <w:p>
            <w:pPr>
              <w:spacing w:after="0"/>
              <w:jc w:val="left"/>
            </w:pPr>
            <w:r>
              <w:rPr>
                <w:rFonts w:ascii="Aptos" w:hAnsi="Aptos"/>
                <w:sz w:val="15"/>
              </w:rPr>
              <w:t>Set matter phenotype to zero while retaining twist stress</w:t>
            </w:r>
          </w:p>
        </w:tc>
        <w:tc>
          <w:tcPr>
            <w:tcW w:type="dxa" w:w="2088"/>
            <w:tcMar>
              <w:top w:w="120" w:type="dxa"/>
              <w:start w:w="140" w:type="dxa"/>
              <w:bottom w:w="120" w:type="dxa"/>
              <w:end w:w="140" w:type="dxa"/>
            </w:tcMar>
            <w:vAlign w:val="center"/>
          </w:tcPr>
          <w:p>
            <w:pPr>
              <w:spacing w:after="0"/>
              <w:jc w:val="left"/>
            </w:pPr>
            <w:r>
              <w:rPr>
                <w:rFonts w:ascii="Aptos" w:hAnsi="Aptos"/>
                <w:sz w:val="15"/>
              </w:rPr>
              <w:t>Effective dark gravitational source</w:t>
            </w:r>
          </w:p>
        </w:tc>
        <w:tc>
          <w:tcPr>
            <w:tcW w:type="dxa" w:w="2520"/>
            <w:tcMar>
              <w:top w:w="120" w:type="dxa"/>
              <w:start w:w="140" w:type="dxa"/>
              <w:bottom w:w="120" w:type="dxa"/>
              <w:end w:w="140" w:type="dxa"/>
            </w:tcMar>
            <w:vAlign w:val="center"/>
          </w:tcPr>
          <w:p>
            <w:pPr>
              <w:spacing w:after="0"/>
              <w:jc w:val="left"/>
            </w:pPr>
            <w:r>
              <w:rPr>
                <w:rFonts w:ascii="Aptos" w:hAnsi="Aptos"/>
                <w:sz w:val="15"/>
              </w:rPr>
              <w:t>A non gravitational particle signal explains all effects or one twist law cannot fit rotation lensing clusters and cosmology</w:t>
            </w:r>
          </w:p>
        </w:tc>
      </w:tr>
      <w:tr>
        <w:trPr>
          <w:cantSplit/>
        </w:trPr>
        <w:tc>
          <w:tcPr>
            <w:tcW w:type="dxa" w:w="2376"/>
            <w:shd w:fill="EAF2F8"/>
            <w:tcMar>
              <w:top w:w="120" w:type="dxa"/>
              <w:start w:w="140" w:type="dxa"/>
              <w:bottom w:w="120" w:type="dxa"/>
              <w:end w:w="140" w:type="dxa"/>
            </w:tcMar>
            <w:vAlign w:val="center"/>
          </w:tcPr>
          <w:p>
            <w:pPr>
              <w:spacing w:after="0"/>
              <w:jc w:val="left"/>
            </w:pPr>
            <w:r>
              <w:rPr>
                <w:rFonts w:ascii="Aptos" w:hAnsi="Aptos"/>
                <w:sz w:val="15"/>
              </w:rPr>
              <w:t>Residues are ordered in the present</w:t>
            </w:r>
          </w:p>
        </w:tc>
        <w:tc>
          <w:tcPr>
            <w:tcW w:type="dxa" w:w="2952"/>
            <w:shd w:fill="EAF2F8"/>
            <w:tcMar>
              <w:top w:w="120" w:type="dxa"/>
              <w:start w:w="140" w:type="dxa"/>
              <w:bottom w:w="120" w:type="dxa"/>
              <w:end w:w="140" w:type="dxa"/>
            </w:tcMar>
            <w:vAlign w:val="center"/>
          </w:tcPr>
          <w:p>
            <w:pPr>
              <w:spacing w:after="0"/>
              <w:jc w:val="left"/>
            </w:pPr>
            <w:r>
              <w:rPr>
                <w:rFonts w:ascii="Aptos" w:hAnsi="Aptos"/>
                <w:sz w:val="15"/>
              </w:rPr>
              <w:t>Use residue order as the timelike filter direction</w:t>
            </w:r>
          </w:p>
        </w:tc>
        <w:tc>
          <w:tcPr>
            <w:tcW w:type="dxa" w:w="2088"/>
            <w:shd w:fill="EAF2F8"/>
            <w:tcMar>
              <w:top w:w="120" w:type="dxa"/>
              <w:start w:w="140" w:type="dxa"/>
              <w:bottom w:w="120" w:type="dxa"/>
              <w:end w:w="140" w:type="dxa"/>
            </w:tcMar>
            <w:vAlign w:val="center"/>
          </w:tcPr>
          <w:p>
            <w:pPr>
              <w:spacing w:after="0"/>
              <w:jc w:val="left"/>
            </w:pPr>
            <w:r>
              <w:rPr>
                <w:rFonts w:ascii="Aptos" w:hAnsi="Aptos"/>
                <w:sz w:val="15"/>
              </w:rPr>
              <w:t>Emergent time candidate</w:t>
            </w:r>
          </w:p>
        </w:tc>
        <w:tc>
          <w:tcPr>
            <w:tcW w:type="dxa" w:w="2520"/>
            <w:shd w:fill="EAF2F8"/>
            <w:tcMar>
              <w:top w:w="120" w:type="dxa"/>
              <w:start w:w="140" w:type="dxa"/>
              <w:bottom w:w="120" w:type="dxa"/>
              <w:end w:w="140" w:type="dxa"/>
            </w:tcMar>
            <w:vAlign w:val="center"/>
          </w:tcPr>
          <w:p>
            <w:pPr>
              <w:spacing w:after="0"/>
              <w:jc w:val="left"/>
            </w:pPr>
            <w:r>
              <w:rPr>
                <w:rFonts w:ascii="Aptos" w:hAnsi="Aptos"/>
                <w:sz w:val="15"/>
              </w:rPr>
              <w:t>Lorentzian causality or observed clock relations cannot be recovered</w:t>
            </w:r>
          </w:p>
        </w:tc>
      </w:tr>
    </w:tbl>
    <w:p>
      <w:pPr>
        <w:spacing w:after="20"/>
      </w:pPr>
    </w:p>
    <w:p>
      <w:pPr>
        <w:pStyle w:val="Heading1"/>
        <w:pageBreakBefore/>
      </w:pPr>
      <w:r>
        <w:t>Claim status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864"/>
            <w:shd w:fill="18324A"/>
            <w:tcMar>
              <w:top w:w="120" w:type="dxa"/>
              <w:start w:w="140" w:type="dxa"/>
              <w:bottom w:w="120" w:type="dxa"/>
              <w:end w:w="140" w:type="dxa"/>
            </w:tcMar>
            <w:vAlign w:val="center"/>
          </w:tcPr>
          <w:p>
            <w:pPr>
              <w:spacing w:after="0"/>
              <w:jc w:val="center"/>
            </w:pPr>
            <w:r>
              <w:rPr>
                <w:rFonts w:ascii="Aptos" w:hAnsi="Aptos"/>
                <w:b/>
                <w:color w:val="FFFFFF"/>
                <w:sz w:val="17"/>
              </w:rPr>
              <w:t>Code</w:t>
            </w:r>
          </w:p>
        </w:tc>
        <w:tc>
          <w:tcPr>
            <w:tcW w:type="dxa" w:w="2880"/>
            <w:shd w:fill="18324A"/>
            <w:tcMar>
              <w:top w:w="120" w:type="dxa"/>
              <w:start w:w="140" w:type="dxa"/>
              <w:bottom w:w="120" w:type="dxa"/>
              <w:end w:w="140" w:type="dxa"/>
            </w:tcMar>
            <w:vAlign w:val="center"/>
          </w:tcPr>
          <w:p>
            <w:pPr>
              <w:spacing w:after="0"/>
              <w:jc w:val="center"/>
            </w:pPr>
            <w:r>
              <w:rPr>
                <w:rFonts w:ascii="Aptos" w:hAnsi="Aptos"/>
                <w:b/>
                <w:color w:val="FFFFFF"/>
                <w:sz w:val="17"/>
              </w:rPr>
              <w:t>Meaning</w:t>
            </w:r>
          </w:p>
        </w:tc>
        <w:tc>
          <w:tcPr>
            <w:tcW w:type="dxa" w:w="6048"/>
            <w:shd w:fill="18324A"/>
            <w:tcMar>
              <w:top w:w="120" w:type="dxa"/>
              <w:start w:w="140" w:type="dxa"/>
              <w:bottom w:w="120" w:type="dxa"/>
              <w:end w:w="140" w:type="dxa"/>
            </w:tcMar>
            <w:vAlign w:val="center"/>
          </w:tcPr>
          <w:p>
            <w:pPr>
              <w:spacing w:after="0"/>
              <w:jc w:val="center"/>
            </w:pPr>
            <w:r>
              <w:rPr>
                <w:rFonts w:ascii="Aptos" w:hAnsi="Aptos"/>
                <w:b/>
                <w:color w:val="FFFFFF"/>
                <w:sz w:val="17"/>
              </w:rPr>
              <w:t>WRRA-M item</w:t>
            </w:r>
          </w:p>
        </w:tc>
      </w:tr>
      <w:tr>
        <w:trPr>
          <w:cantSplit/>
        </w:trPr>
        <w:tc>
          <w:tcPr>
            <w:tcW w:type="dxa" w:w="864"/>
            <w:tcMar>
              <w:top w:w="120" w:type="dxa"/>
              <w:start w:w="140" w:type="dxa"/>
              <w:bottom w:w="120" w:type="dxa"/>
              <w:end w:w="140" w:type="dxa"/>
            </w:tcMar>
            <w:vAlign w:val="center"/>
          </w:tcPr>
          <w:p>
            <w:pPr>
              <w:spacing w:after="0"/>
              <w:jc w:val="center"/>
            </w:pPr>
            <w:r>
              <w:rPr>
                <w:rFonts w:ascii="Aptos" w:hAnsi="Aptos"/>
                <w:sz w:val="17"/>
              </w:rPr>
              <w:t>E</w:t>
            </w:r>
          </w:p>
        </w:tc>
        <w:tc>
          <w:tcPr>
            <w:tcW w:type="dxa" w:w="2880"/>
            <w:tcMar>
              <w:top w:w="120" w:type="dxa"/>
              <w:start w:w="140" w:type="dxa"/>
              <w:bottom w:w="120" w:type="dxa"/>
              <w:end w:w="140" w:type="dxa"/>
            </w:tcMar>
            <w:vAlign w:val="center"/>
          </w:tcPr>
          <w:p>
            <w:pPr>
              <w:spacing w:after="0"/>
              <w:jc w:val="left"/>
            </w:pPr>
            <w:r>
              <w:rPr>
                <w:rFonts w:ascii="Aptos" w:hAnsi="Aptos"/>
                <w:sz w:val="17"/>
              </w:rPr>
              <w:t>Established external input</w:t>
            </w:r>
          </w:p>
        </w:tc>
        <w:tc>
          <w:tcPr>
            <w:tcW w:type="dxa" w:w="6048"/>
            <w:tcMar>
              <w:top w:w="120" w:type="dxa"/>
              <w:start w:w="140" w:type="dxa"/>
              <w:bottom w:w="120" w:type="dxa"/>
              <w:end w:w="140" w:type="dxa"/>
            </w:tcMar>
            <w:vAlign w:val="center"/>
          </w:tcPr>
          <w:p>
            <w:pPr>
              <w:spacing w:after="0"/>
              <w:jc w:val="left"/>
            </w:pPr>
            <w:r>
              <w:rPr>
                <w:rFonts w:ascii="Aptos" w:hAnsi="Aptos"/>
                <w:sz w:val="17"/>
              </w:rPr>
              <w:t>Eleven dimensional low energy limit seven dimensional compactification G2 chirality at singularities</w:t>
            </w:r>
          </w:p>
        </w:tc>
      </w:tr>
      <w:tr>
        <w:trPr>
          <w:cantSplit/>
        </w:trPr>
        <w:tc>
          <w:tcPr>
            <w:tcW w:type="dxa" w:w="864"/>
            <w:shd w:fill="EAF2F8"/>
            <w:tcMar>
              <w:top w:w="120" w:type="dxa"/>
              <w:start w:w="140" w:type="dxa"/>
              <w:bottom w:w="120" w:type="dxa"/>
              <w:end w:w="140" w:type="dxa"/>
            </w:tcMar>
            <w:vAlign w:val="center"/>
          </w:tcPr>
          <w:p>
            <w:pPr>
              <w:spacing w:after="0"/>
              <w:jc w:val="center"/>
            </w:pPr>
            <w:r>
              <w:rPr>
                <w:rFonts w:ascii="Aptos" w:hAnsi="Aptos"/>
                <w:sz w:val="17"/>
              </w:rPr>
              <w:t>D</w:t>
            </w:r>
          </w:p>
        </w:tc>
        <w:tc>
          <w:tcPr>
            <w:tcW w:type="dxa" w:w="2880"/>
            <w:shd w:fill="EAF2F8"/>
            <w:tcMar>
              <w:top w:w="120" w:type="dxa"/>
              <w:start w:w="140" w:type="dxa"/>
              <w:bottom w:w="120" w:type="dxa"/>
              <w:end w:w="140" w:type="dxa"/>
            </w:tcMar>
            <w:vAlign w:val="center"/>
          </w:tcPr>
          <w:p>
            <w:pPr>
              <w:spacing w:after="0"/>
              <w:jc w:val="left"/>
            </w:pPr>
            <w:r>
              <w:rPr>
                <w:rFonts w:ascii="Aptos" w:hAnsi="Aptos"/>
                <w:sz w:val="17"/>
              </w:rPr>
              <w:t>Architecture definition</w:t>
            </w:r>
          </w:p>
        </w:tc>
        <w:tc>
          <w:tcPr>
            <w:tcW w:type="dxa" w:w="6048"/>
            <w:shd w:fill="EAF2F8"/>
            <w:tcMar>
              <w:top w:w="120" w:type="dxa"/>
              <w:start w:w="140" w:type="dxa"/>
              <w:bottom w:w="120" w:type="dxa"/>
              <w:end w:w="140" w:type="dxa"/>
            </w:tcMar>
            <w:vAlign w:val="center"/>
          </w:tcPr>
          <w:p>
            <w:pPr>
              <w:spacing w:after="0"/>
              <w:jc w:val="left"/>
            </w:pPr>
            <w:r>
              <w:rPr>
                <w:rFonts w:ascii="Aptos" w:hAnsi="Aptos"/>
                <w:sz w:val="17"/>
              </w:rPr>
              <w:t>Predimensional P7 residue dimension filter phenotype separation</w:t>
            </w:r>
          </w:p>
        </w:tc>
      </w:tr>
      <w:tr>
        <w:trPr>
          <w:cantSplit/>
        </w:trPr>
        <w:tc>
          <w:tcPr>
            <w:tcW w:type="dxa" w:w="864"/>
            <w:tcMar>
              <w:top w:w="120" w:type="dxa"/>
              <w:start w:w="140" w:type="dxa"/>
              <w:bottom w:w="120" w:type="dxa"/>
              <w:end w:w="140" w:type="dxa"/>
            </w:tcMar>
            <w:vAlign w:val="center"/>
          </w:tcPr>
          <w:p>
            <w:pPr>
              <w:spacing w:after="0"/>
              <w:jc w:val="center"/>
            </w:pPr>
            <w:r>
              <w:rPr>
                <w:rFonts w:ascii="Aptos" w:hAnsi="Aptos"/>
                <w:sz w:val="17"/>
              </w:rPr>
              <w:t>C</w:t>
            </w:r>
          </w:p>
        </w:tc>
        <w:tc>
          <w:tcPr>
            <w:tcW w:type="dxa" w:w="2880"/>
            <w:tcMar>
              <w:top w:w="120" w:type="dxa"/>
              <w:start w:w="140" w:type="dxa"/>
              <w:bottom w:w="120" w:type="dxa"/>
              <w:end w:w="140" w:type="dxa"/>
            </w:tcMar>
            <w:vAlign w:val="center"/>
          </w:tcPr>
          <w:p>
            <w:pPr>
              <w:spacing w:after="0"/>
              <w:jc w:val="left"/>
            </w:pPr>
            <w:r>
              <w:rPr>
                <w:rFonts w:ascii="Aptos" w:hAnsi="Aptos"/>
                <w:sz w:val="17"/>
              </w:rPr>
              <w:t>Calculated within the branch</w:t>
            </w:r>
          </w:p>
        </w:tc>
        <w:tc>
          <w:tcPr>
            <w:tcW w:type="dxa" w:w="6048"/>
            <w:tcMar>
              <w:top w:w="120" w:type="dxa"/>
              <w:start w:w="140" w:type="dxa"/>
              <w:bottom w:w="120" w:type="dxa"/>
              <w:end w:w="140" w:type="dxa"/>
            </w:tcMar>
            <w:vAlign w:val="center"/>
          </w:tcPr>
          <w:p>
            <w:pPr>
              <w:spacing w:after="0"/>
              <w:jc w:val="left"/>
            </w:pPr>
            <w:r>
              <w:rPr>
                <w:rFonts w:ascii="Aptos" w:hAnsi="Aptos"/>
                <w:sz w:val="17"/>
              </w:rPr>
              <w:t>The SU 3 multiplicity equality between 1 plus 7 plus 7 and one Standard Model generation</w:t>
            </w:r>
          </w:p>
        </w:tc>
      </w:tr>
      <w:tr>
        <w:trPr>
          <w:cantSplit/>
        </w:trPr>
        <w:tc>
          <w:tcPr>
            <w:tcW w:type="dxa" w:w="864"/>
            <w:shd w:fill="EAF2F8"/>
            <w:tcMar>
              <w:top w:w="120" w:type="dxa"/>
              <w:start w:w="140" w:type="dxa"/>
              <w:bottom w:w="120" w:type="dxa"/>
              <w:end w:w="140" w:type="dxa"/>
            </w:tcMar>
            <w:vAlign w:val="center"/>
          </w:tcPr>
          <w:p>
            <w:pPr>
              <w:spacing w:after="0"/>
              <w:jc w:val="center"/>
            </w:pPr>
            <w:r>
              <w:rPr>
                <w:rFonts w:ascii="Aptos" w:hAnsi="Aptos"/>
                <w:sz w:val="17"/>
              </w:rPr>
              <w:t>H</w:t>
            </w:r>
          </w:p>
        </w:tc>
        <w:tc>
          <w:tcPr>
            <w:tcW w:type="dxa" w:w="2880"/>
            <w:shd w:fill="EAF2F8"/>
            <w:tcMar>
              <w:top w:w="120" w:type="dxa"/>
              <w:start w:w="140" w:type="dxa"/>
              <w:bottom w:w="120" w:type="dxa"/>
              <w:end w:w="140" w:type="dxa"/>
            </w:tcMar>
            <w:vAlign w:val="center"/>
          </w:tcPr>
          <w:p>
            <w:pPr>
              <w:spacing w:after="0"/>
              <w:jc w:val="left"/>
            </w:pPr>
            <w:r>
              <w:rPr>
                <w:rFonts w:ascii="Aptos" w:hAnsi="Aptos"/>
                <w:sz w:val="17"/>
              </w:rPr>
              <w:t>Testable hypothesis</w:t>
            </w:r>
          </w:p>
        </w:tc>
        <w:tc>
          <w:tcPr>
            <w:tcW w:type="dxa" w:w="6048"/>
            <w:shd w:fill="EAF2F8"/>
            <w:tcMar>
              <w:top w:w="120" w:type="dxa"/>
              <w:start w:w="140" w:type="dxa"/>
              <w:bottom w:w="120" w:type="dxa"/>
              <w:end w:w="140" w:type="dxa"/>
            </w:tcMar>
            <w:vAlign w:val="center"/>
          </w:tcPr>
          <w:p>
            <w:pPr>
              <w:spacing w:after="0"/>
              <w:jc w:val="left"/>
            </w:pPr>
            <w:r>
              <w:rPr>
                <w:rFonts w:ascii="Aptos" w:hAnsi="Aptos"/>
                <w:sz w:val="17"/>
              </w:rPr>
              <w:t>Gravity as the sole universal upstream port and dark matter as twist stress</w:t>
            </w:r>
          </w:p>
        </w:tc>
      </w:tr>
      <w:tr>
        <w:trPr>
          <w:cantSplit/>
        </w:trPr>
        <w:tc>
          <w:tcPr>
            <w:tcW w:type="dxa" w:w="864"/>
            <w:tcMar>
              <w:top w:w="120" w:type="dxa"/>
              <w:start w:w="140" w:type="dxa"/>
              <w:bottom w:w="120" w:type="dxa"/>
              <w:end w:w="140" w:type="dxa"/>
            </w:tcMar>
            <w:vAlign w:val="center"/>
          </w:tcPr>
          <w:p>
            <w:pPr>
              <w:spacing w:after="0"/>
              <w:jc w:val="center"/>
            </w:pPr>
            <w:r>
              <w:rPr>
                <w:rFonts w:ascii="Aptos" w:hAnsi="Aptos"/>
                <w:sz w:val="17"/>
              </w:rPr>
              <w:t>O</w:t>
            </w:r>
          </w:p>
        </w:tc>
        <w:tc>
          <w:tcPr>
            <w:tcW w:type="dxa" w:w="2880"/>
            <w:tcMar>
              <w:top w:w="120" w:type="dxa"/>
              <w:start w:w="140" w:type="dxa"/>
              <w:bottom w:w="120" w:type="dxa"/>
              <w:end w:w="140" w:type="dxa"/>
            </w:tcMar>
            <w:vAlign w:val="center"/>
          </w:tcPr>
          <w:p>
            <w:pPr>
              <w:spacing w:after="0"/>
              <w:jc w:val="left"/>
            </w:pPr>
            <w:r>
              <w:rPr>
                <w:rFonts w:ascii="Aptos" w:hAnsi="Aptos"/>
                <w:sz w:val="17"/>
              </w:rPr>
              <w:t>Open derivation</w:t>
            </w:r>
          </w:p>
        </w:tc>
        <w:tc>
          <w:tcPr>
            <w:tcW w:type="dxa" w:w="6048"/>
            <w:tcMar>
              <w:top w:w="120" w:type="dxa"/>
              <w:start w:w="140" w:type="dxa"/>
              <w:bottom w:w="120" w:type="dxa"/>
              <w:end w:w="140" w:type="dxa"/>
            </w:tcMar>
            <w:vAlign w:val="center"/>
          </w:tcPr>
          <w:p>
            <w:pPr>
              <w:spacing w:after="0"/>
              <w:jc w:val="left"/>
            </w:pPr>
            <w:r>
              <w:rPr>
                <w:rFonts w:ascii="Aptos" w:hAnsi="Aptos"/>
                <w:sz w:val="17"/>
              </w:rPr>
              <w:t>SU 2 pairing hypercharge three generations masses and numerical dark stress law</w:t>
            </w:r>
          </w:p>
        </w:tc>
      </w:tr>
    </w:tbl>
    <w:p>
      <w:pPr>
        <w:spacing w:after="20"/>
      </w:pPr>
    </w:p>
    <w:p>
      <w:pPr>
        <w:pStyle w:val="Heading1"/>
      </w:pPr>
      <w:r>
        <w:t>Next calculations</w:t>
      </w:r>
    </w:p>
    <w:p>
      <w:pPr>
        <w:pStyle w:val="ListNumber"/>
        <w:spacing w:after="80"/>
      </w:pPr>
      <w:r>
        <w:rPr>
          <w:rFonts w:ascii="Aptos" w:hAnsi="Aptos"/>
        </w:rPr>
        <w:t>Define the two oriented seven sectors from the transition and residue equations instead of postulating two copies.</w:t>
      </w:r>
    </w:p>
    <w:p>
      <w:pPr>
        <w:pStyle w:val="ListNumber"/>
        <w:spacing w:after="80"/>
      </w:pPr>
      <w:r>
        <w:rPr>
          <w:rFonts w:ascii="Aptos" w:hAnsi="Aptos"/>
        </w:rPr>
        <w:t>Construct a dimension filter that pairs the two triplets into Q L and the two appropriate singlets into L L while leaving the antitriplets as weak singlets.</w:t>
      </w:r>
    </w:p>
    <w:p>
      <w:pPr>
        <w:pStyle w:val="ListNumber"/>
        <w:spacing w:after="80"/>
      </w:pPr>
      <w:r>
        <w:rPr>
          <w:rFonts w:ascii="Aptos" w:hAnsi="Aptos"/>
        </w:rPr>
        <w:t>Derive one hypercharge operator on the full fifteen channel space. Calibrate only its minimum free parameters and reproduce all anomaly cancellations.</w:t>
      </w:r>
    </w:p>
    <w:p>
      <w:pPr>
        <w:pStyle w:val="ListNumber"/>
        <w:spacing w:after="80"/>
      </w:pPr>
      <w:r>
        <w:rPr>
          <w:rFonts w:ascii="Aptos" w:hAnsi="Aptos"/>
        </w:rPr>
        <w:t>Test whether the WJNS null state naturally has the sterile quantum numbers of a right handed neutrino and whether its activation generates a neutrino mass scale.</w:t>
      </w:r>
    </w:p>
    <w:p>
      <w:pPr>
        <w:pStyle w:val="ListNumber"/>
        <w:spacing w:after="80"/>
      </w:pPr>
      <w:r>
        <w:rPr>
          <w:rFonts w:ascii="Aptos" w:hAnsi="Aptos"/>
        </w:rPr>
        <w:t>Specify the kinetic metric K and derive a Lorentzian three plus one metric with the residue order as the timelike direction.</w:t>
      </w:r>
    </w:p>
    <w:p>
      <w:pPr>
        <w:pStyle w:val="ListNumber"/>
        <w:spacing w:after="80"/>
      </w:pPr>
      <w:r>
        <w:rPr>
          <w:rFonts w:ascii="Aptos" w:hAnsi="Aptos"/>
        </w:rPr>
        <w:t>Derive a transferable twist stress profile and test it against galaxy rotation gravitational lensing cluster dynamics and cosmological structure with one parameter policy.</w:t>
      </w:r>
    </w:p>
    <w:p>
      <w:pPr>
        <w:pStyle w:val="ListNumber"/>
        <w:spacing w:after="80"/>
      </w:pPr>
      <w:r>
        <w:rPr>
          <w:rFonts w:ascii="Aptos" w:hAnsi="Aptos"/>
        </w:rPr>
        <w:t>Map the established WRRA fifteen channel implementation to the new one plus seven plus seven basis and identify whether the two descriptions are equivalent or one is more restrictive.</w:t>
      </w:r>
    </w:p>
    <w:p>
      <w:pPr>
        <w:pStyle w:val="Heading1"/>
        <w:pageBreakBefore/>
      </w:pPr>
      <w:r>
        <w:t>Minimum success conditions</w:t>
      </w:r>
    </w:p>
    <w:p>
      <w:pPr>
        <w:pStyle w:val="ListBullet"/>
        <w:spacing w:after="60"/>
      </w:pPr>
      <w:r>
        <w:rPr>
          <w:rFonts w:ascii="Aptos" w:hAnsi="Aptos"/>
        </w:rPr>
        <w:t>The filter produces rank four local spacetime with one timelike direction.</w:t>
      </w:r>
    </w:p>
    <w:p>
      <w:pPr>
        <w:pStyle w:val="ListBullet"/>
        <w:spacing w:after="60"/>
      </w:pPr>
      <w:r>
        <w:rPr>
          <w:rFonts w:ascii="Aptos" w:hAnsi="Aptos"/>
        </w:rPr>
        <w:t>The channel projector has rank fifteen and recovers the full Standard Model gauge assignments for one generation.</w:t>
      </w:r>
    </w:p>
    <w:p>
      <w:pPr>
        <w:pStyle w:val="ListBullet"/>
        <w:spacing w:after="60"/>
      </w:pPr>
      <w:r>
        <w:rPr>
          <w:rFonts w:ascii="Aptos" w:hAnsi="Aptos"/>
        </w:rPr>
        <w:t>All gauge and mixed anomalies cancel from the derived operator.</w:t>
      </w:r>
    </w:p>
    <w:p>
      <w:pPr>
        <w:pStyle w:val="ListBullet"/>
        <w:spacing w:after="60"/>
      </w:pPr>
      <w:r>
        <w:rPr>
          <w:rFonts w:ascii="Aptos" w:hAnsi="Aptos"/>
        </w:rPr>
        <w:t>Gravity couples to the complete upstream load while the other interactions remain current selective.</w:t>
      </w:r>
    </w:p>
    <w:p>
      <w:pPr>
        <w:pStyle w:val="ListBullet"/>
        <w:spacing w:after="60"/>
      </w:pPr>
      <w:r>
        <w:rPr>
          <w:rFonts w:ascii="Aptos" w:hAnsi="Aptos"/>
        </w:rPr>
        <w:t>One twist stress law covers the main dark matter observables without object specific tuning.</w:t>
      </w:r>
    </w:p>
    <w:p>
      <w:pPr>
        <w:pStyle w:val="ListBullet"/>
        <w:spacing w:after="60"/>
      </w:pPr>
      <w:r>
        <w:rPr>
          <w:rFonts w:ascii="Aptos" w:hAnsi="Aptos"/>
        </w:rPr>
        <w:t>The null state extension either yields a consistent sterile channel or is rejected.</w:t>
      </w:r>
    </w:p>
    <w:p>
      <w:pPr>
        <w:pStyle w:val="Heading1"/>
      </w:pPr>
      <w:r>
        <w:t>Conclusion</w:t>
      </w:r>
    </w:p>
    <w:p>
      <w:pPr>
        <w:keepLines w:val="0"/>
      </w:pPr>
      <w:r>
        <w:rPr>
          <w:rFonts w:ascii="Aptos" w:hAnsi="Aptos"/>
          <w:i w:val="0"/>
        </w:rPr>
        <w:t>WRRA-M begins with one exact structural result and several explicit open problems. The exact result is the color sector identity between one invariant channel plus two G2 seven sectors and the fifteen Weyl channels of one Standard Model generation. The open problems are decisive. Weak pairing, hypercharge, chirality, generations, mass, and the numerical twist stress law must be derived. The branch will remain separate from WRRA Core 1.0 until those tests are passed.</w:t>
      </w:r>
    </w:p>
    <w:p>
      <w:pPr>
        <w:keepLines w:val="0"/>
      </w:pPr>
      <w:r>
        <w:rPr>
          <w:rFonts w:ascii="Aptos" w:hAnsi="Aptos"/>
          <w:i w:val="0"/>
        </w:rPr>
        <w:t>The working interpretation is concise. The seven internal dimensions of M theory may be the geometric calculation of seven predimensional degrees. The dimension filter renders their finite phenotype. Gravity is the inherited metric of the full upstream state. Dark matter is the gravitational remainder of what the phenotype does not display.</w:t>
      </w:r>
    </w:p>
    <w:p>
      <w:r>
        <w:br w:type="page"/>
      </w:r>
    </w:p>
    <w:p>
      <w:pPr>
        <w:pStyle w:val="Heading1"/>
      </w:pPr>
      <w:r>
        <w:t>Appendix A First calculation in compact form</w:t>
      </w:r>
    </w:p>
    <w:p>
      <w:pPr>
        <w:keepLines/>
        <w:spacing w:before="80" w:after="100"/>
        <w:jc w:val="center"/>
      </w:pPr>
      <w:r>
        <w:drawing>
          <wp:inline xmlns:a="http://schemas.openxmlformats.org/drawingml/2006/main" xmlns:pic="http://schemas.openxmlformats.org/drawingml/2006/picture">
            <wp:extent cx="2926080" cy="305280"/>
            <wp:docPr id="16" name="Picture 16"/>
            <wp:cNvGraphicFramePr>
              <a:graphicFrameLocks noChangeAspect="1"/>
            </wp:cNvGraphicFramePr>
            <a:graphic>
              <a:graphicData uri="http://schemas.openxmlformats.org/drawingml/2006/picture">
                <pic:pic>
                  <pic:nvPicPr>
                    <pic:cNvPr id="0" name="eq_08.png"/>
                    <pic:cNvPicPr/>
                  </pic:nvPicPr>
                  <pic:blipFill>
                    <a:blip r:embed="rId10"/>
                    <a:stretch>
                      <a:fillRect/>
                    </a:stretch>
                  </pic:blipFill>
                  <pic:spPr>
                    <a:xfrm>
                      <a:off x="0" y="0"/>
                      <a:ext cx="2926080" cy="305280"/>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3383280" cy="352980"/>
            <wp:docPr id="17" name="Picture 17"/>
            <wp:cNvGraphicFramePr>
              <a:graphicFrameLocks noChangeAspect="1"/>
            </wp:cNvGraphicFramePr>
            <a:graphic>
              <a:graphicData uri="http://schemas.openxmlformats.org/drawingml/2006/picture">
                <pic:pic>
                  <pic:nvPicPr>
                    <pic:cNvPr id="0" name="eq_09.png"/>
                    <pic:cNvPicPr/>
                  </pic:nvPicPr>
                  <pic:blipFill>
                    <a:blip r:embed="rId11"/>
                    <a:stretch>
                      <a:fillRect/>
                    </a:stretch>
                  </pic:blipFill>
                  <pic:spPr>
                    <a:xfrm>
                      <a:off x="0" y="0"/>
                      <a:ext cx="3383280" cy="352980"/>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4754880" cy="496080"/>
            <wp:docPr id="18" name="Picture 18"/>
            <wp:cNvGraphicFramePr>
              <a:graphicFrameLocks noChangeAspect="1"/>
            </wp:cNvGraphicFramePr>
            <a:graphic>
              <a:graphicData uri="http://schemas.openxmlformats.org/drawingml/2006/picture">
                <pic:pic>
                  <pic:nvPicPr>
                    <pic:cNvPr id="0" name="eq_10.png"/>
                    <pic:cNvPicPr/>
                  </pic:nvPicPr>
                  <pic:blipFill>
                    <a:blip r:embed="rId12"/>
                    <a:stretch>
                      <a:fillRect/>
                    </a:stretch>
                  </pic:blipFill>
                  <pic:spPr>
                    <a:xfrm>
                      <a:off x="0" y="0"/>
                      <a:ext cx="4754880" cy="49608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448"/>
            <w:shd w:fill="18324A"/>
            <w:tcMar>
              <w:top w:w="120" w:type="dxa"/>
              <w:start w:w="140" w:type="dxa"/>
              <w:bottom w:w="120" w:type="dxa"/>
              <w:end w:w="140" w:type="dxa"/>
            </w:tcMar>
            <w:vAlign w:val="center"/>
          </w:tcPr>
          <w:p>
            <w:pPr>
              <w:spacing w:after="0"/>
              <w:jc w:val="center"/>
            </w:pPr>
            <w:r>
              <w:rPr>
                <w:rFonts w:ascii="Aptos" w:hAnsi="Aptos"/>
                <w:b/>
                <w:color w:val="FFFFFF"/>
                <w:sz w:val="18"/>
              </w:rPr>
              <w:t>Color content</w:t>
            </w:r>
          </w:p>
        </w:tc>
        <w:tc>
          <w:tcPr>
            <w:tcW w:type="dxa" w:w="2448"/>
            <w:shd w:fill="18324A"/>
            <w:tcMar>
              <w:top w:w="120" w:type="dxa"/>
              <w:start w:w="140" w:type="dxa"/>
              <w:bottom w:w="120" w:type="dxa"/>
              <w:end w:w="140" w:type="dxa"/>
            </w:tcMar>
            <w:vAlign w:val="center"/>
          </w:tcPr>
          <w:p>
            <w:pPr>
              <w:spacing w:after="0"/>
              <w:jc w:val="center"/>
            </w:pPr>
            <w:r>
              <w:rPr>
                <w:rFonts w:ascii="Aptos" w:hAnsi="Aptos"/>
                <w:b/>
                <w:color w:val="FFFFFF"/>
                <w:sz w:val="18"/>
              </w:rPr>
              <w:t>WRRA-M count</w:t>
            </w:r>
          </w:p>
        </w:tc>
        <w:tc>
          <w:tcPr>
            <w:tcW w:type="dxa" w:w="4608"/>
            <w:shd w:fill="18324A"/>
            <w:tcMar>
              <w:top w:w="120" w:type="dxa"/>
              <w:start w:w="140" w:type="dxa"/>
              <w:bottom w:w="120" w:type="dxa"/>
              <w:end w:w="140" w:type="dxa"/>
            </w:tcMar>
            <w:vAlign w:val="center"/>
          </w:tcPr>
          <w:p>
            <w:pPr>
              <w:spacing w:after="0"/>
              <w:jc w:val="center"/>
            </w:pPr>
            <w:r>
              <w:rPr>
                <w:rFonts w:ascii="Aptos" w:hAnsi="Aptos"/>
                <w:b/>
                <w:color w:val="FFFFFF"/>
                <w:sz w:val="18"/>
              </w:rPr>
              <w:t>Standard Model one generation</w:t>
            </w:r>
          </w:p>
        </w:tc>
      </w:tr>
      <w:tr>
        <w:trPr>
          <w:cantSplit/>
        </w:trPr>
        <w:tc>
          <w:tcPr>
            <w:tcW w:type="dxa" w:w="2448"/>
            <w:tcMar>
              <w:top w:w="120" w:type="dxa"/>
              <w:start w:w="140" w:type="dxa"/>
              <w:bottom w:w="120" w:type="dxa"/>
              <w:end w:w="140" w:type="dxa"/>
            </w:tcMar>
            <w:vAlign w:val="center"/>
          </w:tcPr>
          <w:p>
            <w:pPr>
              <w:spacing w:after="0"/>
              <w:jc w:val="center"/>
            </w:pPr>
            <w:r>
              <w:rPr>
                <w:rFonts w:ascii="Aptos" w:hAnsi="Aptos"/>
                <w:sz w:val="18"/>
              </w:rPr>
              <w:t>Triplet</w:t>
            </w:r>
          </w:p>
        </w:tc>
        <w:tc>
          <w:tcPr>
            <w:tcW w:type="dxa" w:w="2448"/>
            <w:tcMar>
              <w:top w:w="120" w:type="dxa"/>
              <w:start w:w="140" w:type="dxa"/>
              <w:bottom w:w="120" w:type="dxa"/>
              <w:end w:w="140" w:type="dxa"/>
            </w:tcMar>
            <w:vAlign w:val="center"/>
          </w:tcPr>
          <w:p>
            <w:pPr>
              <w:spacing w:after="0"/>
              <w:jc w:val="center"/>
            </w:pPr>
            <w:r>
              <w:rPr>
                <w:rFonts w:ascii="Aptos" w:hAnsi="Aptos"/>
                <w:sz w:val="18"/>
              </w:rPr>
              <w:t>2</w:t>
            </w:r>
          </w:p>
        </w:tc>
        <w:tc>
          <w:tcPr>
            <w:tcW w:type="dxa" w:w="4608"/>
            <w:tcMar>
              <w:top w:w="120" w:type="dxa"/>
              <w:start w:w="140" w:type="dxa"/>
              <w:bottom w:w="120" w:type="dxa"/>
              <w:end w:w="140" w:type="dxa"/>
            </w:tcMar>
            <w:vAlign w:val="center"/>
          </w:tcPr>
          <w:p>
            <w:pPr>
              <w:spacing w:after="0"/>
              <w:jc w:val="left"/>
            </w:pPr>
            <w:r>
              <w:rPr>
                <w:rFonts w:ascii="Aptos" w:hAnsi="Aptos"/>
                <w:sz w:val="18"/>
              </w:rPr>
              <w:t>Q L contains two</w:t>
            </w:r>
          </w:p>
        </w:tc>
      </w:tr>
      <w:tr>
        <w:trPr>
          <w:cantSplit/>
        </w:trPr>
        <w:tc>
          <w:tcPr>
            <w:tcW w:type="dxa" w:w="2448"/>
            <w:shd w:fill="EAF2F8"/>
            <w:tcMar>
              <w:top w:w="120" w:type="dxa"/>
              <w:start w:w="140" w:type="dxa"/>
              <w:bottom w:w="120" w:type="dxa"/>
              <w:end w:w="140" w:type="dxa"/>
            </w:tcMar>
            <w:vAlign w:val="center"/>
          </w:tcPr>
          <w:p>
            <w:pPr>
              <w:spacing w:after="0"/>
              <w:jc w:val="center"/>
            </w:pPr>
            <w:r>
              <w:rPr>
                <w:rFonts w:ascii="Aptos" w:hAnsi="Aptos"/>
                <w:sz w:val="18"/>
              </w:rPr>
              <w:t>Antitriplet</w:t>
            </w:r>
          </w:p>
        </w:tc>
        <w:tc>
          <w:tcPr>
            <w:tcW w:type="dxa" w:w="2448"/>
            <w:shd w:fill="EAF2F8"/>
            <w:tcMar>
              <w:top w:w="120" w:type="dxa"/>
              <w:start w:w="140" w:type="dxa"/>
              <w:bottom w:w="120" w:type="dxa"/>
              <w:end w:w="140" w:type="dxa"/>
            </w:tcMar>
            <w:vAlign w:val="center"/>
          </w:tcPr>
          <w:p>
            <w:pPr>
              <w:spacing w:after="0"/>
              <w:jc w:val="center"/>
            </w:pPr>
            <w:r>
              <w:rPr>
                <w:rFonts w:ascii="Aptos" w:hAnsi="Aptos"/>
                <w:sz w:val="18"/>
              </w:rPr>
              <w:t>2</w:t>
            </w:r>
          </w:p>
        </w:tc>
        <w:tc>
          <w:tcPr>
            <w:tcW w:type="dxa" w:w="4608"/>
            <w:shd w:fill="EAF2F8"/>
            <w:tcMar>
              <w:top w:w="120" w:type="dxa"/>
              <w:start w:w="140" w:type="dxa"/>
              <w:bottom w:w="120" w:type="dxa"/>
              <w:end w:w="140" w:type="dxa"/>
            </w:tcMar>
            <w:vAlign w:val="center"/>
          </w:tcPr>
          <w:p>
            <w:pPr>
              <w:spacing w:after="0"/>
              <w:jc w:val="center"/>
            </w:pPr>
            <w:r>
              <w:rPr>
                <w:rFonts w:ascii="Aptos" w:hAnsi="Aptos"/>
                <w:sz w:val="18"/>
              </w:rPr>
              <w:t>u c and d c</w:t>
            </w:r>
          </w:p>
        </w:tc>
      </w:tr>
      <w:tr>
        <w:trPr>
          <w:cantSplit/>
        </w:trPr>
        <w:tc>
          <w:tcPr>
            <w:tcW w:type="dxa" w:w="2448"/>
            <w:tcMar>
              <w:top w:w="120" w:type="dxa"/>
              <w:start w:w="140" w:type="dxa"/>
              <w:bottom w:w="120" w:type="dxa"/>
              <w:end w:w="140" w:type="dxa"/>
            </w:tcMar>
            <w:vAlign w:val="center"/>
          </w:tcPr>
          <w:p>
            <w:pPr>
              <w:spacing w:after="0"/>
              <w:jc w:val="center"/>
            </w:pPr>
            <w:r>
              <w:rPr>
                <w:rFonts w:ascii="Aptos" w:hAnsi="Aptos"/>
                <w:sz w:val="18"/>
              </w:rPr>
              <w:t>Singlet</w:t>
            </w:r>
          </w:p>
        </w:tc>
        <w:tc>
          <w:tcPr>
            <w:tcW w:type="dxa" w:w="2448"/>
            <w:tcMar>
              <w:top w:w="120" w:type="dxa"/>
              <w:start w:w="140" w:type="dxa"/>
              <w:bottom w:w="120" w:type="dxa"/>
              <w:end w:w="140" w:type="dxa"/>
            </w:tcMar>
            <w:vAlign w:val="center"/>
          </w:tcPr>
          <w:p>
            <w:pPr>
              <w:spacing w:after="0"/>
              <w:jc w:val="center"/>
            </w:pPr>
            <w:r>
              <w:rPr>
                <w:rFonts w:ascii="Aptos" w:hAnsi="Aptos"/>
                <w:sz w:val="18"/>
              </w:rPr>
              <w:t>3</w:t>
            </w:r>
          </w:p>
        </w:tc>
        <w:tc>
          <w:tcPr>
            <w:tcW w:type="dxa" w:w="4608"/>
            <w:tcMar>
              <w:top w:w="120" w:type="dxa"/>
              <w:start w:w="140" w:type="dxa"/>
              <w:bottom w:w="120" w:type="dxa"/>
              <w:end w:w="140" w:type="dxa"/>
            </w:tcMar>
            <w:vAlign w:val="center"/>
          </w:tcPr>
          <w:p>
            <w:pPr>
              <w:spacing w:after="0"/>
              <w:jc w:val="left"/>
            </w:pPr>
            <w:r>
              <w:rPr>
                <w:rFonts w:ascii="Aptos" w:hAnsi="Aptos"/>
                <w:sz w:val="18"/>
              </w:rPr>
              <w:t>Two in L L and one e c</w:t>
            </w:r>
          </w:p>
        </w:tc>
      </w:tr>
      <w:tr>
        <w:trPr>
          <w:cantSplit/>
        </w:trPr>
        <w:tc>
          <w:tcPr>
            <w:tcW w:type="dxa" w:w="2448"/>
            <w:shd w:fill="EAF2F8"/>
            <w:tcMar>
              <w:top w:w="120" w:type="dxa"/>
              <w:start w:w="140" w:type="dxa"/>
              <w:bottom w:w="120" w:type="dxa"/>
              <w:end w:w="140" w:type="dxa"/>
            </w:tcMar>
            <w:vAlign w:val="center"/>
          </w:tcPr>
          <w:p>
            <w:pPr>
              <w:spacing w:after="0"/>
              <w:jc w:val="left"/>
            </w:pPr>
            <w:r>
              <w:rPr>
                <w:rFonts w:ascii="Aptos" w:hAnsi="Aptos"/>
                <w:sz w:val="18"/>
              </w:rPr>
              <w:t>Total Weyl channels</w:t>
            </w:r>
          </w:p>
        </w:tc>
        <w:tc>
          <w:tcPr>
            <w:tcW w:type="dxa" w:w="2448"/>
            <w:shd w:fill="EAF2F8"/>
            <w:tcMar>
              <w:top w:w="120" w:type="dxa"/>
              <w:start w:w="140" w:type="dxa"/>
              <w:bottom w:w="120" w:type="dxa"/>
              <w:end w:w="140" w:type="dxa"/>
            </w:tcMar>
            <w:vAlign w:val="center"/>
          </w:tcPr>
          <w:p>
            <w:pPr>
              <w:spacing w:after="0"/>
              <w:jc w:val="center"/>
            </w:pPr>
            <w:r>
              <w:rPr>
                <w:rFonts w:ascii="Aptos" w:hAnsi="Aptos"/>
                <w:sz w:val="18"/>
              </w:rPr>
              <w:t>15</w:t>
            </w:r>
          </w:p>
        </w:tc>
        <w:tc>
          <w:tcPr>
            <w:tcW w:type="dxa" w:w="4608"/>
            <w:shd w:fill="EAF2F8"/>
            <w:tcMar>
              <w:top w:w="120" w:type="dxa"/>
              <w:start w:w="140" w:type="dxa"/>
              <w:bottom w:w="120" w:type="dxa"/>
              <w:end w:w="140" w:type="dxa"/>
            </w:tcMar>
            <w:vAlign w:val="center"/>
          </w:tcPr>
          <w:p>
            <w:pPr>
              <w:spacing w:after="0"/>
              <w:jc w:val="center"/>
            </w:pPr>
            <w:r>
              <w:rPr>
                <w:rFonts w:ascii="Aptos" w:hAnsi="Aptos"/>
                <w:sz w:val="18"/>
              </w:rPr>
              <w:t>15</w:t>
            </w:r>
          </w:p>
        </w:tc>
      </w:tr>
    </w:tbl>
    <w:p>
      <w:pPr>
        <w:spacing w:after="20"/>
      </w:pPr>
    </w:p>
    <w:p>
      <w:pPr>
        <w:keepLines w:val="0"/>
      </w:pPr>
      <w:r>
        <w:rPr>
          <w:rFonts w:ascii="Aptos" w:hAnsi="Aptos"/>
          <w:i w:val="0"/>
        </w:rPr>
        <w:t>Interpretive boundary  The equality is exact under SU 3 color restriction. It is not yet an equality of full SU 3 times SU 2 times U 1 representations.</w:t>
      </w:r>
    </w:p>
    <w:p>
      <w:pPr>
        <w:pStyle w:val="Heading1"/>
      </w:pPr>
      <w:r>
        <w:t>Appendix B References</w:t>
      </w:r>
    </w:p>
    <w:p>
      <w:pPr>
        <w:spacing w:after="140"/>
        <w:ind w:left="259" w:hanging="259"/>
      </w:pPr>
      <w:r>
        <w:rPr>
          <w:rFonts w:ascii="Aptos" w:hAnsi="Aptos"/>
          <w:b/>
          <w:sz w:val="19"/>
        </w:rPr>
        <w:t xml:space="preserve">[1] </w:t>
      </w:r>
      <w:r>
        <w:rPr>
          <w:rFonts w:ascii="Aptos" w:hAnsi="Aptos"/>
          <w:sz w:val="19"/>
        </w:rPr>
        <w:t>Edward Witten  String Theory Dynamics in Various Dimensions  Nuclear Physics B 443 1995 85 to 126</w:t>
        <w:br/>
      </w:r>
      <w:r>
        <w:rPr>
          <w:rFonts w:ascii="Aptos" w:hAnsi="Aptos"/>
          <w:color w:val="245A83"/>
          <w:sz w:val="17"/>
        </w:rPr>
        <w:t>https://arxiv.org/abs/hep-th/9503124</w:t>
      </w:r>
    </w:p>
    <w:p>
      <w:pPr>
        <w:spacing w:after="140"/>
        <w:ind w:left="259" w:hanging="259"/>
      </w:pPr>
      <w:r>
        <w:rPr>
          <w:rFonts w:ascii="Aptos" w:hAnsi="Aptos"/>
          <w:b/>
          <w:sz w:val="19"/>
        </w:rPr>
        <w:t xml:space="preserve">[2] </w:t>
      </w:r>
      <w:r>
        <w:rPr>
          <w:rFonts w:ascii="Aptos" w:hAnsi="Aptos"/>
          <w:sz w:val="19"/>
        </w:rPr>
        <w:t>Aaron Kennon  G2 Manifolds and M Theory Compactifications  2018</w:t>
        <w:br/>
      </w:r>
      <w:r>
        <w:rPr>
          <w:rFonts w:ascii="Aptos" w:hAnsi="Aptos"/>
          <w:color w:val="245A83"/>
          <w:sz w:val="17"/>
        </w:rPr>
        <w:t>https://arxiv.org/abs/1810.12659</w:t>
      </w:r>
    </w:p>
    <w:p>
      <w:pPr>
        <w:spacing w:after="140"/>
        <w:ind w:left="259" w:hanging="259"/>
      </w:pPr>
      <w:r>
        <w:rPr>
          <w:rFonts w:ascii="Aptos" w:hAnsi="Aptos"/>
          <w:b/>
          <w:sz w:val="19"/>
        </w:rPr>
        <w:t xml:space="preserve">[3] </w:t>
      </w:r>
      <w:r>
        <w:rPr>
          <w:rFonts w:ascii="Aptos" w:hAnsi="Aptos"/>
          <w:sz w:val="19"/>
        </w:rPr>
        <w:t>Bobby Acharya and Edward Witten  Chiral Fermions from Manifolds of G2 Holonomy  2001</w:t>
        <w:br/>
      </w:r>
      <w:r>
        <w:rPr>
          <w:rFonts w:ascii="Aptos" w:hAnsi="Aptos"/>
          <w:color w:val="245A83"/>
          <w:sz w:val="17"/>
        </w:rPr>
        <w:t>https://arxiv.org/abs/hep-th/0109152</w:t>
      </w:r>
    </w:p>
    <w:p>
      <w:pPr>
        <w:spacing w:after="140"/>
        <w:ind w:left="259" w:hanging="259"/>
      </w:pPr>
      <w:r>
        <w:rPr>
          <w:rFonts w:ascii="Aptos" w:hAnsi="Aptos"/>
          <w:b/>
          <w:sz w:val="19"/>
        </w:rPr>
        <w:t xml:space="preserve">[4] </w:t>
      </w:r>
      <w:r>
        <w:rPr>
          <w:rFonts w:ascii="Aptos" w:hAnsi="Aptos"/>
          <w:sz w:val="19"/>
        </w:rPr>
        <w:t>Edward Witten  Anomaly Cancellation on Manifolds of G2 Holonomy  2001</w:t>
        <w:br/>
      </w:r>
      <w:r>
        <w:rPr>
          <w:rFonts w:ascii="Aptos" w:hAnsi="Aptos"/>
          <w:color w:val="245A83"/>
          <w:sz w:val="17"/>
        </w:rPr>
        <w:t>https://arxiv.org/abs/hep-th/0108165</w:t>
      </w:r>
    </w:p>
    <w:p>
      <w:pPr>
        <w:spacing w:after="140"/>
        <w:ind w:left="259" w:hanging="259"/>
      </w:pPr>
      <w:r>
        <w:rPr>
          <w:rFonts w:ascii="Aptos" w:hAnsi="Aptos"/>
          <w:b/>
          <w:sz w:val="19"/>
        </w:rPr>
        <w:t xml:space="preserve">[5] </w:t>
      </w:r>
      <w:r>
        <w:rPr>
          <w:rFonts w:ascii="Aptos" w:hAnsi="Aptos"/>
          <w:sz w:val="19"/>
        </w:rPr>
        <w:t>An exceptional G2 extension of the Standard Model from Cayley Dickson automorphism groups  Scientific Reports 2021</w:t>
        <w:br/>
      </w:r>
      <w:r>
        <w:rPr>
          <w:rFonts w:ascii="Aptos" w:hAnsi="Aptos"/>
          <w:color w:val="245A83"/>
          <w:sz w:val="17"/>
        </w:rPr>
        <w:t>https://doi.org/10.1038/s41598-021-01814-1</w:t>
      </w:r>
    </w:p>
    <w:p>
      <w:pPr>
        <w:spacing w:after="140"/>
        <w:ind w:left="259" w:hanging="259"/>
      </w:pPr>
      <w:r>
        <w:rPr>
          <w:rFonts w:ascii="Aptos" w:hAnsi="Aptos"/>
          <w:b/>
          <w:sz w:val="19"/>
        </w:rPr>
        <w:t xml:space="preserve">[6] </w:t>
      </w:r>
      <w:r>
        <w:rPr>
          <w:rFonts w:ascii="Aptos" w:hAnsi="Aptos"/>
          <w:sz w:val="19"/>
        </w:rPr>
        <w:t>CERN  The Standard Model of Particle Physics  CERN 2016 005</w:t>
        <w:br/>
      </w:r>
      <w:r>
        <w:rPr>
          <w:rFonts w:ascii="Aptos" w:hAnsi="Aptos"/>
          <w:color w:val="245A83"/>
          <w:sz w:val="17"/>
        </w:rPr>
        <w:t>https://cds.cern.ch/record/1966030</w:t>
      </w:r>
    </w:p>
    <w:p>
      <w:pPr>
        <w:spacing w:after="140"/>
        <w:ind w:left="259" w:hanging="259"/>
      </w:pPr>
      <w:r>
        <w:rPr>
          <w:rFonts w:ascii="Aptos" w:hAnsi="Aptos"/>
          <w:b/>
          <w:sz w:val="19"/>
        </w:rPr>
        <w:t xml:space="preserve">[7] </w:t>
      </w:r>
      <w:r>
        <w:rPr>
          <w:rFonts w:ascii="Aptos" w:hAnsi="Aptos"/>
          <w:sz w:val="19"/>
        </w:rPr>
        <w:t>Particle Data Group  Standard Model and Related Topics  2025</w:t>
        <w:br/>
      </w:r>
      <w:r>
        <w:rPr>
          <w:rFonts w:ascii="Aptos" w:hAnsi="Aptos"/>
          <w:color w:val="245A83"/>
          <w:sz w:val="17"/>
        </w:rPr>
        <w:t>https://pdg.lbl.gov/2025/reviews/standard_model_and_related.html</w:t>
      </w:r>
    </w:p>
    <w:sectPr w:rsidR="00FC693F" w:rsidRPr="0006063C" w:rsidSect="00034616">
      <w:footerReference w:type="default" r:id="rId9"/>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17C"/>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before="60" w:after="160"/>
    </w:pPr>
    <w:rPr>
      <w:rFonts w:ascii="Aptos" w:hAnsi="Aptos"/>
      <w:i/>
      <w:color w:val="66717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Foundational Architecture and First Structural Calculation</dc:title>
  <dc:subject>Seven predimensional degrees dimension filtering gravity and fifteen chiral channels</dc:subject>
  <dc:creator>Wonsik Choi</dc:creator>
  <cp:keywords>WRRA-M, dimension filter, M theory, G2, fifteen chiral channels, gravity, dark matter</cp:keywords>
  <dc:description>Exploratory research branch independent of WRRA Core 1.0</dc:description>
  <cp:lastModifiedBy/>
  <cp:revision>1</cp:revision>
  <dcterms:created xsi:type="dcterms:W3CDTF">2013-12-23T23:15:00Z</dcterms:created>
  <dcterms:modified xsi:type="dcterms:W3CDTF">2013-12-23T23:15:00Z</dcterms:modified>
  <cp:category/>
</cp:coreProperties>
</file>