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WRRA-M</w:t>
      </w:r>
      <w:r>
        <w:t xml:space="preserve"> </w:t>
      </w:r>
      <w:r>
        <w:t xml:space="preserve">0.4</w:t>
      </w:r>
      <w:r>
        <w:t xml:space="preserve"> </w:t>
      </w:r>
      <w:r>
        <w:t xml:space="preserve">Common-Carrier</w:t>
      </w:r>
      <w:r>
        <w:t xml:space="preserve"> </w:t>
      </w:r>
      <w:r>
        <w:t xml:space="preserve">Metric</w:t>
      </w:r>
      <w:r>
        <w:t xml:space="preserve"> </w:t>
      </w:r>
      <w:r>
        <w:t xml:space="preserve">Origin</w:t>
      </w:r>
      <w:r>
        <w:t xml:space="preserve"> </w:t>
      </w:r>
      <w:r>
        <w:t xml:space="preserve">of</w:t>
      </w:r>
      <w:r>
        <w:t xml:space="preserve"> </w:t>
      </w:r>
      <w:r>
        <w:t xml:space="preserve">Filter</w:t>
      </w:r>
      <w:r>
        <w:t xml:space="preserve"> </w:t>
      </w:r>
      <w:r>
        <w:t xml:space="preserve">Compatibility</w:t>
      </w:r>
    </w:p>
    <w:p>
      <w:pPr>
        <w:pStyle w:val="Subtitle"/>
      </w:pPr>
      <w:r>
        <w:t xml:space="preserve">Fifteen-to-Sixteen-Channel</w:t>
      </w:r>
      <w:r>
        <w:t xml:space="preserve"> </w:t>
      </w:r>
      <w:r>
        <w:t xml:space="preserve">Extension,</w:t>
      </w:r>
      <w:r>
        <w:t xml:space="preserve"> </w:t>
      </w:r>
      <w:r>
        <w:t xml:space="preserve">Null-Lift</w:t>
      </w:r>
      <w:r>
        <w:t xml:space="preserve"> </w:t>
      </w:r>
      <w:r>
        <w:t xml:space="preserve">Criterion,</w:t>
      </w:r>
      <w:r>
        <w:t xml:space="preserve"> </w:t>
      </w:r>
      <w:r>
        <w:t xml:space="preserve">and</w:t>
      </w:r>
      <w:r>
        <w:t xml:space="preserve"> </w:t>
      </w:r>
      <w:r>
        <w:t xml:space="preserve">Exact</w:t>
      </w:r>
      <w:r>
        <w:t xml:space="preserve"> </w:t>
      </w:r>
      <w:r>
        <w:t xml:space="preserve">Selection-Gap</w:t>
      </w:r>
      <w:r>
        <w:t xml:space="preserve"> </w:t>
      </w:r>
      <w:r>
        <w:t xml:space="preserve">Identities</w:t>
      </w:r>
    </w:p>
    <w:p>
      <w:pPr>
        <w:pStyle w:val="Author"/>
        <w:spacing w:after="40"/>
        <w:jc w:val="center"/>
      </w:pPr>
      <w:r>
        <w:rPr>
          <w:rFonts w:ascii="Aptos" w:hAnsi="Aptos" w:eastAsia="Aptos"/>
          <w:color w:val="5E6872"/>
          <w:sz w:val="18"/>
        </w:rPr>
        <w:t xml:space="preserve">Wonsik</w:t>
      </w:r>
      <w:r>
        <w:rPr>
          <w:rFonts w:ascii="Aptos" w:hAnsi="Aptos" w:eastAsia="Aptos"/>
          <w:color w:val="5E6872"/>
          <w:sz w:val="18"/>
        </w:rPr>
        <w:t xml:space="preserve"> </w:t>
      </w:r>
      <w:r>
        <w:rPr>
          <w:rFonts w:ascii="Aptos" w:hAnsi="Aptos" w:eastAsia="Aptos"/>
          <w:color w:val="5E6872"/>
          <w:sz w:val="18"/>
        </w:rPr>
        <w:t xml:space="preserve">Choi</w:t>
      </w:r>
    </w:p>
    <w:p>
      <w:pPr>
        <w:pStyle w:val="Date"/>
        <w:spacing w:after="40"/>
        <w:jc w:val="center"/>
      </w:pPr>
      <w:r>
        <w:rPr>
          <w:rFonts w:ascii="Aptos" w:hAnsi="Aptos" w:eastAsia="Aptos"/>
          <w:color w:val="5E6872"/>
          <w:sz w:val="18"/>
        </w:rPr>
        <w:t xml:space="preserve">1</w:t>
      </w:r>
      <w:r>
        <w:rPr>
          <w:rFonts w:ascii="Aptos" w:hAnsi="Aptos" w:eastAsia="Aptos"/>
          <w:color w:val="5E6872"/>
          <w:sz w:val="18"/>
        </w:rPr>
        <w:t xml:space="preserve"> </w:t>
      </w:r>
      <w:r>
        <w:rPr>
          <w:rFonts w:ascii="Aptos" w:hAnsi="Aptos" w:eastAsia="Aptos"/>
          <w:color w:val="5E6872"/>
          <w:sz w:val="18"/>
        </w:rPr>
        <w:t xml:space="preserve">October</w:t>
      </w:r>
      <w:r>
        <w:rPr>
          <w:rFonts w:ascii="Aptos" w:hAnsi="Aptos" w:eastAsia="Aptos"/>
          <w:color w:val="5E6872"/>
          <w:sz w:val="18"/>
        </w:rPr>
        <w:t xml:space="preserve"> </w:t>
      </w:r>
      <w:r>
        <w:rPr>
          <w:rFonts w:ascii="Aptos" w:hAnsi="Aptos" w:eastAsia="Aptos"/>
          <w:color w:val="5E6872"/>
          <w:sz w:val="18"/>
        </w:rPr>
        <w:t xml:space="preserve">2026</w:t>
      </w:r>
    </w:p>
    <w:tbl>
      <w:tblPr>
        <w:tblW w:type="dxa" w:w="9936"/>
        <w:jc w:val="center"/>
        <w:tblLayout w:type="fixed"/>
        <w:tblLook w:firstRow="1" w:lastRow="0" w:firstColumn="0" w:lastColumn="0" w:noHBand="0" w:noVBand="0" w:val="0020"/>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1655"/>
        <w:gridCol w:w="8280"/>
      </w:tblGrid>
      <w:tr>
        <w:trPr>
          <w:cantSplit/>
        </w:trPr>
        <w:tc>
          <w:tcPr>
            <w:tcW w:type="dxa" w:w="1655"/>
            <w:tcMar>
              <w:top w:w="35" w:type="dxa"/>
              <w:start w:w="100" w:type="dxa"/>
              <w:bottom w:w="35" w:type="dxa"/>
              <w:end w:w="100" w:type="dxa"/>
            </w:tcMar>
          </w:tcPr>
          <w:p>
            <w:pPr>
              <w:spacing w:after="0"/>
              <w:jc w:val="left"/>
            </w:pPr>
            <w:r>
              <w:rPr>
                <w:rFonts w:ascii="Aptos" w:hAnsi="Aptos" w:eastAsia="Aptos"/>
                <w:b/>
                <w:color w:val="5E6872"/>
                <w:sz w:val="17"/>
              </w:rPr>
              <w:t xml:space="preserve">Author</w:t>
            </w:r>
          </w:p>
        </w:tc>
        <w:tc>
          <w:tcPr>
            <w:tcW w:type="dxa" w:w="8280"/>
            <w:tcMar>
              <w:top w:w="35" w:type="dxa"/>
              <w:start w:w="100" w:type="dxa"/>
              <w:bottom w:w="35" w:type="dxa"/>
              <w:end w:w="100" w:type="dxa"/>
            </w:tcMar>
          </w:tcPr>
          <w:p>
            <w:pPr>
              <w:spacing w:after="0"/>
              <w:jc w:val="left"/>
            </w:pPr>
            <w:r>
              <w:rPr>
                <w:rFonts w:ascii="Aptos" w:hAnsi="Aptos" w:eastAsia="Aptos"/>
                <w:b w:val="0"/>
                <w:sz w:val="17"/>
              </w:rPr>
              <w:t xml:space="preserve">Wonsik Choi</w:t>
            </w:r>
          </w:p>
        </w:tc>
      </w:tr>
      <w:tr>
        <w:trPr>
          <w:cantSplit/>
        </w:trPr>
        <w:tc>
          <w:tcPr>
            <w:tcW w:type="dxa" w:w="1655"/>
            <w:tcMar>
              <w:top w:w="35" w:type="dxa"/>
              <w:start w:w="100" w:type="dxa"/>
              <w:bottom w:w="35" w:type="dxa"/>
              <w:end w:w="100" w:type="dxa"/>
            </w:tcMar>
          </w:tcPr>
          <w:p>
            <w:pPr>
              <w:spacing w:after="0"/>
              <w:jc w:val="left"/>
            </w:pPr>
            <w:r>
              <w:rPr>
                <w:rFonts w:ascii="Aptos" w:hAnsi="Aptos" w:eastAsia="Aptos"/>
                <w:b/>
                <w:color w:val="5E6872"/>
                <w:sz w:val="17"/>
              </w:rPr>
              <w:t xml:space="preserve">ORCID</w:t>
            </w:r>
          </w:p>
        </w:tc>
        <w:tc>
          <w:tcPr>
            <w:tcW w:type="dxa" w:w="8280"/>
            <w:tcMar>
              <w:top w:w="35" w:type="dxa"/>
              <w:start w:w="100" w:type="dxa"/>
              <w:bottom w:w="35" w:type="dxa"/>
              <w:end w:w="100" w:type="dxa"/>
            </w:tcMar>
          </w:tcPr>
          <w:p>
            <w:pPr>
              <w:spacing w:after="0"/>
              <w:jc w:val="left"/>
            </w:pPr>
            <w:r>
              <w:rPr>
                <w:rFonts w:ascii="Aptos" w:hAnsi="Aptos" w:eastAsia="Aptos"/>
                <w:b w:val="0"/>
                <w:sz w:val="17"/>
              </w:rPr>
              <w:t xml:space="preserve">0009-0001-4263-9772</w:t>
            </w:r>
          </w:p>
        </w:tc>
      </w:tr>
      <w:tr>
        <w:trPr>
          <w:cantSplit/>
        </w:trPr>
        <w:tc>
          <w:tcPr>
            <w:tcW w:type="dxa" w:w="1655"/>
            <w:tcMar>
              <w:top w:w="35" w:type="dxa"/>
              <w:start w:w="100" w:type="dxa"/>
              <w:bottom w:w="35" w:type="dxa"/>
              <w:end w:w="100" w:type="dxa"/>
            </w:tcMar>
          </w:tcPr>
          <w:p>
            <w:pPr>
              <w:spacing w:after="0"/>
              <w:jc w:val="left"/>
            </w:pPr>
            <w:r>
              <w:rPr>
                <w:rFonts w:ascii="Aptos" w:hAnsi="Aptos" w:eastAsia="Aptos"/>
                <w:b/>
                <w:color w:val="5E6872"/>
                <w:sz w:val="17"/>
              </w:rPr>
              <w:t xml:space="preserve">Email</w:t>
            </w:r>
          </w:p>
        </w:tc>
        <w:tc>
          <w:tcPr>
            <w:tcW w:type="dxa" w:w="8280"/>
            <w:tcMar>
              <w:top w:w="35" w:type="dxa"/>
              <w:start w:w="100" w:type="dxa"/>
              <w:bottom w:w="35" w:type="dxa"/>
              <w:end w:w="100" w:type="dxa"/>
            </w:tcMar>
          </w:tcPr>
          <w:p>
            <w:pPr>
              <w:spacing w:after="0"/>
              <w:jc w:val="left"/>
            </w:pPr>
            <w:r>
              <w:rPr>
                <w:rFonts w:ascii="Aptos" w:hAnsi="Aptos" w:eastAsia="Aptos"/>
                <w:b w:val="0"/>
                <w:sz w:val="17"/>
              </w:rPr>
              <w:t xml:space="preserve">janefather@gmail.com</w:t>
            </w:r>
          </w:p>
        </w:tc>
      </w:tr>
      <w:tr>
        <w:trPr>
          <w:cantSplit/>
        </w:trPr>
        <w:tc>
          <w:tcPr>
            <w:tcW w:type="dxa" w:w="1655"/>
            <w:tcMar>
              <w:top w:w="35" w:type="dxa"/>
              <w:start w:w="100" w:type="dxa"/>
              <w:bottom w:w="35" w:type="dxa"/>
              <w:end w:w="100" w:type="dxa"/>
            </w:tcMar>
          </w:tcPr>
          <w:p>
            <w:pPr>
              <w:spacing w:after="0"/>
              <w:jc w:val="left"/>
            </w:pPr>
            <w:r>
              <w:rPr>
                <w:rFonts w:ascii="Aptos" w:hAnsi="Aptos" w:eastAsia="Aptos"/>
                <w:b/>
                <w:color w:val="5E6872"/>
                <w:sz w:val="17"/>
              </w:rPr>
              <w:t xml:space="preserve">Version</w:t>
            </w:r>
          </w:p>
        </w:tc>
        <w:tc>
          <w:tcPr>
            <w:tcW w:type="dxa" w:w="8280"/>
            <w:tcMar>
              <w:top w:w="35" w:type="dxa"/>
              <w:start w:w="100" w:type="dxa"/>
              <w:bottom w:w="35" w:type="dxa"/>
              <w:end w:w="100" w:type="dxa"/>
            </w:tcMar>
          </w:tcPr>
          <w:p>
            <w:pPr>
              <w:spacing w:after="0"/>
              <w:jc w:val="left"/>
            </w:pPr>
            <w:r>
              <w:rPr>
                <w:rFonts w:ascii="Aptos" w:hAnsi="Aptos" w:eastAsia="Aptos"/>
                <w:b w:val="0"/>
                <w:sz w:val="17"/>
              </w:rPr>
              <w:t xml:space="preserve">WRRA-M 0.4</w:t>
            </w:r>
          </w:p>
        </w:tc>
      </w:tr>
      <w:tr>
        <w:trPr>
          <w:cantSplit/>
        </w:trPr>
        <w:tc>
          <w:tcPr>
            <w:tcW w:type="dxa" w:w="1655"/>
            <w:tcMar>
              <w:top w:w="35" w:type="dxa"/>
              <w:start w:w="100" w:type="dxa"/>
              <w:bottom w:w="35" w:type="dxa"/>
              <w:end w:w="100" w:type="dxa"/>
            </w:tcMar>
          </w:tcPr>
          <w:p>
            <w:pPr>
              <w:spacing w:after="0"/>
              <w:jc w:val="left"/>
            </w:pPr>
            <w:r>
              <w:rPr>
                <w:rFonts w:ascii="Aptos" w:hAnsi="Aptos" w:eastAsia="Aptos"/>
                <w:b/>
                <w:color w:val="5E6872"/>
                <w:sz w:val="17"/>
              </w:rPr>
              <w:t xml:space="preserve">Date</w:t>
            </w:r>
          </w:p>
        </w:tc>
        <w:tc>
          <w:tcPr>
            <w:tcW w:type="dxa" w:w="8280"/>
            <w:tcMar>
              <w:top w:w="35" w:type="dxa"/>
              <w:start w:w="100" w:type="dxa"/>
              <w:bottom w:w="35" w:type="dxa"/>
              <w:end w:w="100" w:type="dxa"/>
            </w:tcMar>
          </w:tcPr>
          <w:p>
            <w:pPr>
              <w:spacing w:after="0"/>
              <w:jc w:val="left"/>
            </w:pPr>
            <w:r>
              <w:rPr>
                <w:rFonts w:ascii="Aptos" w:hAnsi="Aptos" w:eastAsia="Aptos"/>
                <w:b w:val="0"/>
                <w:sz w:val="17"/>
              </w:rPr>
              <w:t xml:space="preserve">1 October 2026</w:t>
            </w:r>
          </w:p>
        </w:tc>
      </w:tr>
      <w:tr>
        <w:trPr>
          <w:cantSplit/>
        </w:trPr>
        <w:tc>
          <w:tcPr>
            <w:tcW w:type="dxa" w:w="1655"/>
            <w:tcMar>
              <w:top w:w="35" w:type="dxa"/>
              <w:start w:w="100" w:type="dxa"/>
              <w:bottom w:w="35" w:type="dxa"/>
              <w:end w:w="100" w:type="dxa"/>
            </w:tcMar>
          </w:tcPr>
          <w:p>
            <w:pPr>
              <w:spacing w:after="0"/>
              <w:jc w:val="left"/>
            </w:pPr>
            <w:r>
              <w:rPr>
                <w:rFonts w:ascii="Aptos" w:hAnsi="Aptos" w:eastAsia="Aptos"/>
                <w:b/>
                <w:color w:val="5E6872"/>
                <w:sz w:val="17"/>
              </w:rPr>
              <w:t xml:space="preserve">Status</w:t>
            </w:r>
          </w:p>
        </w:tc>
        <w:tc>
          <w:tcPr>
            <w:tcW w:type="dxa" w:w="8280"/>
            <w:tcMar>
              <w:top w:w="35" w:type="dxa"/>
              <w:start w:w="100" w:type="dxa"/>
              <w:bottom w:w="35" w:type="dxa"/>
              <w:end w:w="100" w:type="dxa"/>
            </w:tcMar>
          </w:tcPr>
          <w:p>
            <w:pPr>
              <w:spacing w:after="0"/>
              <w:jc w:val="left"/>
            </w:pPr>
            <w:r>
              <w:rPr>
                <w:rFonts w:ascii="Aptos" w:hAnsi="Aptos" w:eastAsia="Aptos"/>
                <w:b w:val="0"/>
                <w:sz w:val="17"/>
              </w:rPr>
              <w:t xml:space="preserve">Conditional common-carrier extension theorem</w:t>
            </w:r>
          </w:p>
        </w:tc>
      </w:tr>
    </w:tbl>
    <w:bookmarkStart w:id="20" w:name="research-decision"/>
    <w:p>
      <w:pPr>
        <w:pStyle w:val="Heading1"/>
        <w:keepNext/>
      </w:pPr>
      <w:r>
        <w:t xml:space="preserve">Research decision</w:t>
      </w:r>
    </w:p>
    <w:p>
      <w:pPr>
        <w:pStyle w:val="FirstParagraph"/>
      </w:pPr>
      <w:r>
        <w:t xml:space="preserve">WRRA-M 0.4 imports one existing structure from Minimal Computation Cosmology: the common carrier. It does not import the older fifteen-channel result as if it already solved the sixteen-channel problem. The version first identifies the additional condition required to carry the gauge-neutral sixteenth channel, then uses common-carrier response geometry to replace the free compatibility entries of WRRA-M 0.3 by one fixed scalar rule. The scope ends at exact gap identities and a constructibility witness. It does not claim that a physical microscopic carrier has already supplied the required positive gaps.</w:t>
      </w:r>
    </w:p>
    <w:bookmarkEnd w:id="20"/>
    <w:bookmarkStart w:id="21" w:name="abstract"/>
    <w:p>
      <w:pPr>
        <w:pStyle w:val="Heading1"/>
        <w:keepNext/>
      </w:pPr>
      <w:r>
        <w:t xml:space="preserve">Abstract</w:t>
      </w:r>
    </w:p>
    <w:p>
      <w:pPr>
        <w:pStyle w:val="FirstParagraph"/>
      </w:pPr>
      <w:r>
        <w:t xml:space="preserve">WRRA-M 0.2 reorganized one invariant channel, two seven-dimensional sectors, and one null channel into the sixteen left-handed Weyl channels of a Pati-Salam generation, including the conjugate right-handed neutrino. WRRA-M 0.3 proved that the target filter is selected uniquely in a four-filter sector exactly when two compatibility gaps are positive, but it left the compatibility tables physically unspecified. Version 0.4 tests whether the common carrier of Minimal Computation Cosmology can supply that missing structure. The answer is conditionally yes. The established fifteen-channel carrier can be extended to a sixteen-channel carrier if the added neutral channel shares the same principal transport geometry, has positive carrier norm, and remains null only to the gauge-current owner rather than to transport itself. A positive common-carrier response metric then defines each pairing compatibility as the negative squared response mismatch. Under this single rule, the two free selection gaps reduce exactly to two carrier-metric alignment products. Their signs decide the same target filter as in 0.3. An exact finite witness shows that the admissible positive-gap region is nonempty. The numerical response signatures and their microscopic physical origin remain open.</w:t>
      </w:r>
    </w:p>
    <w:bookmarkEnd w:id="21"/>
    <w:bookmarkStart w:id="22" w:name="result-in-one-sentence"/>
    <w:p>
      <w:pPr>
        <w:pStyle w:val="Heading1"/>
        <w:keepNext/>
      </w:pPr>
      <w:r>
        <w:t xml:space="preserve">Result in one sentence</w:t>
      </w:r>
    </w:p>
    <w:p>
      <w:pPr>
        <w:pStyle w:val="FirstParagraph"/>
      </w:pPr>
      <w:r>
        <w:t xml:space="preserve">The existing common carrier can be used in WRRA-M 0.4 if its fifteen-channel transport is extended by a transported but gauge-neutral sixteenth channel; after that extension, one carrier-induced positive metric converts the two 0.3 selection gaps into exact alignment tests.</w:t>
      </w:r>
    </w:p>
    <w:bookmarkEnd w:id="22"/>
    <w:bookmarkStart w:id="25" w:name="scope-and-stopping-line"/>
    <w:p>
      <w:pPr>
        <w:pStyle w:val="Heading1"/>
        <w:keepNext/>
      </w:pPr>
      <w:r>
        <w:t xml:space="preserve">Scope and stopping line</w:t>
      </w:r>
    </w:p>
    <w:p>
      <w:pPr>
        <w:pStyle w:val="FirstParagraph"/>
      </w:pPr>
      <w:r>
        <w:t xml:space="preserve">Version 0.4 closes a structural bridge, not the final physical calculation. It asks whether one already developed WRRA transport object can own the scalar compatibility rule required by 0.3.</w:t>
      </w:r>
    </w:p>
    <w:bookmarkStart w:id="23" w:name="included-in-0.4"/>
    <w:p>
      <w:pPr>
        <w:pStyle w:val="Heading2"/>
        <w:keepNext/>
      </w:pPr>
      <w:r>
        <w:t xml:space="preserve">Included in 0.4</w:t>
      </w:r>
    </w:p>
    <w:p>
      <w:r>
        <w:rPr>
          <w:rFonts w:ascii="Aptos" w:hAnsi="Aptos"/>
        </w:rPr>
        <w:t xml:space="preserve">• </w:t>
      </w:r>
      <w:pPr>
        <w:numPr>
          <w:ilvl w:val="0"/>
          <w:numId w:val="1001"/>
        </w:numPr>
        <w:pStyle w:val="Compact"/>
        <w:spacing w:after="44"/>
        <w:ind w:left="317" w:hanging="202"/>
      </w:pPr>
      <w:r>
        <w:t xml:space="preserve">The exact distinction between a gauge-null channel and a transport-null vector</w:t>
      </w:r>
    </w:p>
    <w:p>
      <w:r>
        <w:rPr>
          <w:rFonts w:ascii="Aptos" w:hAnsi="Aptos"/>
        </w:rPr>
        <w:t xml:space="preserve">• </w:t>
      </w:r>
      <w:pPr>
        <w:numPr>
          <w:ilvl w:val="0"/>
          <w:numId w:val="1001"/>
        </w:numPr>
        <w:pStyle w:val="Compact"/>
        <w:spacing w:after="44"/>
        <w:ind w:left="317" w:hanging="202"/>
      </w:pPr>
      <w:r>
        <w:t xml:space="preserve">A conditional extension of the common carrier from fifteen to sixteen channels</w:t>
      </w:r>
    </w:p>
    <w:p>
      <w:r>
        <w:rPr>
          <w:rFonts w:ascii="Aptos" w:hAnsi="Aptos"/>
        </w:rPr>
        <w:t xml:space="preserve">• </w:t>
      </w:r>
      <w:pPr>
        <w:numPr>
          <w:ilvl w:val="0"/>
          <w:numId w:val="1001"/>
        </w:numPr>
        <w:pStyle w:val="Compact"/>
        <w:spacing w:after="44"/>
        <w:ind w:left="317" w:hanging="202"/>
      </w:pPr>
      <w:r>
        <w:t xml:space="preserve">A positive common-carrier response metric</w:t>
      </w:r>
    </w:p>
    <w:p>
      <w:r>
        <w:rPr>
          <w:rFonts w:ascii="Aptos" w:hAnsi="Aptos"/>
        </w:rPr>
        <w:t xml:space="preserve">• </w:t>
      </w:r>
      <w:pPr>
        <w:numPr>
          <w:ilvl w:val="0"/>
          <w:numId w:val="1001"/>
        </w:numPr>
        <w:pStyle w:val="Compact"/>
        <w:spacing w:after="44"/>
        <w:ind w:left="317" w:hanging="202"/>
      </w:pPr>
      <w:r>
        <w:t xml:space="preserve">One non-circular scalar rule for every left and right pairing compatibility</w:t>
      </w:r>
    </w:p>
    <w:p>
      <w:r>
        <w:rPr>
          <w:rFonts w:ascii="Aptos" w:hAnsi="Aptos"/>
        </w:rPr>
        <w:t xml:space="preserve">• </w:t>
      </w:r>
      <w:pPr>
        <w:numPr>
          <w:ilvl w:val="0"/>
          <w:numId w:val="1001"/>
        </w:numPr>
        <w:pStyle w:val="Compact"/>
        <w:spacing w:after="44"/>
        <w:ind w:left="317" w:hanging="202"/>
      </w:pPr>
      <w:r>
        <w:t xml:space="preserve">Exact identities reducing the two selection gaps to carrier-metric alignments</w:t>
      </w:r>
    </w:p>
    <w:p>
      <w:r>
        <w:rPr>
          <w:rFonts w:ascii="Aptos" w:hAnsi="Aptos"/>
        </w:rPr>
        <w:t xml:space="preserve">• </w:t>
      </w:r>
      <w:pPr>
        <w:numPr>
          <w:ilvl w:val="0"/>
          <w:numId w:val="1001"/>
        </w:numPr>
        <w:pStyle w:val="Compact"/>
        <w:spacing w:after="44"/>
        <w:ind w:left="317" w:hanging="202"/>
      </w:pPr>
      <w:r>
        <w:t xml:space="preserve">An exact finite witness and machine-checked algebra</w:t>
      </w:r>
    </w:p>
    <w:p>
      <w:r>
        <w:rPr>
          <w:rFonts w:ascii="Aptos" w:hAnsi="Aptos"/>
        </w:rPr>
        <w:t xml:space="preserve">• </w:t>
      </w:r>
      <w:pPr>
        <w:numPr>
          <w:ilvl w:val="0"/>
          <w:numId w:val="1001"/>
        </w:numPr>
        <w:pStyle w:val="Compact"/>
        <w:spacing w:after="44"/>
        <w:ind w:left="317" w:hanging="202"/>
      </w:pPr>
      <w:r>
        <w:t xml:space="preserve">Explicit failure conditions and a fixed next calculation</w:t>
      </w:r>
    </w:p>
    <w:bookmarkEnd w:id="23"/>
    <w:bookmarkStart w:id="24" w:name="reserved-for-0.5-or-later"/>
    <w:p>
      <w:pPr>
        <w:pStyle w:val="Heading2"/>
        <w:keepNext/>
      </w:pPr>
      <w:r>
        <w:t xml:space="preserve">Reserved for 0.5 or later</w:t>
      </w:r>
    </w:p>
    <w:p>
      <w:r>
        <w:rPr>
          <w:rFonts w:ascii="Aptos" w:hAnsi="Aptos"/>
        </w:rPr>
        <w:t xml:space="preserve">• </w:t>
      </w:r>
      <w:pPr>
        <w:numPr>
          <w:ilvl w:val="0"/>
          <w:numId w:val="1002"/>
        </w:numPr>
        <w:pStyle w:val="Compact"/>
        <w:spacing w:after="44"/>
        <w:ind w:left="317" w:hanging="202"/>
      </w:pPr>
      <w:r>
        <w:t xml:space="preserve">Numerical response signatures calculated from a microscopic Bessel, Jacobi, compactification, or other carrier</w:t>
      </w:r>
    </w:p>
    <w:p>
      <w:r>
        <w:rPr>
          <w:rFonts w:ascii="Aptos" w:hAnsi="Aptos"/>
        </w:rPr>
        <w:t xml:space="preserve">• </w:t>
      </w:r>
      <w:pPr>
        <w:numPr>
          <w:ilvl w:val="0"/>
          <w:numId w:val="1002"/>
        </w:numPr>
        <w:pStyle w:val="Compact"/>
        <w:spacing w:after="44"/>
        <w:ind w:left="317" w:hanging="202"/>
      </w:pPr>
      <w:r>
        <w:t xml:space="preserve">Proof that the four-filter sector is complete in a deeper theory</w:t>
      </w:r>
    </w:p>
    <w:p>
      <w:r>
        <w:rPr>
          <w:rFonts w:ascii="Aptos" w:hAnsi="Aptos"/>
        </w:rPr>
        <w:t xml:space="preserve">• </w:t>
      </w:r>
      <w:pPr>
        <w:numPr>
          <w:ilvl w:val="0"/>
          <w:numId w:val="1002"/>
        </w:numPr>
        <w:pStyle w:val="Compact"/>
        <w:spacing w:after="44"/>
        <w:ind w:left="317" w:hanging="202"/>
      </w:pPr>
      <w:r>
        <w:t xml:space="preserve">Three generations, Yukawa structure, masses, mixing, or symmetry breaking</w:t>
      </w:r>
    </w:p>
    <w:p>
      <w:r>
        <w:rPr>
          <w:rFonts w:ascii="Aptos" w:hAnsi="Aptos"/>
        </w:rPr>
        <w:t xml:space="preserve">• </w:t>
      </w:r>
      <w:pPr>
        <w:numPr>
          <w:ilvl w:val="0"/>
          <w:numId w:val="1002"/>
        </w:numPr>
        <w:pStyle w:val="Compact"/>
        <w:spacing w:after="44"/>
        <w:ind w:left="317" w:hanging="202"/>
      </w:pPr>
      <w:r>
        <w:t xml:space="preserve">Gravity, dark matter, cosmology, or consciousness</w:t>
      </w:r>
    </w:p>
    <w:bookmarkEnd w:id="24"/>
    <w:bookmarkEnd w:id="25"/>
    <w:bookmarkStart w:id="26" w:name="fixed-wrra-evaluation-rule"/>
    <w:p>
      <w:pPr>
        <w:pStyle w:val="Heading1"/>
        <w:keepNext/>
      </w:pPr>
      <w:r>
        <w:t xml:space="preserve">Fixed WRRA evaluation rule</w:t>
      </w:r>
    </w:p>
    <w:tbl>
      <w:tblPr>
        <w:tblW w:type="dxa" w:w="9936"/>
        <w:jc w:val="center"/>
        <w:tblLayout w:type="fixed"/>
        <w:tblLook w:firstRow="1" w:lastRow="0" w:firstColumn="0" w:lastColumn="0" w:noHBand="0" w:noVBand="0" w:val="002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2232"/>
        <w:gridCol w:w="7703"/>
      </w:tblGrid>
      <w:tr>
        <w:trPr>
          <w:tblHeader w:val="true"/>
          <w:cantSplit/>
          <w:tblHeader w:val="true"/>
        </w:trPr>
        <w:tc>
          <w:tcPr>
            <w:tcW w:type="dxa" w:w="2232"/>
            <w:tcMar>
              <w:top w:w="80" w:type="dxa"/>
              <w:start w:w="100" w:type="dxa"/>
              <w:bottom w:w="80" w:type="dxa"/>
              <w:end w:w="100" w:type="dxa"/>
            </w:tcMar>
            <w:vAlign w:val="center"/>
            <w:shd w:fill="18324A"/>
          </w:tcPr>
          <w:p>
            <w:pPr>
              <w:spacing w:before="0" w:after="0" w:line="245" w:lineRule="auto"/>
              <w:jc w:val="left"/>
            </w:pPr>
            <w:r>
              <w:rPr>
                <w:rFonts w:ascii="Aptos" w:hAnsi="Aptos" w:eastAsia="Aptos"/>
                <w:b/>
                <w:color w:val="FFFFFF"/>
                <w:sz w:val="16"/>
              </w:rPr>
              <w:t xml:space="preserve">Stage</w:t>
            </w:r>
          </w:p>
        </w:tc>
        <w:tc>
          <w:tcPr>
            <w:tcW w:type="dxa" w:w="7703"/>
            <w:tcMar>
              <w:top w:w="80" w:type="dxa"/>
              <w:start w:w="100" w:type="dxa"/>
              <w:bottom w:w="80" w:type="dxa"/>
              <w:end w:w="100" w:type="dxa"/>
            </w:tcMar>
            <w:vAlign w:val="center"/>
            <w:shd w:fill="18324A"/>
          </w:tcPr>
          <w:p>
            <w:pPr>
              <w:spacing w:before="0" w:after="0" w:line="245" w:lineRule="auto"/>
              <w:jc w:val="left"/>
            </w:pPr>
            <w:r>
              <w:rPr>
                <w:rFonts w:ascii="Aptos" w:hAnsi="Aptos" w:eastAsia="Aptos"/>
                <w:b/>
                <w:color w:val="FFFFFF"/>
                <w:sz w:val="16"/>
              </w:rPr>
              <w:t xml:space="preserve">Question answered in this note</w:t>
            </w:r>
          </w:p>
        </w:tc>
      </w:tr>
      <w:tr>
        <w:trPr>
          <w:cantSplit/>
        </w:trPr>
        <w:tc>
          <w:tcPr>
            <w:tcW w:type="dxa" w:w="2232"/>
            <w:tcMar>
              <w:top w:w="80" w:type="dxa"/>
              <w:start w:w="100" w:type="dxa"/>
              <w:bottom w:w="80" w:type="dxa"/>
              <w:end w:w="100" w:type="dxa"/>
            </w:tcMar>
            <w:vAlign w:val="center"/>
          </w:tcPr>
          <w:p>
            <w:pPr>
              <w:spacing w:before="0" w:after="0" w:line="245" w:lineRule="auto"/>
              <w:jc w:val="left"/>
            </w:pPr>
            <w:r>
              <w:rPr>
                <w:rFonts w:ascii="Aptos" w:hAnsi="Aptos" w:eastAsia="Aptos"/>
                <w:sz w:val="16"/>
              </w:rPr>
              <w:t xml:space="preserve">Verification input</w:t>
            </w:r>
          </w:p>
        </w:tc>
        <w:tc>
          <w:tcPr>
            <w:tcW w:type="dxa" w:w="7703"/>
            <w:tcMar>
              <w:top w:w="80" w:type="dxa"/>
              <w:start w:w="100" w:type="dxa"/>
              <w:bottom w:w="80" w:type="dxa"/>
              <w:end w:w="100" w:type="dxa"/>
            </w:tcMar>
            <w:vAlign w:val="center"/>
          </w:tcPr>
          <w:p>
            <w:pPr>
              <w:spacing w:before="0" w:after="0" w:line="245" w:lineRule="auto"/>
              <w:jc w:val="left"/>
            </w:pPr>
            <w:r>
              <w:rPr>
                <w:rFonts w:ascii="Aptos" w:hAnsi="Aptos" w:eastAsia="Aptos"/>
                <w:sz w:val="16"/>
              </w:rPr>
              <w:t xml:space="preserve">Which results from WRRA-M 0.2, WRRA-M 0.3, and Minimal Computation Cosmology are held fixed</w:t>
            </w:r>
          </w:p>
        </w:tc>
      </w:tr>
      <w:tr>
        <w:trPr>
          <w:cantSplit/>
        </w:trPr>
        <w:tc>
          <w:tcPr>
            <w:tcW w:type="dxa" w:w="2232"/>
            <w:tcMar>
              <w:top w:w="80" w:type="dxa"/>
              <w:start w:w="100" w:type="dxa"/>
              <w:bottom w:w="80" w:type="dxa"/>
              <w:end w:w="100" w:type="dxa"/>
            </w:tcMar>
            <w:vAlign w:val="center"/>
            <w:shd w:fill="EAF2F8"/>
          </w:tcPr>
          <w:p>
            <w:pPr>
              <w:spacing w:before="0" w:after="0" w:line="245" w:lineRule="auto"/>
              <w:jc w:val="left"/>
            </w:pPr>
            <w:r>
              <w:rPr>
                <w:rFonts w:ascii="Aptos" w:hAnsi="Aptos" w:eastAsia="Aptos"/>
                <w:sz w:val="16"/>
              </w:rPr>
              <w:t xml:space="preserve">WRRA-specific transformation</w:t>
            </w:r>
          </w:p>
        </w:tc>
        <w:tc>
          <w:tcPr>
            <w:tcW w:type="dxa" w:w="7703"/>
            <w:tcMar>
              <w:top w:w="80" w:type="dxa"/>
              <w:start w:w="100" w:type="dxa"/>
              <w:bottom w:w="80" w:type="dxa"/>
              <w:end w:w="100" w:type="dxa"/>
            </w:tcMar>
            <w:vAlign w:val="center"/>
            <w:shd w:fill="EAF2F8"/>
          </w:tcPr>
          <w:p>
            <w:pPr>
              <w:spacing w:before="0" w:after="0" w:line="245" w:lineRule="auto"/>
              <w:jc w:val="left"/>
            </w:pPr>
            <w:r>
              <w:rPr>
                <w:rFonts w:ascii="Aptos" w:hAnsi="Aptos" w:eastAsia="Aptos"/>
                <w:sz w:val="16"/>
              </w:rPr>
              <w:t xml:space="preserve">How common transport responses become scalar pairing compatibilities and two gap values</w:t>
            </w:r>
          </w:p>
        </w:tc>
      </w:tr>
      <w:tr>
        <w:trPr>
          <w:cantSplit/>
        </w:trPr>
        <w:tc>
          <w:tcPr>
            <w:tcW w:type="dxa" w:w="2232"/>
            <w:tcMar>
              <w:top w:w="80" w:type="dxa"/>
              <w:start w:w="100" w:type="dxa"/>
              <w:bottom w:w="80" w:type="dxa"/>
              <w:end w:w="100" w:type="dxa"/>
            </w:tcMar>
            <w:vAlign w:val="center"/>
          </w:tcPr>
          <w:p>
            <w:pPr>
              <w:spacing w:before="0" w:after="0" w:line="245" w:lineRule="auto"/>
              <w:jc w:val="left"/>
            </w:pPr>
            <w:r>
              <w:rPr>
                <w:rFonts w:ascii="Aptos" w:hAnsi="Aptos" w:eastAsia="Aptos"/>
                <w:sz w:val="16"/>
              </w:rPr>
              <w:t xml:space="preserve">Output</w:t>
            </w:r>
          </w:p>
        </w:tc>
        <w:tc>
          <w:tcPr>
            <w:tcW w:type="dxa" w:w="7703"/>
            <w:tcMar>
              <w:top w:w="80" w:type="dxa"/>
              <w:start w:w="100" w:type="dxa"/>
              <w:bottom w:w="80" w:type="dxa"/>
              <w:end w:w="100" w:type="dxa"/>
            </w:tcMar>
            <w:vAlign w:val="center"/>
          </w:tcPr>
          <w:p>
            <w:pPr>
              <w:spacing w:before="0" w:after="0" w:line="245" w:lineRule="auto"/>
              <w:jc w:val="left"/>
            </w:pPr>
            <w:r>
              <w:rPr>
                <w:rFonts w:ascii="Aptos" w:hAnsi="Aptos" w:eastAsia="Aptos"/>
                <w:sz w:val="16"/>
              </w:rPr>
              <w:t xml:space="preserve">Whether a sixteen-channel carrier is structurally admissible and which exact carrier conditions select the target filter</w:t>
            </w:r>
          </w:p>
        </w:tc>
      </w:tr>
      <w:tr>
        <w:trPr>
          <w:cantSplit/>
        </w:trPr>
        <w:tc>
          <w:tcPr>
            <w:tcW w:type="dxa" w:w="2232"/>
            <w:tcMar>
              <w:top w:w="80" w:type="dxa"/>
              <w:start w:w="100" w:type="dxa"/>
              <w:bottom w:w="80" w:type="dxa"/>
              <w:end w:w="100" w:type="dxa"/>
            </w:tcMar>
            <w:vAlign w:val="center"/>
            <w:shd w:fill="EAF2F8"/>
          </w:tcPr>
          <w:p>
            <w:pPr>
              <w:spacing w:before="0" w:after="0" w:line="245" w:lineRule="auto"/>
              <w:jc w:val="left"/>
            </w:pPr>
            <w:r>
              <w:rPr>
                <w:rFonts w:ascii="Aptos" w:hAnsi="Aptos" w:eastAsia="Aptos"/>
                <w:sz w:val="16"/>
              </w:rPr>
              <w:t xml:space="preserve">Falsification condition</w:t>
            </w:r>
          </w:p>
        </w:tc>
        <w:tc>
          <w:tcPr>
            <w:tcW w:type="dxa" w:w="7703"/>
            <w:tcMar>
              <w:top w:w="80" w:type="dxa"/>
              <w:start w:w="100" w:type="dxa"/>
              <w:bottom w:w="80" w:type="dxa"/>
              <w:end w:w="100" w:type="dxa"/>
            </w:tcMar>
            <w:vAlign w:val="center"/>
            <w:shd w:fill="EAF2F8"/>
          </w:tcPr>
          <w:p>
            <w:pPr>
              <w:spacing w:before="0" w:after="0" w:line="245" w:lineRule="auto"/>
              <w:jc w:val="left"/>
            </w:pPr>
            <w:r>
              <w:rPr>
                <w:rFonts w:ascii="Aptos" w:hAnsi="Aptos" w:eastAsia="Aptos"/>
                <w:sz w:val="16"/>
              </w:rPr>
              <w:t xml:space="preserve">Which rank, causal-cone, null-lift, positivity, gap-sign, or protocol failure rejects the 0.4 bridge</w:t>
            </w:r>
          </w:p>
        </w:tc>
      </w:tr>
    </w:tbl>
    <w:bookmarkEnd w:id="26"/>
    <w:bookmarkStart w:id="30" w:name="verified-inputs"/>
    <w:p>
      <w:pPr>
        <w:pStyle w:val="Heading1"/>
        <w:keepNext/>
      </w:pPr>
      <w:r>
        <w:t xml:space="preserve">Verified inputs</w:t>
      </w:r>
    </w:p>
    <w:bookmarkStart w:id="27" w:name="the-sixteen-channel-filter-problem"/>
    <w:p>
      <w:pPr>
        <w:pStyle w:val="Heading2"/>
        <w:keepNext/>
      </w:pPr>
      <w:r>
        <w:t xml:space="preserve">The sixteen-channel filter problem</w:t>
      </w:r>
    </w:p>
    <w:p>
      <w:pPr>
        <w:pStyle w:val="FirstParagraph"/>
      </w:pPr>
      <w:r>
        <w:t xml:space="preserve">WRRA-M 0.2 fixed the input space</w:t>
      </w:r>
    </w:p>
    <w:p>
      <w:pPr>
        <w:pStyle w:val="BodyText"/>
      </w:pPr>
      <m:oMathPara>
        <m:oMathParaPr>
          <m:jc m:val="center"/>
        </m:oMathParaPr>
        <m:oMath>
          <m:sSub>
            <m:e>
              <m:r>
                <m:rPr>
                  <m:sty m:val="p"/>
                  <m:scr m:val="script"/>
                </m:rPr>
                <m:t>C</m:t>
              </m:r>
            </m:e>
            <m:sub>
              <m:r>
                <m:t>16</m:t>
              </m:r>
            </m:sub>
          </m:sSub>
          <m:r>
            <m:rPr>
              <m:sty m:val="p"/>
            </m:rPr>
            <m:t>=</m:t>
          </m:r>
          <m:sSub>
            <m:e>
              <m:r>
                <m:rPr>
                  <m:sty m:val="b"/>
                </m:rPr>
                <m:t>1</m:t>
              </m:r>
            </m:e>
            <m:sub>
              <m:r>
                <m:t>0</m:t>
              </m:r>
            </m:sub>
          </m:sSub>
          <m:r>
            <m:rPr>
              <m:sty m:val="p"/>
            </m:rPr>
            <m:t>⊕</m:t>
          </m:r>
          <m:sSub>
            <m:e>
              <m:r>
                <m:rPr>
                  <m:sty m:val="b"/>
                </m:rPr>
                <m:t>7</m:t>
              </m:r>
            </m:e>
            <m:sub>
              <m:r>
                <m:t>A</m:t>
              </m:r>
            </m:sub>
          </m:sSub>
          <m:r>
            <m:rPr>
              <m:sty m:val="p"/>
            </m:rPr>
            <m:t>⊕</m:t>
          </m:r>
          <m:sSub>
            <m:e>
              <m:r>
                <m:rPr>
                  <m:sty m:val="b"/>
                </m:rPr>
                <m:t>7</m:t>
              </m:r>
            </m:e>
            <m:sub>
              <m:r>
                <m:t>B</m:t>
              </m:r>
            </m:sub>
          </m:sSub>
          <m:r>
            <m:rPr>
              <m:sty m:val="p"/>
            </m:rPr>
            <m:t>⊕</m:t>
          </m:r>
          <m:sSub>
            <m:e>
              <m:r>
                <m:rPr>
                  <m:sty m:val="b"/>
                </m:rPr>
                <m:t>1</m:t>
              </m:r>
            </m:e>
            <m:sub>
              <m:r>
                <m:t>N</m:t>
              </m:r>
            </m:sub>
          </m:sSub>
        </m:oMath>
      </m:oMathPara>
    </w:p>
    <w:p>
      <w:pPr>
        <w:pStyle w:val="FirstParagraph"/>
      </w:pPr>
      <w:r>
        <w:t xml:space="preserve">and conditionally reorganized it as</w:t>
      </w:r>
    </w:p>
    <w:p>
      <w:pPr>
        <w:pStyle w:val="BodyText"/>
      </w:pPr>
      <m:oMathPara>
        <m:oMathParaPr>
          <m:jc m:val="center"/>
        </m:oMathParaPr>
        <m:oMath>
          <m:sSub>
            <m:e>
              <m:r>
                <m:rPr>
                  <m:sty m:val="p"/>
                  <m:scr m:val="script"/>
                </m:rPr>
                <m:t>C</m:t>
              </m:r>
            </m:e>
            <m:sub>
              <m:r>
                <m:t>16</m:t>
              </m:r>
            </m:sub>
          </m:sSub>
          <m:r>
            <m:rPr>
              <m:sty m:val="p"/>
            </m:rPr>
            <m:t>→</m:t>
          </m:r>
          <m:d>
            <m:dPr>
              <m:begChr m:val="("/>
              <m:endChr m:val=")"/>
              <m:sepChr m:val=""/>
              <m:grow/>
            </m:dPr>
            <m:e>
              <m:r>
                <m:rPr>
                  <m:sty m:val="b"/>
                </m:rPr>
                <m:t>4</m:t>
              </m:r>
              <m:r>
                <m:rPr>
                  <m:sty m:val="p"/>
                </m:rPr>
                <m:t>,</m:t>
              </m:r>
              <m:r>
                <m:rPr>
                  <m:sty m:val="b"/>
                </m:rPr>
                <m:t>2</m:t>
              </m:r>
              <m:r>
                <m:rPr>
                  <m:sty m:val="p"/>
                </m:rPr>
                <m:t>,</m:t>
              </m:r>
              <m:r>
                <m:rPr>
                  <m:sty m:val="b"/>
                </m:rPr>
                <m:t>1</m:t>
              </m:r>
            </m:e>
          </m:d>
          <m:r>
            <m:rPr>
              <m:sty m:val="p"/>
            </m:rPr>
            <m:t>⊕</m:t>
          </m:r>
          <m:d>
            <m:dPr>
              <m:begChr m:val="("/>
              <m:endChr m:val=")"/>
              <m:sepChr m:val=""/>
              <m:grow/>
            </m:dPr>
            <m:e>
              <m:bar>
                <m:barPr>
                  <m:pos m:val="top"/>
                </m:barPr>
                <m:e>
                  <m:r>
                    <m:rPr>
                      <m:sty m:val="b"/>
                    </m:rPr>
                    <m:t>4</m:t>
                  </m:r>
                </m:e>
              </m:bar>
              <m:r>
                <m:rPr>
                  <m:sty m:val="p"/>
                </m:rPr>
                <m:t>,</m:t>
              </m:r>
              <m:r>
                <m:rPr>
                  <m:sty m:val="b"/>
                </m:rPr>
                <m:t>1</m:t>
              </m:r>
              <m:r>
                <m:rPr>
                  <m:sty m:val="p"/>
                </m:rPr>
                <m:t>,</m:t>
              </m:r>
              <m:r>
                <m:rPr>
                  <m:sty m:val="b"/>
                </m:rPr>
                <m:t>2</m:t>
              </m:r>
            </m:e>
          </m:d>
          <m:r>
            <m:rPr>
              <m:sty m:val="p"/>
            </m:rPr>
            <m:t>.</m:t>
          </m:r>
        </m:oMath>
      </m:oMathPara>
    </w:p>
    <w:p>
      <w:pPr>
        <w:pStyle w:val="FirstParagraph"/>
      </w:pPr>
      <w:r>
        <w:t xml:space="preserve">The resulting left-handed inventory is</w:t>
      </w:r>
    </w:p>
    <w:p>
      <w:pPr>
        <w:pStyle w:val="BodyText"/>
      </w:pPr>
      <m:oMathPara>
        <m:oMathParaPr>
          <m:jc m:val="center"/>
        </m:oMathParaPr>
        <m:oMath>
          <m:sSub>
            <m:e>
              <m:r>
                <m:rPr>
                  <m:sty m:val="p"/>
                  <m:scr m:val="script"/>
                </m:rPr>
                <m:t>H</m:t>
              </m:r>
            </m:e>
            <m:sub>
              <m:r>
                <m:t>16</m:t>
              </m:r>
            </m:sub>
          </m:sSub>
          <m:r>
            <m:rPr>
              <m:sty m:val="p"/>
            </m:rPr>
            <m:t>=</m:t>
          </m:r>
          <m:sSub>
            <m:e>
              <m:r>
                <m:t>Q</m:t>
              </m:r>
            </m:e>
            <m:sub>
              <m:r>
                <m:t>L</m:t>
              </m:r>
            </m:sub>
          </m:sSub>
          <m:r>
            <m:rPr>
              <m:sty m:val="p"/>
            </m:rPr>
            <m:t>⊕</m:t>
          </m:r>
          <m:sSubSup>
            <m:e>
              <m:r>
                <m:t>u</m:t>
              </m:r>
            </m:e>
            <m:sub>
              <m:r>
                <m:t>R</m:t>
              </m:r>
            </m:sub>
            <m:sup>
              <m:r>
                <m:t>c</m:t>
              </m:r>
            </m:sup>
          </m:sSubSup>
          <m:r>
            <m:rPr>
              <m:sty m:val="p"/>
            </m:rPr>
            <m:t>⊕</m:t>
          </m:r>
          <m:sSubSup>
            <m:e>
              <m:r>
                <m:t>d</m:t>
              </m:r>
            </m:e>
            <m:sub>
              <m:r>
                <m:t>R</m:t>
              </m:r>
            </m:sub>
            <m:sup>
              <m:r>
                <m:t>c</m:t>
              </m:r>
            </m:sup>
          </m:sSubSup>
          <m:r>
            <m:rPr>
              <m:sty m:val="p"/>
            </m:rPr>
            <m:t>⊕</m:t>
          </m:r>
          <m:sSub>
            <m:e>
              <m:r>
                <m:t>L</m:t>
              </m:r>
            </m:e>
            <m:sub>
              <m:r>
                <m:t>L</m:t>
              </m:r>
            </m:sub>
          </m:sSub>
          <m:r>
            <m:rPr>
              <m:sty m:val="p"/>
            </m:rPr>
            <m:t>⊕</m:t>
          </m:r>
          <m:sSubSup>
            <m:e>
              <m:r>
                <m:t>e</m:t>
              </m:r>
            </m:e>
            <m:sub>
              <m:r>
                <m:t>R</m:t>
              </m:r>
            </m:sub>
            <m:sup>
              <m:r>
                <m:t>c</m:t>
              </m:r>
            </m:sup>
          </m:sSubSup>
          <m:r>
            <m:rPr>
              <m:sty m:val="p"/>
            </m:rPr>
            <m:t>⊕</m:t>
          </m:r>
          <m:sSubSup>
            <m:e>
              <m:r>
                <m:t>ν</m:t>
              </m:r>
            </m:e>
            <m:sub>
              <m:r>
                <m:t>R</m:t>
              </m:r>
            </m:sub>
            <m:sup>
              <m:r>
                <m:t>c</m:t>
              </m:r>
            </m:sup>
          </m:sSubSup>
          <m:r>
            <m:rPr>
              <m:sty m:val="p"/>
            </m:rPr>
            <m:t>.</m:t>
          </m:r>
        </m:oMath>
      </m:oMathPara>
    </w:p>
    <w:p>
      <w:pPr>
        <w:pStyle w:val="FirstParagraph"/>
        <w:keepLines/>
        <w:spacing w:before="50" w:after="80"/>
        <w:jc w:val="center"/>
      </w:pPr>
      <w:r>
        <w:t xml:space="preserve">The channel descending from</w:t>
      </w:r>
      <w:r>
        <w:t xml:space="preserve"> </w:t>
      </w:r>
      <m:oMath>
        <m:sSub>
          <m:e>
            <m:r>
              <m:rPr>
                <m:sty m:val="b"/>
              </m:rPr>
              <m:t>1</m:t>
            </m:r>
          </m:e>
          <m:sub>
            <m:r>
              <m:t>N</m:t>
            </m:r>
          </m:sub>
        </m:sSub>
      </m:oMath>
      <w:r>
        <w:t xml:space="preserve"> </w:t>
      </w:r>
      <w:r>
        <w:t xml:space="preserve">is assigned to</w:t>
      </w:r>
      <w:r>
        <w:t xml:space="preserve"> </w:t>
      </w:r>
      <m:oMath>
        <m:sSubSup>
          <m:e>
            <m:r>
              <m:t>ν</m:t>
            </m:r>
          </m:e>
          <m:sub>
            <m:r>
              <m:t>R</m:t>
            </m:r>
          </m:sub>
          <m:sup>
            <m:r>
              <m:t>c</m:t>
            </m:r>
          </m:sup>
        </m:sSubSup>
      </m:oMath>
      <w:r>
        <w:t xml:space="preserve"> </w:t>
      </w:r>
      <w:r>
        <w:t xml:space="preserve">after filtering. It is neutral under the Standard-Model gauge currents, but neutrality does not by itself make it the zero vector of the transported state space.</w:t>
      </w:r>
    </w:p>
    <w:bookmarkEnd w:id="27"/>
    <w:bookmarkStart w:id="28" w:name="the-four-filter-selection-problem"/>
    <w:p>
      <w:pPr>
        <w:pStyle w:val="Heading2"/>
        <w:keepNext/>
      </w:pPr>
      <w:r>
        <w:t xml:space="preserve">The four-filter selection problem</w:t>
      </w:r>
    </w:p>
    <w:p>
      <w:pPr>
        <w:pStyle w:val="FirstParagraph"/>
      </w:pPr>
      <w:r>
        <w:t xml:space="preserve">WRRA-M 0.3 fixed</w:t>
      </w:r>
    </w:p>
    <w:p>
      <w:pPr>
        <w:pStyle w:val="BodyText"/>
      </w:pPr>
      <m:oMathPara>
        <m:oMathParaPr>
          <m:jc m:val="center"/>
        </m:oMathParaPr>
        <m:oMath>
          <m:sSub>
            <m:e>
              <m:r>
                <m:rPr>
                  <m:sty m:val="p"/>
                  <m:scr m:val="script"/>
                </m:rPr>
                <m:t>F</m:t>
              </m:r>
            </m:e>
            <m:sub>
              <m:r>
                <m:t>4</m:t>
              </m:r>
            </m:sub>
          </m:sSub>
          <m:r>
            <m:rPr>
              <m:sty m:val="p"/>
            </m:rPr>
            <m:t>=</m:t>
          </m:r>
          <m:r>
            <m:rPr>
              <m:sty m:val="p"/>
            </m:rPr>
            <m:t>{</m:t>
          </m:r>
          <m:sSub>
            <m:e>
              <m:r>
                <m:t>F</m:t>
              </m:r>
            </m:e>
            <m:sub>
              <m:r>
                <m:t>D</m:t>
              </m:r>
              <m:r>
                <m:t>X</m:t>
              </m:r>
            </m:sub>
          </m:sSub>
          <m:r>
            <m:rPr>
              <m:sty m:val="p"/>
            </m:rPr>
            <m:t>,</m:t>
          </m:r>
          <m:sSub>
            <m:e>
              <m:r>
                <m:t>F</m:t>
              </m:r>
            </m:e>
            <m:sub>
              <m:r>
                <m:t>X</m:t>
              </m:r>
              <m:r>
                <m:t>X</m:t>
              </m:r>
            </m:sub>
          </m:sSub>
          <m:r>
            <m:rPr>
              <m:sty m:val="p"/>
            </m:rPr>
            <m:t>,</m:t>
          </m:r>
          <m:sSub>
            <m:e>
              <m:r>
                <m:t>F</m:t>
              </m:r>
            </m:e>
            <m:sub>
              <m:r>
                <m:t>D</m:t>
              </m:r>
              <m:r>
                <m:t>D</m:t>
              </m:r>
            </m:sub>
          </m:sSub>
          <m:r>
            <m:rPr>
              <m:sty m:val="p"/>
            </m:rPr>
            <m:t>,</m:t>
          </m:r>
          <m:sSub>
            <m:e>
              <m:r>
                <m:t>F</m:t>
              </m:r>
            </m:e>
            <m:sub>
              <m:r>
                <m:t>X</m:t>
              </m:r>
              <m:r>
                <m:t>D</m:t>
              </m:r>
            </m:sub>
          </m:sSub>
          <m:r>
            <m:rPr>
              <m:sty m:val="p"/>
            </m:rPr>
            <m:t>}</m:t>
          </m:r>
        </m:oMath>
      </m:oMathPara>
    </w:p>
    <w:p>
      <w:pPr>
        <w:pStyle w:val="FirstParagraph"/>
      </w:pPr>
      <w:r>
        <w:t xml:space="preserve">and the two gaps</w:t>
      </w:r>
    </w:p>
    <w:p>
      <w:pPr>
        <w:pStyle w:val="BodyText"/>
      </w:pPr>
      <m:oMathPara>
        <m:oMathParaPr>
          <m:jc m:val="center"/>
        </m:oMathParaPr>
        <m:oMath>
          <m:sSub>
            <m:e>
              <m:r>
                <m:t>Δ</m:t>
              </m:r>
            </m:e>
            <m:sub>
              <m:r>
                <m:t>L</m:t>
              </m:r>
            </m:sub>
          </m:sSub>
          <m:r>
            <m:rPr>
              <m:sty m:val="p"/>
            </m:rPr>
            <m:t>=</m:t>
          </m:r>
          <m:d>
            <m:dPr>
              <m:begChr m:val="("/>
              <m:endChr m:val=")"/>
              <m:sepChr m:val=""/>
              <m:grow/>
            </m:dPr>
            <m:e>
              <m:sSub>
                <m:e>
                  <m:r>
                    <m:rPr>
                      <m:sty m:val="p"/>
                    </m:rPr>
                    <m:t>ℓ</m:t>
                  </m:r>
                </m:e>
                <m:sub>
                  <m:r>
                    <m:t>A</m:t>
                  </m:r>
                  <m:r>
                    <m:t>A</m:t>
                  </m:r>
                </m:sub>
              </m:sSub>
              <m:r>
                <m:rPr>
                  <m:sty m:val="p"/>
                </m:rPr>
                <m:t>+</m:t>
              </m:r>
              <m:sSub>
                <m:e>
                  <m:r>
                    <m:rPr>
                      <m:sty m:val="p"/>
                    </m:rPr>
                    <m:t>ℓ</m:t>
                  </m:r>
                </m:e>
                <m:sub>
                  <m:r>
                    <m:t>B</m:t>
                  </m:r>
                  <m:r>
                    <m:t>B</m:t>
                  </m:r>
                </m:sub>
              </m:sSub>
            </m:e>
          </m:d>
          <m:r>
            <m:rPr>
              <m:sty m:val="p"/>
            </m:rPr>
            <m:t>−</m:t>
          </m:r>
          <m:d>
            <m:dPr>
              <m:begChr m:val="("/>
              <m:endChr m:val=")"/>
              <m:sepChr m:val=""/>
              <m:grow/>
            </m:dPr>
            <m:e>
              <m:sSub>
                <m:e>
                  <m:r>
                    <m:rPr>
                      <m:sty m:val="p"/>
                    </m:rPr>
                    <m:t>ℓ</m:t>
                  </m:r>
                </m:e>
                <m:sub>
                  <m:r>
                    <m:t>A</m:t>
                  </m:r>
                  <m:r>
                    <m:t>B</m:t>
                  </m:r>
                </m:sub>
              </m:sSub>
              <m:r>
                <m:rPr>
                  <m:sty m:val="p"/>
                </m:rPr>
                <m:t>+</m:t>
              </m:r>
              <m:sSub>
                <m:e>
                  <m:r>
                    <m:rPr>
                      <m:sty m:val="p"/>
                    </m:rPr>
                    <m:t>ℓ</m:t>
                  </m:r>
                </m:e>
                <m:sub>
                  <m:r>
                    <m:t>B</m:t>
                  </m:r>
                  <m:r>
                    <m:t>A</m:t>
                  </m:r>
                </m:sub>
              </m:sSub>
            </m:e>
          </m:d>
          <m:r>
            <m:rPr>
              <m:sty m:val="p"/>
            </m:rPr>
            <m:t>,</m:t>
          </m:r>
        </m:oMath>
      </m:oMathPara>
    </w:p>
    <w:p>
      <w:pPr>
        <w:pStyle w:val="FirstParagraph"/>
      </w:pPr>
      <m:oMathPara>
        <m:oMathParaPr>
          <m:jc m:val="center"/>
        </m:oMathParaPr>
        <m:oMath>
          <m:sSub>
            <m:e>
              <m:r>
                <m:t>Δ</m:t>
              </m:r>
            </m:e>
            <m:sub>
              <m:r>
                <m:t>R</m:t>
              </m:r>
            </m:sub>
          </m:sSub>
          <m:r>
            <m:rPr>
              <m:sty m:val="p"/>
            </m:rPr>
            <m:t>=</m:t>
          </m:r>
          <m:d>
            <m:dPr>
              <m:begChr m:val="("/>
              <m:endChr m:val=")"/>
              <m:sepChr m:val=""/>
              <m:grow/>
            </m:dPr>
            <m:e>
              <m:sSub>
                <m:e>
                  <m:r>
                    <m:t>r</m:t>
                  </m:r>
                </m:e>
                <m:sub>
                  <m:r>
                    <m:t>A</m:t>
                  </m:r>
                  <m:r>
                    <m:t>N</m:t>
                  </m:r>
                </m:sub>
              </m:sSub>
              <m:r>
                <m:rPr>
                  <m:sty m:val="p"/>
                </m:rPr>
                <m:t>+</m:t>
              </m:r>
              <m:sSub>
                <m:e>
                  <m:r>
                    <m:t>r</m:t>
                  </m:r>
                </m:e>
                <m:sub>
                  <m:r>
                    <m:t>B</m:t>
                  </m:r>
                  <m:r>
                    <m:t>0</m:t>
                  </m:r>
                </m:sub>
              </m:sSub>
            </m:e>
          </m:d>
          <m:r>
            <m:rPr>
              <m:sty m:val="p"/>
            </m:rPr>
            <m:t>−</m:t>
          </m:r>
          <m:d>
            <m:dPr>
              <m:begChr m:val="("/>
              <m:endChr m:val=")"/>
              <m:sepChr m:val=""/>
              <m:grow/>
            </m:dPr>
            <m:e>
              <m:sSub>
                <m:e>
                  <m:r>
                    <m:t>r</m:t>
                  </m:r>
                </m:e>
                <m:sub>
                  <m:r>
                    <m:t>A</m:t>
                  </m:r>
                  <m:r>
                    <m:t>0</m:t>
                  </m:r>
                </m:sub>
              </m:sSub>
              <m:r>
                <m:rPr>
                  <m:sty m:val="p"/>
                </m:rPr>
                <m:t>+</m:t>
              </m:r>
              <m:sSub>
                <m:e>
                  <m:r>
                    <m:t>r</m:t>
                  </m:r>
                </m:e>
                <m:sub>
                  <m:r>
                    <m:t>B</m:t>
                  </m:r>
                  <m:r>
                    <m:t>N</m:t>
                  </m:r>
                </m:sub>
              </m:sSub>
            </m:e>
          </m:d>
          <m:r>
            <m:rPr>
              <m:sty m:val="p"/>
            </m:rPr>
            <m:t>.</m:t>
          </m:r>
        </m:oMath>
      </m:oMathPara>
    </w:p>
    <w:p>
      <w:pPr>
        <w:pStyle w:val="FirstParagraph"/>
        <w:keepLines/>
        <w:spacing w:before="50" w:after="80"/>
        <w:jc w:val="center"/>
      </w:pPr>
      <w:r>
        <w:t xml:space="preserve">Within this fixed class,</w:t>
      </w:r>
      <w:r>
        <w:t xml:space="preserve"> </w:t>
      </w:r>
      <m:oMath>
        <m:sSub>
          <m:e>
            <m:r>
              <m:t>F</m:t>
            </m:r>
          </m:e>
          <m:sub>
            <m:r>
              <m:t>D</m:t>
            </m:r>
            <m:r>
              <m:t>X</m:t>
            </m:r>
          </m:sub>
        </m:sSub>
      </m:oMath>
      <w:r>
        <w:t xml:space="preserve"> </w:t>
      </w:r>
      <w:r>
        <w:t xml:space="preserve">is the unique maximizer if and only if</w:t>
      </w:r>
      <w:r>
        <w:t xml:space="preserve"> </w:t>
      </w:r>
      <m:oMath>
        <m:sSub>
          <m:e>
            <m:r>
              <m:t>Δ</m:t>
            </m:r>
          </m:e>
          <m:sub>
            <m:r>
              <m:t>L</m:t>
            </m:r>
          </m:sub>
        </m:sSub>
        <m:r>
          <m:rPr>
            <m:sty m:val="p"/>
          </m:rPr>
          <m:t>&gt;</m:t>
        </m:r>
        <m:r>
          <m:t>0</m:t>
        </m:r>
      </m:oMath>
      <w:r>
        <w:t xml:space="preserve"> </w:t>
      </w:r>
      <w:r>
        <w:t xml:space="preserve">and</w:t>
      </w:r>
      <w:r>
        <w:t xml:space="preserve"> </w:t>
      </w:r>
      <m:oMath>
        <m:sSub>
          <m:e>
            <m:r>
              <m:t>Δ</m:t>
            </m:r>
          </m:e>
          <m:sub>
            <m:r>
              <m:t>R</m:t>
            </m:r>
          </m:sub>
        </m:sSub>
        <m:r>
          <m:rPr>
            <m:sty m:val="p"/>
          </m:rPr>
          <m:t>&gt;</m:t>
        </m:r>
        <m:r>
          <m:t>0</m:t>
        </m:r>
      </m:oMath>
      <w:r>
        <w:t xml:space="preserve">.</w:t>
      </w:r>
    </w:p>
    <w:bookmarkEnd w:id="28"/>
    <w:bookmarkStart w:id="29" w:name="X2c4660778b1254febc447a49ce7ed9b6cda67fa"/>
    <w:p>
      <w:pPr>
        <w:pStyle w:val="Heading2"/>
        <w:keepNext/>
      </w:pPr>
      <w:r>
        <w:t xml:space="preserve">The existing fifteen-channel common carrier</w:t>
      </w:r>
    </w:p>
    <w:p>
      <w:pPr>
        <w:pStyle w:val="FirstParagraph"/>
      </w:pPr>
      <w:r>
        <w:t xml:space="preserve">Minimal Computation Cosmology defined the common carrier as a transport structure shared by the fifteen chiral components of one minimal Standard-Model generation:</w:t>
      </w:r>
    </w:p>
    <w:p>
      <w:pPr>
        <w:pStyle w:val="BodyText"/>
      </w:pPr>
      <m:oMathPara>
        <m:oMathParaPr>
          <m:jc m:val="center"/>
        </m:oMathParaPr>
        <m:oMath>
          <m:sSubSup>
            <m:e>
              <m:r>
                <m:t>D</m:t>
              </m:r>
            </m:e>
            <m:sub>
              <m:r>
                <m:t>C</m:t>
              </m:r>
            </m:sub>
            <m:sup>
              <m:d>
                <m:dPr>
                  <m:begChr m:val="("/>
                  <m:endChr m:val=")"/>
                  <m:sepChr m:val=""/>
                  <m:grow/>
                </m:dPr>
                <m:e>
                  <m:r>
                    <m:t>15</m:t>
                  </m:r>
                </m:e>
              </m:d>
            </m:sup>
          </m:sSubSup>
          <m:r>
            <m:rPr>
              <m:sty m:val="p"/>
            </m:rPr>
            <m:t>:</m:t>
          </m:r>
          <m:sSubSup>
            <m:e>
              <m:r>
                <m:rPr>
                  <m:sty m:val="p"/>
                </m:rPr>
                <m:t>⨁</m:t>
              </m:r>
            </m:e>
            <m:sub>
              <m:r>
                <m:t>i</m:t>
              </m:r>
              <m:r>
                <m:rPr>
                  <m:sty m:val="p"/>
                </m:rPr>
                <m:t>=</m:t>
              </m:r>
              <m:r>
                <m:t>1</m:t>
              </m:r>
            </m:sub>
            <m:sup>
              <m:r>
                <m:t>15</m:t>
              </m:r>
            </m:sup>
          </m:sSubSup>
          <m:sSub>
            <m:e>
              <m:r>
                <m:rPr>
                  <m:sty m:val="p"/>
                  <m:scr m:val="script"/>
                </m:rPr>
                <m:t>H</m:t>
              </m:r>
            </m:e>
            <m:sub>
              <m:r>
                <m:t>i</m:t>
              </m:r>
            </m:sub>
          </m:sSub>
          <m:r>
            <m:rPr>
              <m:sty m:val="p"/>
            </m:rPr>
            <m:t>→</m:t>
          </m:r>
          <m:sSubSup>
            <m:e>
              <m:r>
                <m:rPr>
                  <m:sty m:val="p"/>
                </m:rPr>
                <m:t>⨁</m:t>
              </m:r>
            </m:e>
            <m:sub>
              <m:r>
                <m:t>i</m:t>
              </m:r>
              <m:r>
                <m:rPr>
                  <m:sty m:val="p"/>
                </m:rPr>
                <m:t>=</m:t>
              </m:r>
              <m:r>
                <m:t>1</m:t>
              </m:r>
            </m:sub>
            <m:sup>
              <m:r>
                <m:t>15</m:t>
              </m:r>
            </m:sup>
          </m:sSubSup>
          <m:sSub>
            <m:e>
              <m:r>
                <m:rPr>
                  <m:sty m:val="p"/>
                  <m:scr m:val="script"/>
                </m:rPr>
                <m:t>H</m:t>
              </m:r>
            </m:e>
            <m:sub>
              <m:r>
                <m:t>i</m:t>
              </m:r>
            </m:sub>
          </m:sSub>
          <m:r>
            <m:rPr>
              <m:sty m:val="p"/>
            </m:rPr>
            <m:t>.</m:t>
          </m:r>
        </m:oMath>
      </m:oMathPara>
    </w:p>
    <w:p>
      <w:pPr>
        <w:pStyle w:val="FirstParagraph"/>
      </w:pPr>
      <w:r>
        <w:t xml:space="preserve">Its commonality is not identical particle content. The channels retain their representations and selection rules while sharing a local transport skeleton, principal kinematics, and boundary-recording rule. The relevant surviving constraints are:</w:t>
      </w:r>
    </w:p>
    <w:p>
      <w:r>
        <w:rPr>
          <w:rFonts w:ascii="Aptos" w:hAnsi="Aptos"/>
        </w:rPr>
        <w:t xml:space="preserve">• </w:t>
      </w:r>
      <w:pPr>
        <w:numPr>
          <w:ilvl w:val="0"/>
          <w:numId w:val="1003"/>
        </w:numPr>
        <w:pStyle w:val="Compact"/>
        <w:spacing w:after="44"/>
        <w:ind w:left="317" w:hanging="202"/>
      </w:pPr>
      <w:r>
        <w:t xml:space="preserve">the transported band must not leave physical channel directions dark;</w:t>
      </w:r>
    </w:p>
    <w:p>
      <w:r>
        <w:rPr>
          <w:rFonts w:ascii="Aptos" w:hAnsi="Aptos"/>
        </w:rPr>
        <w:t xml:space="preserve">• </w:t>
      </w:r>
      <w:pPr>
        <w:numPr>
          <w:ilvl w:val="0"/>
          <w:numId w:val="1003"/>
        </w:numPr>
        <w:pStyle w:val="Compact"/>
        <w:spacing w:after="44"/>
        <w:ind w:left="317" w:hanging="202"/>
      </w:pPr>
      <w:r>
        <w:t xml:space="preserve">carrier dependence must not split the principal causal cone;</w:t>
      </w:r>
    </w:p>
    <w:p>
      <w:r>
        <w:rPr>
          <w:rFonts w:ascii="Aptos" w:hAnsi="Aptos"/>
        </w:rPr>
        <w:t xml:space="preserve">• </w:t>
      </w:r>
      <w:pPr>
        <w:numPr>
          <w:ilvl w:val="0"/>
          <w:numId w:val="1003"/>
        </w:numPr>
        <w:pStyle w:val="Compact"/>
        <w:spacing w:after="44"/>
        <w:ind w:left="317" w:hanging="202"/>
      </w:pPr>
      <w:r>
        <w:t xml:space="preserve">channel differences may enter through lower-order gauge-covariant phenotype operators;</w:t>
      </w:r>
    </w:p>
    <w:p>
      <w:r>
        <w:rPr>
          <w:rFonts w:ascii="Aptos" w:hAnsi="Aptos"/>
        </w:rPr>
        <w:t xml:space="preserve">• </w:t>
      </w:r>
      <w:pPr>
        <w:numPr>
          <w:ilvl w:val="0"/>
          <w:numId w:val="1003"/>
        </w:numPr>
        <w:pStyle w:val="Compact"/>
        <w:spacing w:after="44"/>
        <w:ind w:left="317" w:hanging="202"/>
      </w:pPr>
      <w:r>
        <w:t xml:space="preserve">full abstract rank must not be confused with mass generation, particle occupancy, or an interacting Standard-Model completion.</w:t>
      </w:r>
    </w:p>
    <w:bookmarkEnd w:id="29"/>
    <w:bookmarkEnd w:id="30"/>
    <w:bookmarkStart w:id="34" w:name="X9ffbba39c7f31df280629619432221d48d5ae03"/>
    <w:p>
      <w:pPr>
        <w:pStyle w:val="Heading1"/>
        <w:keepNext/>
      </w:pPr>
      <w:r>
        <w:t xml:space="preserve">Conditional extension from fifteen to sixteen channels</w:t>
      </w:r>
    </w:p>
    <w:p>
      <w:pPr>
        <w:pStyle w:val="FirstParagraph"/>
      </w:pPr>
      <w:r>
        <w:t xml:space="preserve">Define</w:t>
      </w:r>
    </w:p>
    <w:p>
      <w:pPr>
        <w:pStyle w:val="BodyText"/>
      </w:pPr>
      <m:oMathPara>
        <m:oMathParaPr>
          <m:jc m:val="center"/>
        </m:oMathParaPr>
        <m:oMath>
          <m:sSub>
            <m:e>
              <m:r>
                <m:rPr>
                  <m:sty m:val="p"/>
                  <m:scr m:val="script"/>
                </m:rPr>
                <m:t>H</m:t>
              </m:r>
            </m:e>
            <m:sub>
              <m:r>
                <m:t>16</m:t>
              </m:r>
            </m:sub>
          </m:sSub>
          <m:r>
            <m:rPr>
              <m:sty m:val="p"/>
            </m:rPr>
            <m:t>=</m:t>
          </m:r>
          <m:sSub>
            <m:e>
              <m:r>
                <m:rPr>
                  <m:sty m:val="p"/>
                  <m:scr m:val="script"/>
                </m:rPr>
                <m:t>H</m:t>
              </m:r>
            </m:e>
            <m:sub>
              <m:r>
                <m:t>15</m:t>
              </m:r>
            </m:sub>
          </m:sSub>
          <m:r>
            <m:rPr>
              <m:sty m:val="p"/>
            </m:rPr>
            <m:t>⊕</m:t>
          </m:r>
          <m:sSub>
            <m:e>
              <m:r>
                <m:rPr>
                  <m:sty m:val="p"/>
                  <m:scr m:val="script"/>
                </m:rPr>
                <m:t>H</m:t>
              </m:r>
            </m:e>
            <m:sub>
              <m:r>
                <m:t>N</m:t>
              </m:r>
            </m:sub>
          </m:sSub>
          <m:r>
            <m:rPr>
              <m:sty m:val="p"/>
            </m:rPr>
            <m:t>,</m:t>
          </m:r>
        </m:oMath>
      </m:oMathPara>
    </w:p>
    <w:p>
      <w:pPr>
        <w:pStyle w:val="FirstParagraph"/>
        <w:keepLines/>
        <w:spacing w:before="50" w:after="80"/>
        <w:jc w:val="center"/>
      </w:pPr>
      <w:r>
        <w:t xml:space="preserve">where</w:t>
      </w:r>
      <w:r>
        <w:t xml:space="preserve"> </w:t>
      </w:r>
      <m:oMath>
        <m:sSub>
          <m:e>
            <m:r>
              <m:rPr>
                <m:sty m:val="p"/>
                <m:scr m:val="script"/>
              </m:rPr>
              <m:t>H</m:t>
            </m:r>
          </m:e>
          <m:sub>
            <m:r>
              <m:t>N</m:t>
            </m:r>
          </m:sub>
        </m:sSub>
      </m:oMath>
      <w:r>
        <w:t xml:space="preserve"> </w:t>
      </w:r>
      <w:r>
        <w:t xml:space="preserve">is one complex left-handed Weyl channel that becomes</w:t>
      </w:r>
      <w:r>
        <w:t xml:space="preserve"> </w:t>
      </w:r>
      <m:oMath>
        <m:sSubSup>
          <m:e>
            <m:r>
              <m:t>ν</m:t>
            </m:r>
          </m:e>
          <m:sub>
            <m:r>
              <m:t>R</m:t>
            </m:r>
          </m:sub>
          <m:sup>
            <m:r>
              <m:t>c</m:t>
            </m:r>
          </m:sup>
        </m:sSubSup>
      </m:oMath>
      <w:r>
        <w:t xml:space="preserve"> </w:t>
      </w:r>
      <w:r>
        <w:t xml:space="preserve">under the 0.2 filter. A sixteen-channel extension is an operator</w:t>
      </w:r>
    </w:p>
    <w:p>
      <w:pPr>
        <w:pStyle w:val="BodyText"/>
      </w:pPr>
      <m:oMathPara>
        <m:oMathParaPr>
          <m:jc m:val="center"/>
        </m:oMathParaPr>
        <m:oMath>
          <m:sSubSup>
            <m:e>
              <m:r>
                <m:t>D</m:t>
              </m:r>
            </m:e>
            <m:sub>
              <m:r>
                <m:t>C</m:t>
              </m:r>
            </m:sub>
            <m:sup>
              <m:d>
                <m:dPr>
                  <m:begChr m:val="("/>
                  <m:endChr m:val=")"/>
                  <m:sepChr m:val=""/>
                  <m:grow/>
                </m:dPr>
                <m:e>
                  <m:r>
                    <m:t>16</m:t>
                  </m:r>
                </m:e>
              </m:d>
            </m:sup>
          </m:sSubSup>
          <m:r>
            <m:rPr>
              <m:sty m:val="p"/>
            </m:rPr>
            <m:t>:</m:t>
          </m:r>
          <m:sSub>
            <m:e>
              <m:r>
                <m:rPr>
                  <m:sty m:val="p"/>
                  <m:scr m:val="script"/>
                </m:rPr>
                <m:t>H</m:t>
              </m:r>
            </m:e>
            <m:sub>
              <m:r>
                <m:t>16</m:t>
              </m:r>
            </m:sub>
          </m:sSub>
          <m:r>
            <m:rPr>
              <m:sty m:val="p"/>
            </m:rPr>
            <m:t>→</m:t>
          </m:r>
          <m:sSub>
            <m:e>
              <m:r>
                <m:rPr>
                  <m:sty m:val="p"/>
                  <m:scr m:val="script"/>
                </m:rPr>
                <m:t>H</m:t>
              </m:r>
            </m:e>
            <m:sub>
              <m:r>
                <m:t>16</m:t>
              </m:r>
            </m:sub>
          </m:sSub>
        </m:oMath>
      </m:oMathPara>
    </w:p>
    <w:p>
      <w:pPr>
        <w:pStyle w:val="FirstParagraph"/>
      </w:pPr>
      <w:r>
        <w:t xml:space="preserve">whose principal transport operator is common to all sixteen channel directions.</w:t>
      </w:r>
    </w:p>
    <w:p>
      <w:pPr>
        <w:pStyle w:val="BodyText"/>
      </w:pPr>
      <w:r>
        <w:t xml:space="preserve">In the microscopic notation already proposed in Minimal Computation Cosmology, the corresponding conditional identification is</w:t>
      </w:r>
    </w:p>
    <w:p>
      <w:pPr>
        <w:pStyle w:val="BodyText"/>
      </w:pPr>
      <m:oMathPara>
        <m:oMathParaPr>
          <m:jc m:val="center"/>
        </m:oMathParaPr>
        <m:oMath>
          <m:sSubSup>
            <m:e>
              <m:r>
                <m:t>D</m:t>
              </m:r>
            </m:e>
            <m:sub>
              <m:r>
                <m:t>C</m:t>
              </m:r>
            </m:sub>
            <m:sup>
              <m:d>
                <m:dPr>
                  <m:begChr m:val="("/>
                  <m:endChr m:val=")"/>
                  <m:sepChr m:val=""/>
                  <m:grow/>
                </m:dPr>
                <m:e>
                  <m:r>
                    <m:t>16</m:t>
                  </m:r>
                </m:e>
              </m:d>
            </m:sup>
          </m:sSubSup>
          <m:box>
            <m:boxPr>
              <m:opEmu m:val="on"/>
            </m:boxPr>
            <m:e>
              <m:r>
                <m:rPr>
                  <m:sty m:val="p"/>
                </m:rPr>
                <m:t>:=</m:t>
              </m:r>
            </m:e>
          </m:box>
          <m:sSub>
            <m:e>
              <m:r>
                <m:t>P</m:t>
              </m:r>
            </m:e>
            <m:sub>
              <m:r>
                <m:t>16</m:t>
              </m:r>
            </m:sub>
          </m:sSub>
          <m:r>
            <m:t> </m:t>
          </m:r>
          <m:sSub>
            <m:e>
              <m:r>
                <m:rPr>
                  <m:sty m:val="p"/>
                </m:rPr>
                <m:t>Red</m:t>
              </m:r>
            </m:e>
            <m:sub>
              <m:r>
                <m:t>K</m:t>
              </m:r>
            </m:sub>
          </m:sSub>
          <m:r>
            <m:t>​</m:t>
          </m:r>
          <m:d>
            <m:dPr>
              <m:begChr m:val="["/>
              <m:endChr m:val="]"/>
              <m:sepChr m:val=""/>
              <m:grow/>
            </m:dPr>
            <m:e>
              <m:sSub>
                <m:e>
                  <m:r>
                    <m:rPr>
                      <m:sty m:val="p"/>
                      <m:scr m:val="script"/>
                    </m:rPr>
                    <m:t>D</m:t>
                  </m:r>
                </m:e>
                <m:sub>
                  <m:r>
                    <m:rPr>
                      <m:sty m:val="p"/>
                    </m:rPr>
                    <m:t>m</m:t>
                  </m:r>
                  <m:r>
                    <m:rPr>
                      <m:sty m:val="p"/>
                    </m:rPr>
                    <m:t>i</m:t>
                  </m:r>
                  <m:r>
                    <m:rPr>
                      <m:sty m:val="p"/>
                    </m:rPr>
                    <m:t>c</m:t>
                  </m:r>
                  <m:r>
                    <m:rPr>
                      <m:sty m:val="p"/>
                    </m:rPr>
                    <m:t>r</m:t>
                  </m:r>
                  <m:r>
                    <m:rPr>
                      <m:sty m:val="p"/>
                    </m:rPr>
                    <m:t>o</m:t>
                  </m:r>
                </m:sub>
              </m:sSub>
            </m:e>
          </m:d>
          <m:sSub>
            <m:e>
              <m:r>
                <m:t>P</m:t>
              </m:r>
            </m:e>
            <m:sub>
              <m:r>
                <m:t>16</m:t>
              </m:r>
            </m:sub>
          </m:sSub>
          <m:r>
            <m:rPr>
              <m:sty m:val="p"/>
            </m:rPr>
            <m:t>.</m:t>
          </m:r>
        </m:oMath>
      </m:oMathPara>
    </w:p>
    <w:p>
      <w:pPr>
        <w:pStyle w:val="FirstParagraph"/>
      </w:pPr>
      <w:r>
        <w:t xml:space="preserve">This equation does not assert that one particular compactification or microscopic theory is correct. It states the ownership requirement: the sixteen visible channels must be reductions of one operator rather than sixteen unrelated transport laws.</w:t>
      </w:r>
    </w:p>
    <w:bookmarkStart w:id="31" w:name="sixteen-channel-carrier-conditions"/>
    <w:p>
      <w:pPr>
        <w:pStyle w:val="Heading2"/>
        <w:keepNext/>
      </w:pPr>
      <w:r>
        <w:t xml:space="preserve">Sixteen-channel carrier conditions</w:t>
      </w:r>
    </w:p>
    <w:p>
      <w:pPr>
        <w:pStyle w:val="FirstParagraph"/>
        <w:keepLines/>
        <w:spacing w:before="50" w:after="80"/>
        <w:jc w:val="center"/>
      </w:pPr>
      <w:r>
        <w:t xml:space="preserve">Let</w:t>
      </w:r>
      <w:r>
        <w:t xml:space="preserve"> </w:t>
      </w:r>
      <m:oMath>
        <m:sSub>
          <m:e>
            <m:r>
              <m:t>σ</m:t>
            </m:r>
          </m:e>
          <m:sub>
            <m:r>
              <m:rPr>
                <m:sty m:val="p"/>
              </m:rPr>
              <m:t>p</m:t>
            </m:r>
            <m:r>
              <m:rPr>
                <m:sty m:val="p"/>
              </m:rPr>
              <m:t>r</m:t>
            </m:r>
          </m:sub>
        </m:sSub>
        <m:d>
          <m:dPr>
            <m:begChr m:val="("/>
            <m:endChr m:val=")"/>
            <m:sepChr m:val=""/>
            <m:grow/>
          </m:dPr>
          <m:e>
            <m:sSubSup>
              <m:e>
                <m:r>
                  <m:t>D</m:t>
                </m:r>
              </m:e>
              <m:sub>
                <m:r>
                  <m:t>C</m:t>
                </m:r>
              </m:sub>
              <m:sup>
                <m:d>
                  <m:dPr>
                    <m:begChr m:val="("/>
                    <m:endChr m:val=")"/>
                    <m:sepChr m:val=""/>
                    <m:grow/>
                  </m:dPr>
                  <m:e>
                    <m:r>
                      <m:t>16</m:t>
                    </m:r>
                  </m:e>
                </m:d>
              </m:sup>
            </m:sSubSup>
          </m:e>
        </m:d>
        <m:d>
          <m:dPr>
            <m:begChr m:val="("/>
            <m:endChr m:val=")"/>
            <m:sepChr m:val=""/>
            <m:grow/>
          </m:dPr>
          <m:e>
            <m:r>
              <m:t>ξ</m:t>
            </m:r>
          </m:e>
        </m:d>
      </m:oMath>
      <w:r>
        <w:t xml:space="preserve"> </w:t>
      </w:r>
      <w:r>
        <w:t xml:space="preserve">denote the principal symbol and let</w:t>
      </w:r>
      <w:r>
        <w:t xml:space="preserve"> </w:t>
      </w:r>
      <m:oMath>
        <m:sSub>
          <m:e>
            <m:r>
              <m:t>G</m:t>
            </m:r>
          </m:e>
          <m:sub>
            <m:r>
              <m:t>16</m:t>
            </m:r>
          </m:sub>
        </m:sSub>
        <m:d>
          <m:dPr>
            <m:begChr m:val="("/>
            <m:endChr m:val=")"/>
            <m:sepChr m:val=""/>
            <m:grow/>
          </m:dPr>
          <m:e>
            <m:r>
              <m:t>I</m:t>
            </m:r>
          </m:e>
        </m:d>
      </m:oMath>
      <w:r>
        <w:t xml:space="preserve"> </w:t>
      </w:r>
      <w:r>
        <w:t xml:space="preserve">be the carrier response Gram operator on a declared band</w:t>
      </w:r>
      <w:r>
        <w:t xml:space="preserve"> </w:t>
      </w:r>
      <m:oMath>
        <m:r>
          <m:t>I</m:t>
        </m:r>
      </m:oMath>
      <w:r>
        <w:t xml:space="preserve">. The extension is admitted in 0.4 only if</w:t>
      </w:r>
    </w:p>
    <w:p>
      <w:pPr>
        <w:pStyle w:val="BodyText"/>
      </w:pPr>
      <m:oMathPara>
        <m:oMathParaPr>
          <m:jc m:val="center"/>
        </m:oMathParaPr>
        <m:oMath>
          <m:f>
            <m:fPr>
              <m:type m:val="bar"/>
            </m:fPr>
            <m:num>
              <m:r>
                <m:rPr>
                  <m:sty m:val="p"/>
                </m:rPr>
                <m:t>∂</m:t>
              </m:r>
              <m:r>
                <m:t> </m:t>
              </m:r>
              <m:sSub>
                <m:e>
                  <m:r>
                    <m:t>σ</m:t>
                  </m:r>
                </m:e>
                <m:sub>
                  <m:r>
                    <m:rPr>
                      <m:sty m:val="p"/>
                    </m:rPr>
                    <m:t>p</m:t>
                  </m:r>
                  <m:r>
                    <m:rPr>
                      <m:sty m:val="p"/>
                    </m:rPr>
                    <m:t>r</m:t>
                  </m:r>
                </m:sub>
              </m:sSub>
            </m:num>
            <m:den>
              <m:r>
                <m:rPr>
                  <m:sty m:val="p"/>
                </m:rPr>
                <m:t>∂</m:t>
              </m:r>
              <m:r>
                <m:t> </m:t>
              </m:r>
              <m:r>
                <m:rPr>
                  <m:nor/>
                  <m:sty m:val="p"/>
                </m:rPr>
                <m:t>channel</m:t>
              </m:r>
            </m:den>
          </m:f>
          <m:r>
            <m:rPr>
              <m:sty m:val="p"/>
            </m:rPr>
            <m:t>=</m:t>
          </m:r>
          <m:r>
            <m:t>0</m:t>
          </m:r>
          <m:r>
            <m:rPr>
              <m:sty m:val="p"/>
            </m:rPr>
            <m:t>,</m:t>
          </m:r>
          <m:r>
            <m:t>  </m:t>
          </m:r>
          <m:sSub>
            <m:e>
              <m:r>
                <m:t>G</m:t>
              </m:r>
            </m:e>
            <m:sub>
              <m:r>
                <m:t>16</m:t>
              </m:r>
            </m:sub>
          </m:sSub>
          <m:d>
            <m:dPr>
              <m:begChr m:val="("/>
              <m:endChr m:val=")"/>
              <m:sepChr m:val=""/>
              <m:grow/>
            </m:dPr>
            <m:e>
              <m:r>
                <m:t>I</m:t>
              </m:r>
            </m:e>
          </m:d>
          <m:r>
            <m:rPr>
              <m:sty m:val="p"/>
            </m:rPr>
            <m:t>≽</m:t>
          </m:r>
          <m:r>
            <m:t>0</m:t>
          </m:r>
          <m:r>
            <m:rPr>
              <m:sty m:val="p"/>
            </m:rPr>
            <m:t>,</m:t>
          </m:r>
          <m:r>
            <m:t>  </m:t>
          </m:r>
          <m:r>
            <m:rPr>
              <m:sty m:val="p"/>
            </m:rPr>
            <m:t>rank</m:t>
          </m:r>
          <m:sSub>
            <m:e>
              <m:r>
                <m:t>G</m:t>
              </m:r>
            </m:e>
            <m:sub>
              <m:r>
                <m:t>16</m:t>
              </m:r>
            </m:sub>
          </m:sSub>
          <m:d>
            <m:dPr>
              <m:begChr m:val="("/>
              <m:endChr m:val=")"/>
              <m:sepChr m:val=""/>
              <m:grow/>
            </m:dPr>
            <m:e>
              <m:r>
                <m:t>I</m:t>
              </m:r>
            </m:e>
          </m:d>
          <m:r>
            <m:rPr>
              <m:sty m:val="p"/>
            </m:rPr>
            <m:t>=</m:t>
          </m:r>
          <m:r>
            <m:t>16</m:t>
          </m:r>
          <m:r>
            <m:rPr>
              <m:sty m:val="p"/>
            </m:rPr>
            <m:t>.</m:t>
          </m:r>
        </m:oMath>
      </m:oMathPara>
    </w:p>
    <w:p>
      <w:pPr>
        <w:pStyle w:val="FirstParagraph"/>
      </w:pPr>
      <w:r>
        <w:t xml:space="preserve">The first condition preserves one principal causal geometry. The second supplies a nonnegative response metric. The third blocks a dark transported direction.</w:t>
      </w:r>
    </w:p>
    <w:bookmarkEnd w:id="31"/>
    <w:bookmarkStart w:id="32" w:name="null-lift-criterion"/>
    <w:p>
      <w:pPr>
        <w:pStyle w:val="Heading2"/>
        <w:keepNext/>
      </w:pPr>
      <w:r>
        <w:t xml:space="preserve">Null-lift criterion</w:t>
      </w:r>
    </w:p>
    <w:p>
      <w:pPr>
        <w:pStyle w:val="FirstParagraph"/>
      </w:pPr>
      <w:r>
        <w:t xml:space="preserve">The decisive distinction begins with gauge-current neutrality:</w:t>
      </w:r>
    </w:p>
    <w:p>
      <w:pPr>
        <w:pStyle w:val="BodyText"/>
      </w:pPr>
      <m:oMathPara>
        <m:oMathParaPr>
          <m:jc m:val="center"/>
        </m:oMathParaPr>
        <m:oMath>
          <m:sSub>
            <m:e>
              <m:r>
                <m:t>J</m:t>
              </m:r>
            </m:e>
            <m:sub>
              <m:r>
                <m:t>1</m:t>
              </m:r>
            </m:sub>
          </m:sSub>
          <m:d>
            <m:dPr>
              <m:begChr m:val="["/>
              <m:endChr m:val="]"/>
              <m:sepChr m:val=""/>
              <m:grow/>
            </m:dPr>
            <m:e>
              <m:r>
                <m:t>N</m:t>
              </m:r>
            </m:e>
          </m:d>
          <m:r>
            <m:rPr>
              <m:sty m:val="p"/>
            </m:rPr>
            <m:t>=</m:t>
          </m:r>
          <m:sSub>
            <m:e>
              <m:r>
                <m:t>J</m:t>
              </m:r>
            </m:e>
            <m:sub>
              <m:r>
                <m:t>2</m:t>
              </m:r>
            </m:sub>
          </m:sSub>
          <m:d>
            <m:dPr>
              <m:begChr m:val="["/>
              <m:endChr m:val="]"/>
              <m:sepChr m:val=""/>
              <m:grow/>
            </m:dPr>
            <m:e>
              <m:r>
                <m:t>N</m:t>
              </m:r>
            </m:e>
          </m:d>
          <m:r>
            <m:rPr>
              <m:sty m:val="p"/>
            </m:rPr>
            <m:t>=</m:t>
          </m:r>
          <m:sSub>
            <m:e>
              <m:r>
                <m:t>J</m:t>
              </m:r>
            </m:e>
            <m:sub>
              <m:r>
                <m:t>3</m:t>
              </m:r>
            </m:sub>
          </m:sSub>
          <m:d>
            <m:dPr>
              <m:begChr m:val="["/>
              <m:endChr m:val="]"/>
              <m:sepChr m:val=""/>
              <m:grow/>
            </m:dPr>
            <m:e>
              <m:r>
                <m:t>N</m:t>
              </m:r>
            </m:e>
          </m:d>
          <m:r>
            <m:rPr>
              <m:sty m:val="p"/>
            </m:rPr>
            <m:t>=</m:t>
          </m:r>
          <m:r>
            <m:t>0</m:t>
          </m:r>
          <m:r>
            <m:rPr>
              <m:sty m:val="p"/>
            </m:rPr>
            <m:t>.</m:t>
          </m:r>
        </m:oMath>
      </m:oMathPara>
    </w:p>
    <w:p>
      <w:pPr>
        <w:pStyle w:val="FirstParagraph"/>
        <w:keepLines/>
        <w:spacing w:before="50" w:after="80"/>
        <w:jc w:val="center"/>
      </w:pPr>
      <w:r>
        <w:t xml:space="preserve">This does not imply absence from common transport. If the filtered</w:t>
      </w:r>
      <w:r>
        <w:t xml:space="preserve"> </w:t>
      </w:r>
      <m:oMath>
        <m:sSub>
          <m:e>
            <m:r>
              <m:rPr>
                <m:sty m:val="b"/>
              </m:rPr>
              <m:t>1</m:t>
            </m:r>
          </m:e>
          <m:sub>
            <m:r>
              <m:t>N</m:t>
            </m:r>
          </m:sub>
        </m:sSub>
      </m:oMath>
      <w:r>
        <w:t xml:space="preserve"> </w:t>
      </w:r>
      <w:r>
        <w:t xml:space="preserve">is to become a physical</w:t>
      </w:r>
      <w:r>
        <w:t xml:space="preserve"> </w:t>
      </w:r>
      <m:oMath>
        <m:sSubSup>
          <m:e>
            <m:r>
              <m:t>ν</m:t>
            </m:r>
          </m:e>
          <m:sub>
            <m:r>
              <m:t>R</m:t>
            </m:r>
          </m:sub>
          <m:sup>
            <m:r>
              <m:t>c</m:t>
            </m:r>
          </m:sup>
        </m:sSubSup>
      </m:oMath>
      <w:r>
        <w:t xml:space="preserve"> </w:t>
      </w:r>
      <w:r>
        <w:t xml:space="preserve">channel, 0.4 instead requires</w:t>
      </w:r>
    </w:p>
    <w:p>
      <w:pPr>
        <w:pStyle w:val="BodyText"/>
      </w:pPr>
      <m:oMathPara>
        <m:oMathParaPr>
          <m:jc m:val="center"/>
        </m:oMathParaPr>
        <m:oMath>
          <m:r>
            <m:rPr>
              <m:sty m:val="p"/>
            </m:rPr>
            <m:t>∥</m:t>
          </m:r>
          <m:r>
            <m:t>N</m:t>
          </m:r>
          <m:sSubSup>
            <m:e>
              <m:r>
                <m:rPr>
                  <m:sty m:val="p"/>
                </m:rPr>
                <m:t>∥</m:t>
              </m:r>
            </m:e>
            <m:sub>
              <m:r>
                <m:t>C</m:t>
              </m:r>
            </m:sub>
            <m:sup>
              <m:r>
                <m:t>2</m:t>
              </m:r>
            </m:sup>
          </m:sSubSup>
          <m:r>
            <m:rPr>
              <m:sty m:val="p"/>
            </m:rPr>
            <m:t>&gt;</m:t>
          </m:r>
          <m:r>
            <m:t>0</m:t>
          </m:r>
          <m:r>
            <m:rPr>
              <m:sty m:val="p"/>
            </m:rPr>
            <m:t>.</m:t>
          </m:r>
        </m:oMath>
      </m:oMathPara>
    </w:p>
    <w:p>
      <w:pPr>
        <w:pStyle w:val="FirstParagraph"/>
      </w:pPr>
      <w:r>
        <w:t xml:space="preserve">Thus the word</w:t>
      </w:r>
      <w:r>
        <w:t xml:space="preserve"> </w:t>
      </w:r>
      <w:r>
        <w:rPr>
          <w:iCs/>
          <w:i/>
        </w:rPr>
        <w:t xml:space="preserve">null</w:t>
      </w:r>
      <w:r>
        <w:t xml:space="preserve"> </w:t>
      </w:r>
      <w:r>
        <w:t xml:space="preserve">is retained only as gauge-current neutrality before phenotype assignment. It cannot mean the zero Hilbert-space vector or the kernel of the common carrier.</w:t>
      </w:r>
    </w:p>
    <w:bookmarkEnd w:id="32"/>
    <w:bookmarkStart w:id="33" w:name="anomaly-preservation"/>
    <w:p>
      <w:pPr>
        <w:pStyle w:val="Heading2"/>
        <w:keepNext/>
      </w:pPr>
      <w:r>
        <w:t xml:space="preserve">Anomaly preservation</w:t>
      </w:r>
    </w:p>
    <w:p>
      <w:pPr>
        <w:pStyle w:val="FirstParagraph"/>
      </w:pPr>
      <w:r>
        <w:t xml:space="preserve">Adding a channel with</w:t>
      </w:r>
    </w:p>
    <w:p>
      <w:pPr>
        <w:pStyle w:val="BodyText"/>
      </w:pPr>
      <m:oMathPara>
        <m:oMathParaPr>
          <m:jc m:val="center"/>
        </m:oMathParaPr>
        <m:oMath>
          <m:d>
            <m:dPr>
              <m:begChr m:val="("/>
              <m:endChr m:val=")"/>
              <m:sepChr m:val=""/>
              <m:grow/>
            </m:dPr>
            <m:e>
              <m:r>
                <m:t>S</m:t>
              </m:r>
              <m:r>
                <m:t>U</m:t>
              </m:r>
              <m:d>
                <m:dPr>
                  <m:begChr m:val="("/>
                  <m:endChr m:val=")"/>
                  <m:sepChr m:val=""/>
                  <m:grow/>
                </m:dPr>
                <m:e>
                  <m:r>
                    <m:t>3</m:t>
                  </m:r>
                </m:e>
              </m:d>
              <m:r>
                <m:rPr>
                  <m:sty m:val="p"/>
                </m:rPr>
                <m:t>,</m:t>
              </m:r>
              <m:r>
                <m:t>S</m:t>
              </m:r>
              <m:r>
                <m:t>U</m:t>
              </m:r>
              <m:d>
                <m:dPr>
                  <m:begChr m:val="("/>
                  <m:endChr m:val=")"/>
                  <m:sepChr m:val=""/>
                  <m:grow/>
                </m:dPr>
                <m:e>
                  <m:r>
                    <m:t>2</m:t>
                  </m:r>
                </m:e>
              </m:d>
              <m:r>
                <m:rPr>
                  <m:sty m:val="p"/>
                </m:rPr>
                <m:t>,</m:t>
              </m:r>
              <m:r>
                <m:t>Y</m:t>
              </m:r>
            </m:e>
          </m:d>
          <m:r>
            <m:rPr>
              <m:sty m:val="p"/>
            </m:rPr>
            <m:t>=</m:t>
          </m:r>
          <m:d>
            <m:dPr>
              <m:begChr m:val="("/>
              <m:endChr m:val=")"/>
              <m:sepChr m:val=""/>
              <m:grow/>
            </m:dPr>
            <m:e>
              <m:r>
                <m:rPr>
                  <m:sty m:val="b"/>
                </m:rPr>
                <m:t>1</m:t>
              </m:r>
              <m:r>
                <m:rPr>
                  <m:sty m:val="p"/>
                </m:rPr>
                <m:t>,</m:t>
              </m:r>
              <m:r>
                <m:rPr>
                  <m:sty m:val="b"/>
                </m:rPr>
                <m:t>1</m:t>
              </m:r>
              <m:r>
                <m:rPr>
                  <m:sty m:val="p"/>
                </m:rPr>
                <m:t>,</m:t>
              </m:r>
              <m:r>
                <m:t>0</m:t>
              </m:r>
            </m:e>
          </m:d>
        </m:oMath>
      </m:oMathPara>
    </w:p>
    <w:p>
      <w:pPr>
        <w:pStyle w:val="FirstParagraph"/>
        <w:keepLines/>
        <w:spacing w:before="50" w:after="80"/>
        <w:jc w:val="center"/>
      </w:pPr>
      <w:r>
        <w:t xml:space="preserve">adds zero to every perturbative gauge anomaly, the mixed gauge-gravitational anomaly, and the global</w:t>
      </w:r>
      <w:r>
        <w:t xml:space="preserve"> </w:t>
      </w:r>
      <m:oMath>
        <m:r>
          <m:t>S</m:t>
        </m:r>
        <m:r>
          <m:t>U</m:t>
        </m:r>
        <m:d>
          <m:dPr>
            <m:begChr m:val="("/>
            <m:endChr m:val=")"/>
            <m:sepChr m:val=""/>
            <m:grow/>
          </m:dPr>
          <m:e>
            <m:r>
              <m:t>2</m:t>
            </m:r>
          </m:e>
        </m:d>
      </m:oMath>
      <w:r>
        <w:t xml:space="preserve"> </w:t>
      </w:r>
      <w:r>
        <w:t xml:space="preserve">parity count. The fifteen-to-sixteen extension therefore changes the transport inventory without changing the anomaly sums already closed in 0.2.</w:t>
      </w:r>
    </w:p>
    <w:bookmarkEnd w:id="33"/>
    <w:bookmarkEnd w:id="34"/>
    <w:bookmarkStart w:id="35" w:name="common-carrier-response-metric"/>
    <w:p>
      <w:pPr>
        <w:pStyle w:val="Heading1"/>
        <w:keepNext/>
      </w:pPr>
      <w:r>
        <w:t xml:space="preserve">Common-carrier response metric</w:t>
      </w:r>
    </w:p>
    <w:p>
      <w:pPr>
        <w:pStyle w:val="FirstParagraph"/>
        <w:keepLines/>
        <w:spacing w:before="50" w:after="80"/>
        <w:jc w:val="center"/>
      </w:pPr>
      <w:r>
        <w:t xml:space="preserve">Let</w:t>
      </w:r>
      <w:r>
        <w:t xml:space="preserve"> </w:t>
      </w:r>
      <m:oMath>
        <m:sSub>
          <m:e>
            <m:r>
              <m:t>u</m:t>
            </m:r>
          </m:e>
          <m:sub>
            <m:r>
              <m:t>i</m:t>
            </m:r>
          </m:sub>
        </m:sSub>
        <m:d>
          <m:dPr>
            <m:begChr m:val="("/>
            <m:endChr m:val=")"/>
            <m:sepChr m:val=""/>
            <m:grow/>
          </m:dPr>
          <m:e>
            <m:r>
              <m:t>ω</m:t>
            </m:r>
          </m:e>
        </m:d>
      </m:oMath>
      <w:r>
        <w:t xml:space="preserve"> </w:t>
      </w:r>
      <w:r>
        <w:t xml:space="preserve">be the response signature of channel origin</w:t>
      </w:r>
      <w:r>
        <w:t xml:space="preserve"> </w:t>
      </w:r>
      <m:oMath>
        <m:r>
          <m:t>i</m:t>
        </m:r>
      </m:oMath>
      <w:r>
        <w:t xml:space="preserve"> </w:t>
      </w:r>
      <w:r>
        <w:t xml:space="preserve">under the same carrier on a fixed band</w:t>
      </w:r>
      <w:r>
        <w:t xml:space="preserve"> </w:t>
      </w:r>
      <m:oMath>
        <m:r>
          <m:t>I</m:t>
        </m:r>
      </m:oMath>
      <w:r>
        <w:t xml:space="preserve">. Let</w:t>
      </w:r>
      <w:r>
        <w:t xml:space="preserve"> </w:t>
      </w:r>
      <m:oMath>
        <m:r>
          <m:t>W</m:t>
        </m:r>
        <m:d>
          <m:dPr>
            <m:begChr m:val="("/>
            <m:endChr m:val=")"/>
            <m:sepChr m:val=""/>
            <m:grow/>
          </m:dPr>
          <m:e>
            <m:r>
              <m:t>ω</m:t>
            </m:r>
          </m:e>
        </m:d>
      </m:oMath>
      <w:r>
        <w:t xml:space="preserve"> </w:t>
      </w:r>
      <w:r>
        <w:t xml:space="preserve">be a positive semidefinite weight fixed without using the desired filter output. Define</w:t>
      </w:r>
    </w:p>
    <w:p>
      <w:pPr>
        <w:pStyle w:val="BodyText"/>
      </w:pPr>
      <m:oMathPara>
        <m:oMathParaPr>
          <m:jc m:val="center"/>
        </m:oMathParaPr>
        <m:oMath>
          <m:r>
            <m:rPr>
              <m:sty m:val="p"/>
            </m:rPr>
            <m:t>⟨</m:t>
          </m:r>
          <m:r>
            <m:t>u</m:t>
          </m:r>
          <m:r>
            <m:rPr>
              <m:sty m:val="p"/>
            </m:rPr>
            <m:t>,</m:t>
          </m:r>
          <m:r>
            <m:t>v</m:t>
          </m:r>
          <m:sSub>
            <m:e>
              <m:r>
                <m:rPr>
                  <m:sty m:val="p"/>
                </m:rPr>
                <m:t>⟩</m:t>
              </m:r>
            </m:e>
            <m:sub>
              <m:r>
                <m:t>C</m:t>
              </m:r>
            </m:sub>
          </m:sSub>
          <m:r>
            <m:rPr>
              <m:sty m:val="p"/>
            </m:rPr>
            <m:t>=</m:t>
          </m:r>
          <m:nary>
            <m:naryPr>
              <m:chr m:val="∫"/>
              <m:limLoc m:val="subSup"/>
              <m:subHide m:val="off"/>
              <m:supHide m:val="on"/>
            </m:naryPr>
            <m:sub>
              <m:r>
                <m:t>I</m:t>
              </m:r>
            </m:sub>
            <m:sup>
              <m:r>
                <m:t>​</m:t>
              </m:r>
            </m:sup>
            <m:e>
              <m:r>
                <m:t>ρ</m:t>
              </m:r>
            </m:e>
          </m:nary>
          <m:d>
            <m:dPr>
              <m:begChr m:val="("/>
              <m:endChr m:val=")"/>
              <m:sepChr m:val=""/>
              <m:grow/>
            </m:dPr>
            <m:e>
              <m:r>
                <m:t>ω</m:t>
              </m:r>
            </m:e>
          </m:d>
          <m:r>
            <m:t> </m:t>
          </m:r>
          <m:r>
            <m:t>u</m:t>
          </m:r>
          <m:sSup>
            <m:e>
              <m:d>
                <m:dPr>
                  <m:begChr m:val="("/>
                  <m:endChr m:val=")"/>
                  <m:sepChr m:val=""/>
                  <m:grow/>
                </m:dPr>
                <m:e>
                  <m:r>
                    <m:t>ω</m:t>
                  </m:r>
                </m:e>
              </m:d>
            </m:e>
            <m:sup>
              <m:r>
                <m:rPr>
                  <m:sty m:val="p"/>
                </m:rPr>
                <m:t>†</m:t>
              </m:r>
            </m:sup>
          </m:sSup>
          <m:r>
            <m:t>W</m:t>
          </m:r>
          <m:d>
            <m:dPr>
              <m:begChr m:val="("/>
              <m:endChr m:val=")"/>
              <m:sepChr m:val=""/>
              <m:grow/>
            </m:dPr>
            <m:e>
              <m:r>
                <m:t>ω</m:t>
              </m:r>
            </m:e>
          </m:d>
          <m:r>
            <m:t>v</m:t>
          </m:r>
          <m:d>
            <m:dPr>
              <m:begChr m:val="("/>
              <m:endChr m:val=")"/>
              <m:sepChr m:val=""/>
              <m:grow/>
            </m:dPr>
            <m:e>
              <m:r>
                <m:t>ω</m:t>
              </m:r>
            </m:e>
          </m:d>
          <m:r>
            <m:t> </m:t>
          </m:r>
          <m:r>
            <m:t>d</m:t>
          </m:r>
          <m:r>
            <m:t>ω</m:t>
          </m:r>
          <m:r>
            <m:rPr>
              <m:sty m:val="p"/>
            </m:rPr>
            <m:t>,</m:t>
          </m:r>
          <m:r>
            <m:t>  </m:t>
          </m:r>
          <m:r>
            <m:t>ρ</m:t>
          </m:r>
          <m:d>
            <m:dPr>
              <m:begChr m:val="("/>
              <m:endChr m:val=")"/>
              <m:sepChr m:val=""/>
              <m:grow/>
            </m:dPr>
            <m:e>
              <m:r>
                <m:t>ω</m:t>
              </m:r>
            </m:e>
          </m:d>
          <m:r>
            <m:rPr>
              <m:sty m:val="p"/>
            </m:rPr>
            <m:t>≥</m:t>
          </m:r>
          <m:r>
            <m:t>0</m:t>
          </m:r>
          <m:r>
            <m:rPr>
              <m:sty m:val="p"/>
            </m:rPr>
            <m:t>,</m:t>
          </m:r>
          <m:r>
            <m:t> </m:t>
          </m:r>
          <m:r>
            <m:t>W</m:t>
          </m:r>
          <m:d>
            <m:dPr>
              <m:begChr m:val="("/>
              <m:endChr m:val=")"/>
              <m:sepChr m:val=""/>
              <m:grow/>
            </m:dPr>
            <m:e>
              <m:r>
                <m:t>ω</m:t>
              </m:r>
            </m:e>
          </m:d>
          <m:r>
            <m:rPr>
              <m:sty m:val="p"/>
            </m:rPr>
            <m:t>≽</m:t>
          </m:r>
          <m:r>
            <m:t>0</m:t>
          </m:r>
          <m:r>
            <m:rPr>
              <m:sty m:val="p"/>
            </m:rPr>
            <m:t>.</m:t>
          </m:r>
        </m:oMath>
      </m:oMathPara>
    </w:p>
    <w:p>
      <w:pPr>
        <w:pStyle w:val="FirstParagraph"/>
      </w:pPr>
      <w:r>
        <w:t xml:space="preserve">The induced squared mismatch is</w:t>
      </w:r>
    </w:p>
    <w:p>
      <w:pPr>
        <w:pStyle w:val="BodyText"/>
      </w:pPr>
      <m:oMathPara>
        <m:oMathParaPr>
          <m:jc m:val="center"/>
        </m:oMathParaPr>
        <m:oMath>
          <m:sSubSup>
            <m:e>
              <m:r>
                <m:t>d</m:t>
              </m:r>
            </m:e>
            <m:sub>
              <m:r>
                <m:t>C</m:t>
              </m:r>
            </m:sub>
            <m:sup>
              <m:r>
                <m:t>2</m:t>
              </m:r>
            </m:sup>
          </m:sSubSup>
          <m:d>
            <m:dPr>
              <m:begChr m:val="("/>
              <m:endChr m:val=")"/>
              <m:sepChr m:val=""/>
              <m:grow/>
            </m:dPr>
            <m:e>
              <m:r>
                <m:t>i</m:t>
              </m:r>
              <m:r>
                <m:rPr>
                  <m:sty m:val="p"/>
                </m:rPr>
                <m:t>,</m:t>
              </m:r>
              <m:r>
                <m:t>j</m:t>
              </m:r>
            </m:e>
          </m:d>
          <m:r>
            <m:rPr>
              <m:sty m:val="p"/>
            </m:rPr>
            <m:t>=</m:t>
          </m:r>
          <m:r>
            <m:rPr>
              <m:sty m:val="p"/>
            </m:rPr>
            <m:t>∥</m:t>
          </m:r>
          <m:sSub>
            <m:e>
              <m:r>
                <m:t>u</m:t>
              </m:r>
            </m:e>
            <m:sub>
              <m:r>
                <m:t>i</m:t>
              </m:r>
            </m:sub>
          </m:sSub>
          <m:r>
            <m:rPr>
              <m:sty m:val="p"/>
            </m:rPr>
            <m:t>−</m:t>
          </m:r>
          <m:sSub>
            <m:e>
              <m:r>
                <m:t>u</m:t>
              </m:r>
            </m:e>
            <m:sub>
              <m:r>
                <m:t>j</m:t>
              </m:r>
            </m:sub>
          </m:sSub>
          <m:sSubSup>
            <m:e>
              <m:r>
                <m:rPr>
                  <m:sty m:val="p"/>
                </m:rPr>
                <m:t>∥</m:t>
              </m:r>
            </m:e>
            <m:sub>
              <m:r>
                <m:t>C</m:t>
              </m:r>
            </m:sub>
            <m:sup>
              <m:r>
                <m:t>2</m:t>
              </m:r>
            </m:sup>
          </m:sSubSup>
          <m:r>
            <m:rPr>
              <m:sty m:val="p"/>
            </m:rPr>
            <m:t>.</m:t>
          </m:r>
        </m:oMath>
      </m:oMathPara>
    </w:p>
    <w:p>
      <w:pPr>
        <w:pStyle w:val="FirstParagraph"/>
      </w:pPr>
      <w:r>
        <w:t xml:space="preserve">Version 0.4 fixes every scalar pairing compatibility by one rule:</w:t>
      </w:r>
    </w:p>
    <w:p>
      <w:pPr>
        <w:pStyle w:val="BodyText"/>
      </w:pPr>
      <m:oMathPara>
        <m:oMathParaPr>
          <m:jc m:val="center"/>
        </m:oMathParaPr>
        <m:oMath>
          <m:sSub>
            <m:e>
              <m:r>
                <m:t>c</m:t>
              </m:r>
            </m:e>
            <m:sub>
              <m:r>
                <m:t>C</m:t>
              </m:r>
            </m:sub>
          </m:sSub>
          <m:d>
            <m:dPr>
              <m:begChr m:val="("/>
              <m:endChr m:val=")"/>
              <m:sepChr m:val=""/>
              <m:grow/>
            </m:dPr>
            <m:e>
              <m:r>
                <m:t>i</m:t>
              </m:r>
              <m:r>
                <m:rPr>
                  <m:sty m:val="p"/>
                </m:rPr>
                <m:t>,</m:t>
              </m:r>
              <m:r>
                <m:t>j</m:t>
              </m:r>
            </m:e>
          </m:d>
          <m:r>
            <m:rPr>
              <m:sty m:val="p"/>
            </m:rPr>
            <m:t>=</m:t>
          </m:r>
          <m:r>
            <m:rPr>
              <m:sty m:val="p"/>
            </m:rPr>
            <m:t>−</m:t>
          </m:r>
          <m:sSubSup>
            <m:e>
              <m:r>
                <m:t>d</m:t>
              </m:r>
            </m:e>
            <m:sub>
              <m:r>
                <m:t>C</m:t>
              </m:r>
            </m:sub>
            <m:sup>
              <m:r>
                <m:t>2</m:t>
              </m:r>
            </m:sup>
          </m:sSubSup>
          <m:d>
            <m:dPr>
              <m:begChr m:val="("/>
              <m:endChr m:val=")"/>
              <m:sepChr m:val=""/>
              <m:grow/>
            </m:dPr>
            <m:e>
              <m:r>
                <m:t>i</m:t>
              </m:r>
              <m:r>
                <m:rPr>
                  <m:sty m:val="p"/>
                </m:rPr>
                <m:t>,</m:t>
              </m:r>
              <m:r>
                <m:t>j</m:t>
              </m:r>
            </m:e>
          </m:d>
          <m:r>
            <m:rPr>
              <m:sty m:val="p"/>
            </m:rPr>
            <m:t>.</m:t>
          </m:r>
        </m:oMath>
      </m:oMathPara>
    </w:p>
    <w:p>
      <w:pPr>
        <w:pStyle w:val="FirstParagraph"/>
        <w:keepLines/>
        <w:spacing w:before="50" w:after="80"/>
        <w:jc w:val="center"/>
      </w:pPr>
      <w:r>
        <w:t xml:space="preserve">Higher score means smaller mismatch under common transport. This is a scalar comparison of gauge-invariant response signatures. It is not a linear map that mixes a color triplet with a singlet, so the common</w:t>
      </w:r>
      <w:r>
        <w:t xml:space="preserve"> </w:t>
      </w:r>
      <m:oMath>
        <m:r>
          <m:t>S</m:t>
        </m:r>
        <m:r>
          <m:t>U</m:t>
        </m:r>
        <m:d>
          <m:dPr>
            <m:begChr m:val="("/>
            <m:endChr m:val=")"/>
            <m:sepChr m:val=""/>
            <m:grow/>
          </m:dPr>
          <m:e>
            <m:r>
              <m:t>3</m:t>
            </m:r>
          </m:e>
        </m:d>
      </m:oMath>
      <w:r>
        <w:t xml:space="preserve"> </w:t>
      </w:r>
      <w:r>
        <w:t xml:space="preserve">action remains unchanged.</w:t>
      </w:r>
    </w:p>
    <w:p>
      <w:pPr>
        <w:pStyle w:val="BodyText"/>
      </w:pPr>
      <w:r>
        <w:t xml:space="preserve">The score also has a direct least-mismatch interpretation. Pairing two channel origins incurs the quadratic carrier cost required to make their boundary responses agree. The filter receives the negative sum of those costs.</w:t>
      </w:r>
    </w:p>
    <w:bookmarkEnd w:id="35"/>
    <w:bookmarkStart w:id="38" w:name="exact-carrier-gap-theorem"/>
    <w:p>
      <w:pPr>
        <w:pStyle w:val="Heading1"/>
        <w:keepNext/>
      </w:pPr>
      <w:r>
        <w:t xml:space="preserve">Exact carrier-gap theorem</w:t>
      </w:r>
    </w:p>
    <w:p>
      <w:pPr>
        <w:pStyle w:val="FirstParagraph"/>
      </w:pPr>
      <w:r>
        <w:t xml:space="preserve">Assign the left compatibility entries by</w:t>
      </w:r>
    </w:p>
    <w:p>
      <w:pPr>
        <w:pStyle w:val="BodyText"/>
      </w:pPr>
      <m:oMathPara>
        <m:oMathParaPr>
          <m:jc m:val="center"/>
        </m:oMathParaPr>
        <m:oMath>
          <m:sSub>
            <m:e>
              <m:r>
                <m:rPr>
                  <m:sty m:val="p"/>
                </m:rPr>
                <m:t>ℓ</m:t>
              </m:r>
            </m:e>
            <m:sub>
              <m:r>
                <m:t>i</m:t>
              </m:r>
              <m:r>
                <m:t>j</m:t>
              </m:r>
            </m:sub>
          </m:sSub>
          <m:r>
            <m:rPr>
              <m:sty m:val="p"/>
            </m:rPr>
            <m:t>=</m:t>
          </m:r>
          <m:r>
            <m:rPr>
              <m:sty m:val="p"/>
            </m:rPr>
            <m:t>−</m:t>
          </m:r>
          <m:r>
            <m:rPr>
              <m:sty m:val="p"/>
            </m:rPr>
            <m:t>∥</m:t>
          </m:r>
          <m:sSub>
            <m:e>
              <m:r>
                <m:t>u</m:t>
              </m:r>
            </m:e>
            <m:sub>
              <m:sSub>
                <m:e>
                  <m:r>
                    <m:t>3</m:t>
                  </m:r>
                </m:e>
                <m:sub>
                  <m:r>
                    <m:t>i</m:t>
                  </m:r>
                </m:sub>
              </m:sSub>
            </m:sub>
          </m:sSub>
          <m:r>
            <m:rPr>
              <m:sty m:val="p"/>
            </m:rPr>
            <m:t>−</m:t>
          </m:r>
          <m:sSub>
            <m:e>
              <m:r>
                <m:t>u</m:t>
              </m:r>
            </m:e>
            <m:sub>
              <m:sSub>
                <m:e>
                  <m:r>
                    <m:t>1</m:t>
                  </m:r>
                </m:e>
                <m:sub>
                  <m:r>
                    <m:t>j</m:t>
                  </m:r>
                </m:sub>
              </m:sSub>
            </m:sub>
          </m:sSub>
          <m:sSubSup>
            <m:e>
              <m:r>
                <m:rPr>
                  <m:sty m:val="p"/>
                </m:rPr>
                <m:t>∥</m:t>
              </m:r>
            </m:e>
            <m:sub>
              <m:r>
                <m:t>C</m:t>
              </m:r>
            </m:sub>
            <m:sup>
              <m:r>
                <m:t>2</m:t>
              </m:r>
            </m:sup>
          </m:sSubSup>
          <m:r>
            <m:rPr>
              <m:sty m:val="p"/>
            </m:rPr>
            <m:t>,</m:t>
          </m:r>
          <m:r>
            <m:t>  </m:t>
          </m:r>
          <m:r>
            <m:t>i</m:t>
          </m:r>
          <m:r>
            <m:rPr>
              <m:sty m:val="p"/>
            </m:rPr>
            <m:t>,</m:t>
          </m:r>
          <m:r>
            <m:t>j</m:t>
          </m:r>
          <m:r>
            <m:rPr>
              <m:sty m:val="p"/>
            </m:rPr>
            <m:t>∈</m:t>
          </m:r>
          <m:r>
            <m:rPr>
              <m:sty m:val="p"/>
            </m:rPr>
            <m:t>{</m:t>
          </m:r>
          <m:r>
            <m:t>A</m:t>
          </m:r>
          <m:r>
            <m:rPr>
              <m:sty m:val="p"/>
            </m:rPr>
            <m:t>,</m:t>
          </m:r>
          <m:r>
            <m:t>B</m:t>
          </m:r>
          <m:r>
            <m:rPr>
              <m:sty m:val="p"/>
            </m:rPr>
            <m:t>}</m:t>
          </m:r>
          <m:r>
            <m:rPr>
              <m:sty m:val="p"/>
            </m:rPr>
            <m:t>,</m:t>
          </m:r>
        </m:oMath>
      </m:oMathPara>
    </w:p>
    <w:p>
      <w:pPr>
        <w:pStyle w:val="FirstParagraph"/>
      </w:pPr>
      <w:r>
        <w:t xml:space="preserve">and the right entries by</w:t>
      </w:r>
    </w:p>
    <w:p>
      <w:pPr>
        <w:pStyle w:val="BodyText"/>
      </w:pPr>
      <m:oMathPara>
        <m:oMathParaPr>
          <m:jc m:val="center"/>
        </m:oMathParaPr>
        <m:oMath>
          <m:sSub>
            <m:e>
              <m:r>
                <m:t>r</m:t>
              </m:r>
            </m:e>
            <m:sub>
              <m:r>
                <m:t>i</m:t>
              </m:r>
              <m:r>
                <m:t>j</m:t>
              </m:r>
            </m:sub>
          </m:sSub>
          <m:r>
            <m:rPr>
              <m:sty m:val="p"/>
            </m:rPr>
            <m:t>=</m:t>
          </m:r>
          <m:r>
            <m:rPr>
              <m:sty m:val="p"/>
            </m:rPr>
            <m:t>−</m:t>
          </m:r>
          <m:r>
            <m:rPr>
              <m:sty m:val="p"/>
            </m:rPr>
            <m:t>∥</m:t>
          </m:r>
          <m:sSub>
            <m:e>
              <m:r>
                <m:t>u</m:t>
              </m:r>
            </m:e>
            <m:sub>
              <m:sSub>
                <m:e>
                  <m:acc>
                    <m:accPr>
                      <m:chr m:val="‾"/>
                    </m:accPr>
                    <m:e>
                      <m:r>
                        <m:t>3</m:t>
                      </m:r>
                    </m:e>
                  </m:acc>
                </m:e>
                <m:sub>
                  <m:r>
                    <m:t>i</m:t>
                  </m:r>
                </m:sub>
              </m:sSub>
            </m:sub>
          </m:sSub>
          <m:r>
            <m:rPr>
              <m:sty m:val="p"/>
            </m:rPr>
            <m:t>−</m:t>
          </m:r>
          <m:sSub>
            <m:e>
              <m:r>
                <m:t>u</m:t>
              </m:r>
            </m:e>
            <m:sub>
              <m:sSub>
                <m:e>
                  <m:r>
                    <m:t>1</m:t>
                  </m:r>
                </m:e>
                <m:sub>
                  <m:r>
                    <m:t>j</m:t>
                  </m:r>
                </m:sub>
              </m:sSub>
            </m:sub>
          </m:sSub>
          <m:sSubSup>
            <m:e>
              <m:r>
                <m:rPr>
                  <m:sty m:val="p"/>
                </m:rPr>
                <m:t>∥</m:t>
              </m:r>
            </m:e>
            <m:sub>
              <m:r>
                <m:t>C</m:t>
              </m:r>
            </m:sub>
            <m:sup>
              <m:r>
                <m:t>2</m:t>
              </m:r>
            </m:sup>
          </m:sSubSup>
          <m:r>
            <m:rPr>
              <m:sty m:val="p"/>
            </m:rPr>
            <m:t>,</m:t>
          </m:r>
          <m:r>
            <m:t>  </m:t>
          </m:r>
          <m:r>
            <m:t>i</m:t>
          </m:r>
          <m:r>
            <m:rPr>
              <m:sty m:val="p"/>
            </m:rPr>
            <m:t>∈</m:t>
          </m:r>
          <m:r>
            <m:rPr>
              <m:sty m:val="p"/>
            </m:rPr>
            <m:t>{</m:t>
          </m:r>
          <m:r>
            <m:t>A</m:t>
          </m:r>
          <m:r>
            <m:rPr>
              <m:sty m:val="p"/>
            </m:rPr>
            <m:t>,</m:t>
          </m:r>
          <m:r>
            <m:t>B</m:t>
          </m:r>
          <m:r>
            <m:rPr>
              <m:sty m:val="p"/>
            </m:rPr>
            <m:t>}</m:t>
          </m:r>
          <m:r>
            <m:rPr>
              <m:sty m:val="p"/>
            </m:rPr>
            <m:t>,</m:t>
          </m:r>
          <m:r>
            <m:t> </m:t>
          </m:r>
          <m:r>
            <m:t>j</m:t>
          </m:r>
          <m:r>
            <m:rPr>
              <m:sty m:val="p"/>
            </m:rPr>
            <m:t>∈</m:t>
          </m:r>
          <m:r>
            <m:rPr>
              <m:sty m:val="p"/>
            </m:rPr>
            <m:t>{</m:t>
          </m:r>
          <m:r>
            <m:t>N</m:t>
          </m:r>
          <m:r>
            <m:rPr>
              <m:sty m:val="p"/>
            </m:rPr>
            <m:t>,</m:t>
          </m:r>
          <m:r>
            <m:t>0</m:t>
          </m:r>
          <m:r>
            <m:rPr>
              <m:sty m:val="p"/>
            </m:rPr>
            <m:t>}</m:t>
          </m:r>
          <m:r>
            <m:rPr>
              <m:sty m:val="p"/>
            </m:rPr>
            <m:t>.</m:t>
          </m:r>
        </m:oMath>
      </m:oMathPara>
    </w:p>
    <w:p>
      <w:pPr>
        <w:pStyle w:val="FirstParagraph"/>
        <w:keepNext/>
      </w:pPr>
      <w:r>
        <w:t xml:space="preserve">Then the 0.3 gaps satisfy the exact identities</w:t>
      </w:r>
    </w:p>
    <w:p>
      <w:pPr>
        <w:pStyle w:val="BodyText"/>
        <w:keepNext/>
      </w:pPr>
      <m:oMathPara>
        <m:oMathParaPr>
          <m:jc m:val="center"/>
        </m:oMathParaPr>
        <m:oMath>
          <m:sSub>
            <m:e>
              <m:r>
                <m:t>Δ</m:t>
              </m:r>
            </m:e>
            <m:sub>
              <m:r>
                <m:t>L</m:t>
              </m:r>
            </m:sub>
          </m:sSub>
          <m:r>
            <m:rPr>
              <m:sty m:val="p"/>
            </m:rPr>
            <m:t>=</m:t>
          </m:r>
          <m:r>
            <m:t>2</m:t>
          </m:r>
          <m:r>
            <m:t> </m:t>
          </m:r>
          <m:r>
            <m:rPr>
              <m:sty m:val="p"/>
            </m:rPr>
            <m:t>Re</m:t>
          </m:r>
          <m:sSub>
            <m:e>
              <m:d>
                <m:dPr>
                  <m:begChr m:val="⟨"/>
                  <m:endChr m:val="⟩"/>
                  <m:sepChr m:val=""/>
                  <m:grow/>
                </m:dPr>
                <m:e>
                  <m:sSub>
                    <m:e>
                      <m:r>
                        <m:t>u</m:t>
                      </m:r>
                    </m:e>
                    <m:sub>
                      <m:sSub>
                        <m:e>
                          <m:r>
                            <m:t>3</m:t>
                          </m:r>
                        </m:e>
                        <m:sub>
                          <m:r>
                            <m:t>A</m:t>
                          </m:r>
                        </m:sub>
                      </m:sSub>
                    </m:sub>
                  </m:sSub>
                  <m:r>
                    <m:rPr>
                      <m:sty m:val="p"/>
                    </m:rPr>
                    <m:t>−</m:t>
                  </m:r>
                  <m:sSub>
                    <m:e>
                      <m:r>
                        <m:t>u</m:t>
                      </m:r>
                    </m:e>
                    <m:sub>
                      <m:sSub>
                        <m:e>
                          <m:r>
                            <m:t>3</m:t>
                          </m:r>
                        </m:e>
                        <m:sub>
                          <m:r>
                            <m:t>B</m:t>
                          </m:r>
                        </m:sub>
                      </m:sSub>
                    </m:sub>
                  </m:sSub>
                  <m:r>
                    <m:rPr>
                      <m:sty m:val="p"/>
                    </m:rPr>
                    <m:t>,</m:t>
                  </m:r>
                  <m:r>
                    <m:t> </m:t>
                  </m:r>
                  <m:sSub>
                    <m:e>
                      <m:r>
                        <m:t>u</m:t>
                      </m:r>
                    </m:e>
                    <m:sub>
                      <m:sSub>
                        <m:e>
                          <m:r>
                            <m:t>1</m:t>
                          </m:r>
                        </m:e>
                        <m:sub>
                          <m:r>
                            <m:t>A</m:t>
                          </m:r>
                        </m:sub>
                      </m:sSub>
                    </m:sub>
                  </m:sSub>
                  <m:r>
                    <m:rPr>
                      <m:sty m:val="p"/>
                    </m:rPr>
                    <m:t>−</m:t>
                  </m:r>
                  <m:sSub>
                    <m:e>
                      <m:r>
                        <m:t>u</m:t>
                      </m:r>
                    </m:e>
                    <m:sub>
                      <m:sSub>
                        <m:e>
                          <m:r>
                            <m:t>1</m:t>
                          </m:r>
                        </m:e>
                        <m:sub>
                          <m:r>
                            <m:t>B</m:t>
                          </m:r>
                        </m:sub>
                      </m:sSub>
                    </m:sub>
                  </m:sSub>
                </m:e>
              </m:d>
            </m:e>
            <m:sub>
              <m:r>
                <m:t>C</m:t>
              </m:r>
            </m:sub>
          </m:sSub>
          <m:r>
            <m:rPr>
              <m:sty m:val="p"/>
            </m:rPr>
            <m:t>,</m:t>
          </m:r>
        </m:oMath>
      </m:oMathPara>
    </w:p>
    <w:p>
      <w:pPr>
        <w:pStyle w:val="FirstParagraph"/>
      </w:pPr>
      <m:oMathPara>
        <m:oMathParaPr>
          <m:jc m:val="center"/>
        </m:oMathParaPr>
        <m:oMath>
          <m:sSub>
            <m:e>
              <m:r>
                <m:t>Δ</m:t>
              </m:r>
            </m:e>
            <m:sub>
              <m:r>
                <m:t>R</m:t>
              </m:r>
            </m:sub>
          </m:sSub>
          <m:r>
            <m:rPr>
              <m:sty m:val="p"/>
            </m:rPr>
            <m:t>=</m:t>
          </m:r>
          <m:r>
            <m:t>2</m:t>
          </m:r>
          <m:r>
            <m:t> </m:t>
          </m:r>
          <m:r>
            <m:rPr>
              <m:sty m:val="p"/>
            </m:rPr>
            <m:t>Re</m:t>
          </m:r>
          <m:sSub>
            <m:e>
              <m:d>
                <m:dPr>
                  <m:begChr m:val="⟨"/>
                  <m:endChr m:val="⟩"/>
                  <m:sepChr m:val=""/>
                  <m:grow/>
                </m:dPr>
                <m:e>
                  <m:sSub>
                    <m:e>
                      <m:r>
                        <m:t>u</m:t>
                      </m:r>
                    </m:e>
                    <m:sub>
                      <m:sSub>
                        <m:e>
                          <m:acc>
                            <m:accPr>
                              <m:chr m:val="‾"/>
                            </m:accPr>
                            <m:e>
                              <m:r>
                                <m:t>3</m:t>
                              </m:r>
                            </m:e>
                          </m:acc>
                        </m:e>
                        <m:sub>
                          <m:r>
                            <m:t>A</m:t>
                          </m:r>
                        </m:sub>
                      </m:sSub>
                    </m:sub>
                  </m:sSub>
                  <m:r>
                    <m:rPr>
                      <m:sty m:val="p"/>
                    </m:rPr>
                    <m:t>−</m:t>
                  </m:r>
                  <m:sSub>
                    <m:e>
                      <m:r>
                        <m:t>u</m:t>
                      </m:r>
                    </m:e>
                    <m:sub>
                      <m:sSub>
                        <m:e>
                          <m:acc>
                            <m:accPr>
                              <m:chr m:val="‾"/>
                            </m:accPr>
                            <m:e>
                              <m:r>
                                <m:t>3</m:t>
                              </m:r>
                            </m:e>
                          </m:acc>
                        </m:e>
                        <m:sub>
                          <m:r>
                            <m:t>B</m:t>
                          </m:r>
                        </m:sub>
                      </m:sSub>
                    </m:sub>
                  </m:sSub>
                  <m:r>
                    <m:rPr>
                      <m:sty m:val="p"/>
                    </m:rPr>
                    <m:t>,</m:t>
                  </m:r>
                  <m:r>
                    <m:t> </m:t>
                  </m:r>
                  <m:sSub>
                    <m:e>
                      <m:r>
                        <m:t>u</m:t>
                      </m:r>
                    </m:e>
                    <m:sub>
                      <m:sSub>
                        <m:e>
                          <m:r>
                            <m:t>1</m:t>
                          </m:r>
                        </m:e>
                        <m:sub>
                          <m:r>
                            <m:t>N</m:t>
                          </m:r>
                        </m:sub>
                      </m:sSub>
                    </m:sub>
                  </m:sSub>
                  <m:r>
                    <m:rPr>
                      <m:sty m:val="p"/>
                    </m:rPr>
                    <m:t>−</m:t>
                  </m:r>
                  <m:sSub>
                    <m:e>
                      <m:r>
                        <m:t>u</m:t>
                      </m:r>
                    </m:e>
                    <m:sub>
                      <m:sSub>
                        <m:e>
                          <m:r>
                            <m:t>1</m:t>
                          </m:r>
                        </m:e>
                        <m:sub>
                          <m:r>
                            <m:t>0</m:t>
                          </m:r>
                        </m:sub>
                      </m:sSub>
                    </m:sub>
                  </m:sSub>
                </m:e>
              </m:d>
            </m:e>
            <m:sub>
              <m:r>
                <m:t>C</m:t>
              </m:r>
            </m:sub>
          </m:sSub>
          <m:r>
            <m:rPr>
              <m:sty m:val="p"/>
            </m:rPr>
            <m:t>.</m:t>
          </m:r>
        </m:oMath>
      </m:oMathPara>
    </w:p>
    <w:bookmarkStart w:id="36" w:name="proof"/>
    <w:p>
      <w:pPr>
        <w:pStyle w:val="Heading2"/>
        <w:keepNext/>
      </w:pPr>
      <w:r>
        <w:t xml:space="preserve">Proof</w:t>
      </w:r>
    </w:p>
    <w:p>
      <w:pPr>
        <w:pStyle w:val="FirstParagraph"/>
      </w:pPr>
      <w:r>
        <w:t xml:space="preserve">Expand each squared norm with</w:t>
      </w:r>
    </w:p>
    <w:p>
      <w:pPr>
        <w:pStyle w:val="BodyText"/>
      </w:pPr>
      <m:oMathPara>
        <m:oMathParaPr>
          <m:jc m:val="center"/>
        </m:oMathParaPr>
        <m:oMath>
          <m:r>
            <m:rPr>
              <m:sty m:val="p"/>
            </m:rPr>
            <m:t>∥</m:t>
          </m:r>
          <m:r>
            <m:t>x</m:t>
          </m:r>
          <m:r>
            <m:rPr>
              <m:sty m:val="p"/>
            </m:rPr>
            <m:t>−</m:t>
          </m:r>
          <m:r>
            <m:t>y</m:t>
          </m:r>
          <m:sSubSup>
            <m:e>
              <m:r>
                <m:rPr>
                  <m:sty m:val="p"/>
                </m:rPr>
                <m:t>∥</m:t>
              </m:r>
            </m:e>
            <m:sub>
              <m:r>
                <m:t>C</m:t>
              </m:r>
            </m:sub>
            <m:sup>
              <m:r>
                <m:t>2</m:t>
              </m:r>
            </m:sup>
          </m:sSubSup>
          <m:r>
            <m:rPr>
              <m:sty m:val="p"/>
            </m:rPr>
            <m:t>=</m:t>
          </m:r>
          <m:r>
            <m:rPr>
              <m:sty m:val="p"/>
            </m:rPr>
            <m:t>∥</m:t>
          </m:r>
          <m:r>
            <m:t>x</m:t>
          </m:r>
          <m:sSubSup>
            <m:e>
              <m:r>
                <m:rPr>
                  <m:sty m:val="p"/>
                </m:rPr>
                <m:t>∥</m:t>
              </m:r>
            </m:e>
            <m:sub>
              <m:r>
                <m:t>C</m:t>
              </m:r>
            </m:sub>
            <m:sup>
              <m:r>
                <m:t>2</m:t>
              </m:r>
            </m:sup>
          </m:sSubSup>
          <m:r>
            <m:rPr>
              <m:sty m:val="p"/>
            </m:rPr>
            <m:t>+</m:t>
          </m:r>
          <m:r>
            <m:rPr>
              <m:sty m:val="p"/>
            </m:rPr>
            <m:t>∥</m:t>
          </m:r>
          <m:r>
            <m:t>y</m:t>
          </m:r>
          <m:sSubSup>
            <m:e>
              <m:r>
                <m:rPr>
                  <m:sty m:val="p"/>
                </m:rPr>
                <m:t>∥</m:t>
              </m:r>
            </m:e>
            <m:sub>
              <m:r>
                <m:t>C</m:t>
              </m:r>
            </m:sub>
            <m:sup>
              <m:r>
                <m:t>2</m:t>
              </m:r>
            </m:sup>
          </m:sSubSup>
          <m:r>
            <m:rPr>
              <m:sty m:val="p"/>
            </m:rPr>
            <m:t>−</m:t>
          </m:r>
          <m:r>
            <m:t>2</m:t>
          </m:r>
          <m:r>
            <m:rPr>
              <m:sty m:val="p"/>
            </m:rPr>
            <m:t>Re</m:t>
          </m:r>
          <m:r>
            <m:rPr>
              <m:sty m:val="p"/>
            </m:rPr>
            <m:t>⟨</m:t>
          </m:r>
          <m:r>
            <m:t>x</m:t>
          </m:r>
          <m:r>
            <m:rPr>
              <m:sty m:val="p"/>
            </m:rPr>
            <m:t>,</m:t>
          </m:r>
          <m:r>
            <m:t>y</m:t>
          </m:r>
          <m:sSub>
            <m:e>
              <m:r>
                <m:rPr>
                  <m:sty m:val="p"/>
                </m:rPr>
                <m:t>⟩</m:t>
              </m:r>
            </m:e>
            <m:sub>
              <m:r>
                <m:t>C</m:t>
              </m:r>
            </m:sub>
          </m:sSub>
          <m:r>
            <m:rPr>
              <m:sty m:val="p"/>
            </m:rPr>
            <m:t>.</m:t>
          </m:r>
        </m:oMath>
      </m:oMathPara>
    </w:p>
    <w:p>
      <w:pPr>
        <w:pStyle w:val="FirstParagraph"/>
      </w:pPr>
      <w:r>
        <w:t xml:space="preserve">In each gap, all four self-norm terms cancel. The remaining cross terms factor into the two difference-vector inner products displayed above. No approximation is used.</w:t>
      </w:r>
    </w:p>
    <w:bookmarkEnd w:id="36"/>
    <w:bookmarkStart w:id="37" w:name="selection-consequence"/>
    <w:p>
      <w:pPr>
        <w:pStyle w:val="Heading2"/>
        <w:keepNext/>
      </w:pPr>
      <w:r>
        <w:t xml:space="preserve">Selection consequence</w:t>
      </w:r>
    </w:p>
    <w:p>
      <w:pPr>
        <w:pStyle w:val="FirstParagraph"/>
      </w:pPr>
      <w:r>
        <w:t xml:space="preserve">Combining the exact identities with the 0.3 selection theorem gives</w:t>
      </w:r>
    </w:p>
    <w:p>
      <w:pPr>
        <w:pStyle w:val="BodyText"/>
      </w:pPr>
      <m:oMathPara>
        <m:oMathParaPr>
          <m:jc m:val="center"/>
        </m:oMathParaPr>
        <m:oMath>
          <m:sSub>
            <m:e>
              <m:r>
                <m:t>F</m:t>
              </m:r>
            </m:e>
            <m:sub>
              <m:r>
                <m:t>D</m:t>
              </m:r>
              <m:r>
                <m:t>X</m:t>
              </m:r>
            </m:sub>
          </m:sSub>
          <m:r>
            <m:rPr>
              <m:nor/>
              <m:sty m:val="p"/>
            </m:rPr>
            <m:t> is unique</m:t>
          </m:r>
          <m:r>
            <m:rPr>
              <m:sty m:val="p"/>
            </m:rPr>
            <m:t>⇔</m:t>
          </m:r>
          <m:d>
            <m:dPr>
              <m:begChr m:val="{"/>
              <m:endChr m:val=""/>
              <m:sepChr m:val=""/>
              <m:grow/>
            </m:dPr>
            <m:e>
              <m:m>
                <m:mPr>
                  <m:baseJc m:val="center"/>
                  <m:plcHide m:val="on"/>
                  <m:mcs>
                    <m:mc>
                      <m:mcPr>
                        <m:mcJc m:val="left"/>
                        <m:count m:val="1"/>
                      </m:mcPr>
                    </m:mc>
                  </m:mcs>
                </m:mPr>
                <m:mr>
                  <m:e>
                    <m:r>
                      <m:rPr>
                        <m:sty m:val="p"/>
                      </m:rPr>
                      <m:t>Re</m:t>
                    </m:r>
                    <m:r>
                      <m:rPr>
                        <m:sty m:val="p"/>
                      </m:rPr>
                      <m:t>⟨</m:t>
                    </m:r>
                    <m:sSub>
                      <m:e>
                        <m:r>
                          <m:t>u</m:t>
                        </m:r>
                      </m:e>
                      <m:sub>
                        <m:sSub>
                          <m:e>
                            <m:r>
                              <m:t>3</m:t>
                            </m:r>
                          </m:e>
                          <m:sub>
                            <m:r>
                              <m:t>A</m:t>
                            </m:r>
                          </m:sub>
                        </m:sSub>
                      </m:sub>
                    </m:sSub>
                    <m:r>
                      <m:rPr>
                        <m:sty m:val="p"/>
                      </m:rPr>
                      <m:t>−</m:t>
                    </m:r>
                    <m:sSub>
                      <m:e>
                        <m:r>
                          <m:t>u</m:t>
                        </m:r>
                      </m:e>
                      <m:sub>
                        <m:sSub>
                          <m:e>
                            <m:r>
                              <m:t>3</m:t>
                            </m:r>
                          </m:e>
                          <m:sub>
                            <m:r>
                              <m:t>B</m:t>
                            </m:r>
                          </m:sub>
                        </m:sSub>
                      </m:sub>
                    </m:sSub>
                    <m:r>
                      <m:rPr>
                        <m:sty m:val="p"/>
                      </m:rPr>
                      <m:t>,</m:t>
                    </m:r>
                    <m:sSub>
                      <m:e>
                        <m:r>
                          <m:t>u</m:t>
                        </m:r>
                      </m:e>
                      <m:sub>
                        <m:sSub>
                          <m:e>
                            <m:r>
                              <m:t>1</m:t>
                            </m:r>
                          </m:e>
                          <m:sub>
                            <m:r>
                              <m:t>A</m:t>
                            </m:r>
                          </m:sub>
                        </m:sSub>
                      </m:sub>
                    </m:sSub>
                    <m:r>
                      <m:rPr>
                        <m:sty m:val="p"/>
                      </m:rPr>
                      <m:t>−</m:t>
                    </m:r>
                    <m:sSub>
                      <m:e>
                        <m:r>
                          <m:t>u</m:t>
                        </m:r>
                      </m:e>
                      <m:sub>
                        <m:sSub>
                          <m:e>
                            <m:r>
                              <m:t>1</m:t>
                            </m:r>
                          </m:e>
                          <m:sub>
                            <m:r>
                              <m:t>B</m:t>
                            </m:r>
                          </m:sub>
                        </m:sSub>
                      </m:sub>
                    </m:sSub>
                    <m:sSub>
                      <m:e>
                        <m:r>
                          <m:rPr>
                            <m:sty m:val="p"/>
                          </m:rPr>
                          <m:t>⟩</m:t>
                        </m:r>
                      </m:e>
                      <m:sub>
                        <m:r>
                          <m:t>C</m:t>
                        </m:r>
                      </m:sub>
                    </m:sSub>
                    <m:r>
                      <m:rPr>
                        <m:sty m:val="p"/>
                      </m:rPr>
                      <m:t>&gt;</m:t>
                    </m:r>
                    <m:r>
                      <m:t>0</m:t>
                    </m:r>
                    <m:r>
                      <m:rPr>
                        <m:sty m:val="p"/>
                      </m:rPr>
                      <m:t>,</m:t>
                    </m:r>
                  </m:e>
                </m:mr>
                <m:mr>
                  <m:e>
                    <m:r>
                      <m:rPr>
                        <m:sty m:val="p"/>
                      </m:rPr>
                      <m:t>Re</m:t>
                    </m:r>
                    <m:r>
                      <m:rPr>
                        <m:sty m:val="p"/>
                      </m:rPr>
                      <m:t>⟨</m:t>
                    </m:r>
                    <m:sSub>
                      <m:e>
                        <m:r>
                          <m:t>u</m:t>
                        </m:r>
                      </m:e>
                      <m:sub>
                        <m:sSub>
                          <m:e>
                            <m:acc>
                              <m:accPr>
                                <m:chr m:val="‾"/>
                              </m:accPr>
                              <m:e>
                                <m:r>
                                  <m:t>3</m:t>
                                </m:r>
                              </m:e>
                            </m:acc>
                          </m:e>
                          <m:sub>
                            <m:r>
                              <m:t>A</m:t>
                            </m:r>
                          </m:sub>
                        </m:sSub>
                      </m:sub>
                    </m:sSub>
                    <m:r>
                      <m:rPr>
                        <m:sty m:val="p"/>
                      </m:rPr>
                      <m:t>−</m:t>
                    </m:r>
                    <m:sSub>
                      <m:e>
                        <m:r>
                          <m:t>u</m:t>
                        </m:r>
                      </m:e>
                      <m:sub>
                        <m:sSub>
                          <m:e>
                            <m:acc>
                              <m:accPr>
                                <m:chr m:val="‾"/>
                              </m:accPr>
                              <m:e>
                                <m:r>
                                  <m:t>3</m:t>
                                </m:r>
                              </m:e>
                            </m:acc>
                          </m:e>
                          <m:sub>
                            <m:r>
                              <m:t>B</m:t>
                            </m:r>
                          </m:sub>
                        </m:sSub>
                      </m:sub>
                    </m:sSub>
                    <m:r>
                      <m:rPr>
                        <m:sty m:val="p"/>
                      </m:rPr>
                      <m:t>,</m:t>
                    </m:r>
                    <m:sSub>
                      <m:e>
                        <m:r>
                          <m:t>u</m:t>
                        </m:r>
                      </m:e>
                      <m:sub>
                        <m:sSub>
                          <m:e>
                            <m:r>
                              <m:t>1</m:t>
                            </m:r>
                          </m:e>
                          <m:sub>
                            <m:r>
                              <m:t>N</m:t>
                            </m:r>
                          </m:sub>
                        </m:sSub>
                      </m:sub>
                    </m:sSub>
                    <m:r>
                      <m:rPr>
                        <m:sty m:val="p"/>
                      </m:rPr>
                      <m:t>−</m:t>
                    </m:r>
                    <m:sSub>
                      <m:e>
                        <m:r>
                          <m:t>u</m:t>
                        </m:r>
                      </m:e>
                      <m:sub>
                        <m:sSub>
                          <m:e>
                            <m:r>
                              <m:t>1</m:t>
                            </m:r>
                          </m:e>
                          <m:sub>
                            <m:r>
                              <m:t>0</m:t>
                            </m:r>
                          </m:sub>
                        </m:sSub>
                      </m:sub>
                    </m:sSub>
                    <m:sSub>
                      <m:e>
                        <m:r>
                          <m:rPr>
                            <m:sty m:val="p"/>
                          </m:rPr>
                          <m:t>⟩</m:t>
                        </m:r>
                      </m:e>
                      <m:sub>
                        <m:r>
                          <m:t>C</m:t>
                        </m:r>
                      </m:sub>
                    </m:sSub>
                    <m:r>
                      <m:rPr>
                        <m:sty m:val="p"/>
                      </m:rPr>
                      <m:t>&gt;</m:t>
                    </m:r>
                    <m:r>
                      <m:t>0</m:t>
                    </m:r>
                    <m:r>
                      <m:rPr>
                        <m:sty m:val="p"/>
                      </m:rPr>
                      <m:t>.</m:t>
                    </m:r>
                  </m:e>
                </m:mr>
              </m:m>
            </m:e>
          </m:d>
        </m:oMath>
      </m:oMathPara>
    </w:p>
    <w:p>
      <w:pPr>
        <w:pStyle w:val="FirstParagraph"/>
      </w:pPr>
      <w:r>
        <w:t xml:space="preserve">The formerly free signs now have a concrete meaning. The target filter wins exactly when the two pairs of carrier-response differences have the same orientation in the common positive metric.</w:t>
      </w:r>
    </w:p>
    <w:bookmarkEnd w:id="37"/>
    <w:bookmarkEnd w:id="38"/>
    <w:bookmarkStart w:id="39" w:name="exact-finite-witness"/>
    <w:p>
      <w:pPr>
        <w:pStyle w:val="Heading1"/>
        <w:keepNext/>
      </w:pPr>
      <w:r>
        <w:t xml:space="preserve">Exact finite witness</w:t>
      </w:r>
    </w:p>
    <w:p>
      <w:pPr>
        <w:pStyle w:val="FirstParagraph"/>
      </w:pPr>
      <w:r>
        <w:t xml:space="preserve">The theorem is not empty. In a two-dimensional Euclidean carrier-response space, choose</w:t>
      </w:r>
    </w:p>
    <w:tbl>
      <w:tblPr>
        <w:tblW w:type="dxa" w:w="9936"/>
        <w:jc w:val="center"/>
        <w:tblLayout w:type="fixed"/>
        <w:tblLook w:firstRow="1" w:lastRow="0" w:firstColumn="0" w:lastColumn="0" w:noHBand="0" w:noVBand="0" w:val="002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6840"/>
        <w:gridCol w:w="3096"/>
      </w:tblGrid>
      <w:tr>
        <w:trPr>
          <w:tblHeader w:val="true"/>
          <w:cantSplit/>
          <w:tblHeader w:val="true"/>
        </w:trPr>
        <w:tc>
          <w:tcPr>
            <w:tcW w:type="dxa" w:w="6840"/>
            <w:tcMar>
              <w:top w:w="80" w:type="dxa"/>
              <w:start w:w="100" w:type="dxa"/>
              <w:bottom w:w="80" w:type="dxa"/>
              <w:end w:w="100" w:type="dxa"/>
            </w:tcMar>
            <w:vAlign w:val="center"/>
            <w:shd w:fill="18324A"/>
          </w:tcPr>
          <w:p>
            <w:pPr>
              <w:spacing w:before="0" w:after="0" w:line="245" w:lineRule="auto"/>
              <w:jc w:val="left"/>
            </w:pPr>
            <w:r>
              <w:rPr>
                <w:rFonts w:ascii="Aptos" w:hAnsi="Aptos" w:eastAsia="Aptos"/>
                <w:b/>
                <w:color w:val="FFFFFF"/>
                <w:sz w:val="17"/>
              </w:rPr>
              <w:t xml:space="preserve">Response signature</w:t>
            </w:r>
          </w:p>
        </w:tc>
        <w:tc>
          <w:tcPr>
            <w:tcW w:type="dxa" w:w="3096"/>
            <w:tcMar>
              <w:top w:w="80" w:type="dxa"/>
              <w:start w:w="100" w:type="dxa"/>
              <w:bottom w:w="80" w:type="dxa"/>
              <w:end w:w="100" w:type="dxa"/>
            </w:tcMar>
            <w:vAlign w:val="center"/>
            <w:shd w:fill="18324A"/>
          </w:tcPr>
          <w:p>
            <w:pPr>
              <w:spacing w:before="0" w:after="0" w:line="245" w:lineRule="auto"/>
              <w:jc w:val="left"/>
            </w:pPr>
            <w:r>
              <w:rPr>
                <w:rFonts w:ascii="Aptos" w:hAnsi="Aptos" w:eastAsia="Aptos"/>
                <w:b/>
                <w:color w:val="FFFFFF"/>
                <w:sz w:val="17"/>
              </w:rPr>
              <w:t xml:space="preserve">Vector</w:t>
            </w:r>
          </w:p>
        </w:tc>
      </w:tr>
      <w:tr>
        <w:trPr>
          <w:cantSplit/>
        </w:trPr>
        <w:tc>
          <w:tcPr>
            <w:tcW w:type="dxa" w:w="6840"/>
            <w:tcMar>
              <w:top w:w="80" w:type="dxa"/>
              <w:start w:w="100" w:type="dxa"/>
              <w:bottom w:w="80" w:type="dxa"/>
              <w:end w:w="100" w:type="dxa"/>
            </w:tcMar>
            <w:vAlign w:val="center"/>
          </w:tcPr>
          <w:p>
            <w:pPr>
              <w:spacing w:before="0" w:after="0" w:line="245" w:lineRule="auto"/>
              <w:jc w:val="left"/>
            </w:pPr>
            <m:oMath>
              <m:sSub>
                <m:e>
                  <m:r>
                    <m:t>u</m:t>
                  </m:r>
                </m:e>
                <m:sub>
                  <m:sSub>
                    <m:e>
                      <m:r>
                        <m:t>3</m:t>
                      </m:r>
                    </m:e>
                    <m:sub>
                      <m:r>
                        <m:t>A</m:t>
                      </m:r>
                    </m:sub>
                  </m:sSub>
                </m:sub>
              </m:sSub>
            </m:oMath>
            <w:r>
              <w:rPr>
                <w:rFonts w:ascii="Aptos" w:hAnsi="Aptos" w:eastAsia="Aptos"/>
                <w:sz w:val="17"/>
              </w:rPr>
              <w:t xml:space="preserve"> </w:t>
            </w:r>
            <w:r>
              <w:rPr>
                <w:rFonts w:ascii="Aptos" w:hAnsi="Aptos" w:eastAsia="Aptos"/>
                <w:sz w:val="17"/>
              </w:rPr>
              <w:t xml:space="preserve">and</w:t>
            </w:r>
            <w:r>
              <w:rPr>
                <w:rFonts w:ascii="Aptos" w:hAnsi="Aptos" w:eastAsia="Aptos"/>
                <w:sz w:val="17"/>
              </w:rPr>
              <w:t xml:space="preserve"> </w:t>
            </w:r>
            <m:oMath>
              <m:sSub>
                <m:e>
                  <m:r>
                    <m:t>u</m:t>
                  </m:r>
                </m:e>
                <m:sub>
                  <m:sSub>
                    <m:e>
                      <m:r>
                        <m:t>1</m:t>
                      </m:r>
                    </m:e>
                    <m:sub>
                      <m:r>
                        <m:t>A</m:t>
                      </m:r>
                    </m:sub>
                  </m:sSub>
                </m:sub>
              </m:sSub>
            </m:oMath>
          </w:p>
        </w:tc>
        <w:tc>
          <w:tcPr>
            <w:tcW w:type="dxa" w:w="3096"/>
            <w:tcMar>
              <w:top w:w="80" w:type="dxa"/>
              <w:start w:w="100" w:type="dxa"/>
              <w:bottom w:w="80" w:type="dxa"/>
              <w:end w:w="100" w:type="dxa"/>
            </w:tcMar>
            <w:vAlign w:val="center"/>
          </w:tcPr>
          <w:p>
            <w:pPr>
              <w:spacing w:before="0" w:after="0" w:line="245" w:lineRule="auto"/>
              <w:jc w:val="left"/>
            </w:pPr>
            <m:oMath>
              <m:d>
                <m:dPr>
                  <m:begChr m:val="("/>
                  <m:endChr m:val=")"/>
                  <m:sepChr m:val=""/>
                  <m:grow/>
                </m:dPr>
                <m:e>
                  <m:r>
                    <m:t>1</m:t>
                  </m:r>
                  <m:r>
                    <m:rPr>
                      <m:sty m:val="p"/>
                    </m:rPr>
                    <m:t>,</m:t>
                  </m:r>
                  <m:r>
                    <m:t>0</m:t>
                  </m:r>
                </m:e>
              </m:d>
            </m:oMath>
          </w:p>
        </w:tc>
      </w:tr>
      <w:tr>
        <w:trPr>
          <w:cantSplit/>
        </w:trPr>
        <w:tc>
          <w:tcPr>
            <w:tcW w:type="dxa" w:w="6840"/>
            <w:tcMar>
              <w:top w:w="80" w:type="dxa"/>
              <w:start w:w="100" w:type="dxa"/>
              <w:bottom w:w="80" w:type="dxa"/>
              <w:end w:w="100" w:type="dxa"/>
            </w:tcMar>
            <w:vAlign w:val="center"/>
            <w:shd w:fill="EAF2F8"/>
          </w:tcPr>
          <w:p>
            <w:pPr>
              <w:spacing w:before="0" w:after="0" w:line="245" w:lineRule="auto"/>
              <w:jc w:val="left"/>
            </w:pPr>
            <m:oMath>
              <m:sSub>
                <m:e>
                  <m:r>
                    <m:t>u</m:t>
                  </m:r>
                </m:e>
                <m:sub>
                  <m:sSub>
                    <m:e>
                      <m:r>
                        <m:t>3</m:t>
                      </m:r>
                    </m:e>
                    <m:sub>
                      <m:r>
                        <m:t>B</m:t>
                      </m:r>
                    </m:sub>
                  </m:sSub>
                </m:sub>
              </m:sSub>
            </m:oMath>
            <w:r>
              <w:rPr>
                <w:rFonts w:ascii="Aptos" w:hAnsi="Aptos" w:eastAsia="Aptos"/>
                <w:sz w:val="17"/>
              </w:rPr>
              <w:t xml:space="preserve"> </w:t>
            </w:r>
            <w:r>
              <w:rPr>
                <w:rFonts w:ascii="Aptos" w:hAnsi="Aptos" w:eastAsia="Aptos"/>
                <w:sz w:val="17"/>
              </w:rPr>
              <w:t xml:space="preserve">and</w:t>
            </w:r>
            <w:r>
              <w:rPr>
                <w:rFonts w:ascii="Aptos" w:hAnsi="Aptos" w:eastAsia="Aptos"/>
                <w:sz w:val="17"/>
              </w:rPr>
              <w:t xml:space="preserve"> </w:t>
            </w:r>
            <m:oMath>
              <m:sSub>
                <m:e>
                  <m:r>
                    <m:t>u</m:t>
                  </m:r>
                </m:e>
                <m:sub>
                  <m:sSub>
                    <m:e>
                      <m:r>
                        <m:t>1</m:t>
                      </m:r>
                    </m:e>
                    <m:sub>
                      <m:r>
                        <m:t>B</m:t>
                      </m:r>
                    </m:sub>
                  </m:sSub>
                </m:sub>
              </m:sSub>
            </m:oMath>
          </w:p>
        </w:tc>
        <w:tc>
          <w:tcPr>
            <w:tcW w:type="dxa" w:w="3096"/>
            <w:tcMar>
              <w:top w:w="80" w:type="dxa"/>
              <w:start w:w="100" w:type="dxa"/>
              <w:bottom w:w="80" w:type="dxa"/>
              <w:end w:w="100" w:type="dxa"/>
            </w:tcMar>
            <w:vAlign w:val="center"/>
            <w:shd w:fill="EAF2F8"/>
          </w:tcPr>
          <w:p>
            <w:pPr>
              <w:spacing w:before="0" w:after="0" w:line="245" w:lineRule="auto"/>
              <w:jc w:val="left"/>
            </w:pPr>
            <m:oMath>
              <m:d>
                <m:dPr>
                  <m:begChr m:val="("/>
                  <m:endChr m:val=")"/>
                  <m:sepChr m:val=""/>
                  <m:grow/>
                </m:dPr>
                <m:e>
                  <m:r>
                    <m:rPr>
                      <m:sty m:val="p"/>
                    </m:rPr>
                    <m:t>−</m:t>
                  </m:r>
                  <m:r>
                    <m:t>1</m:t>
                  </m:r>
                  <m:r>
                    <m:rPr>
                      <m:sty m:val="p"/>
                    </m:rPr>
                    <m:t>,</m:t>
                  </m:r>
                  <m:r>
                    <m:t>0</m:t>
                  </m:r>
                </m:e>
              </m:d>
            </m:oMath>
          </w:p>
        </w:tc>
      </w:tr>
      <w:tr>
        <w:trPr>
          <w:cantSplit/>
        </w:trPr>
        <w:tc>
          <w:tcPr>
            <w:tcW w:type="dxa" w:w="6840"/>
            <w:tcMar>
              <w:top w:w="80" w:type="dxa"/>
              <w:start w:w="100" w:type="dxa"/>
              <w:bottom w:w="80" w:type="dxa"/>
              <w:end w:w="100" w:type="dxa"/>
            </w:tcMar>
            <w:vAlign w:val="center"/>
          </w:tcPr>
          <w:p>
            <w:pPr>
              <w:spacing w:before="0" w:after="0" w:line="245" w:lineRule="auto"/>
              <w:jc w:val="left"/>
            </w:pPr>
            <m:oMath>
              <m:sSub>
                <m:e>
                  <m:r>
                    <m:t>u</m:t>
                  </m:r>
                </m:e>
                <m:sub>
                  <m:sSub>
                    <m:e>
                      <m:acc>
                        <m:accPr>
                          <m:chr m:val="‾"/>
                        </m:accPr>
                        <m:e>
                          <m:r>
                            <m:t>3</m:t>
                          </m:r>
                        </m:e>
                      </m:acc>
                    </m:e>
                    <m:sub>
                      <m:r>
                        <m:t>A</m:t>
                      </m:r>
                    </m:sub>
                  </m:sSub>
                </m:sub>
              </m:sSub>
            </m:oMath>
            <w:r>
              <w:rPr>
                <w:rFonts w:ascii="Aptos" w:hAnsi="Aptos" w:eastAsia="Aptos"/>
                <w:sz w:val="17"/>
              </w:rPr>
              <w:t xml:space="preserve"> </w:t>
            </w:r>
            <w:r>
              <w:rPr>
                <w:rFonts w:ascii="Aptos" w:hAnsi="Aptos" w:eastAsia="Aptos"/>
                <w:sz w:val="17"/>
              </w:rPr>
              <w:t xml:space="preserve">and</w:t>
            </w:r>
            <w:r>
              <w:rPr>
                <w:rFonts w:ascii="Aptos" w:hAnsi="Aptos" w:eastAsia="Aptos"/>
                <w:sz w:val="17"/>
              </w:rPr>
              <w:t xml:space="preserve"> </w:t>
            </w:r>
            <m:oMath>
              <m:sSub>
                <m:e>
                  <m:r>
                    <m:t>u</m:t>
                  </m:r>
                </m:e>
                <m:sub>
                  <m:sSub>
                    <m:e>
                      <m:r>
                        <m:t>1</m:t>
                      </m:r>
                    </m:e>
                    <m:sub>
                      <m:r>
                        <m:t>N</m:t>
                      </m:r>
                    </m:sub>
                  </m:sSub>
                </m:sub>
              </m:sSub>
            </m:oMath>
          </w:p>
        </w:tc>
        <w:tc>
          <w:tcPr>
            <w:tcW w:type="dxa" w:w="3096"/>
            <w:tcMar>
              <w:top w:w="80" w:type="dxa"/>
              <w:start w:w="100" w:type="dxa"/>
              <w:bottom w:w="80" w:type="dxa"/>
              <w:end w:w="100" w:type="dxa"/>
            </w:tcMar>
            <w:vAlign w:val="center"/>
          </w:tcPr>
          <w:p>
            <w:pPr>
              <w:spacing w:before="0" w:after="0" w:line="245" w:lineRule="auto"/>
              <w:jc w:val="left"/>
            </w:pPr>
            <m:oMath>
              <m:d>
                <m:dPr>
                  <m:begChr m:val="("/>
                  <m:endChr m:val=")"/>
                  <m:sepChr m:val=""/>
                  <m:grow/>
                </m:dPr>
                <m:e>
                  <m:r>
                    <m:t>0</m:t>
                  </m:r>
                  <m:r>
                    <m:rPr>
                      <m:sty m:val="p"/>
                    </m:rPr>
                    <m:t>,</m:t>
                  </m:r>
                  <m:r>
                    <m:t>1</m:t>
                  </m:r>
                </m:e>
              </m:d>
            </m:oMath>
          </w:p>
        </w:tc>
      </w:tr>
      <w:tr>
        <w:trPr>
          <w:cantSplit/>
        </w:trPr>
        <w:tc>
          <w:tcPr>
            <w:tcW w:type="dxa" w:w="6840"/>
            <w:tcMar>
              <w:top w:w="80" w:type="dxa"/>
              <w:start w:w="100" w:type="dxa"/>
              <w:bottom w:w="80" w:type="dxa"/>
              <w:end w:w="100" w:type="dxa"/>
            </w:tcMar>
            <w:vAlign w:val="center"/>
            <w:shd w:fill="EAF2F8"/>
          </w:tcPr>
          <w:p>
            <w:pPr>
              <w:spacing w:before="0" w:after="0" w:line="245" w:lineRule="auto"/>
              <w:jc w:val="left"/>
            </w:pPr>
            <m:oMath>
              <m:sSub>
                <m:e>
                  <m:r>
                    <m:t>u</m:t>
                  </m:r>
                </m:e>
                <m:sub>
                  <m:sSub>
                    <m:e>
                      <m:acc>
                        <m:accPr>
                          <m:chr m:val="‾"/>
                        </m:accPr>
                        <m:e>
                          <m:r>
                            <m:t>3</m:t>
                          </m:r>
                        </m:e>
                      </m:acc>
                    </m:e>
                    <m:sub>
                      <m:r>
                        <m:t>B</m:t>
                      </m:r>
                    </m:sub>
                  </m:sSub>
                </m:sub>
              </m:sSub>
            </m:oMath>
            <w:r>
              <w:rPr>
                <w:rFonts w:ascii="Aptos" w:hAnsi="Aptos" w:eastAsia="Aptos"/>
                <w:sz w:val="17"/>
              </w:rPr>
              <w:t xml:space="preserve"> </w:t>
            </w:r>
            <w:r>
              <w:rPr>
                <w:rFonts w:ascii="Aptos" w:hAnsi="Aptos" w:eastAsia="Aptos"/>
                <w:sz w:val="17"/>
              </w:rPr>
              <w:t xml:space="preserve">and</w:t>
            </w:r>
            <w:r>
              <w:rPr>
                <w:rFonts w:ascii="Aptos" w:hAnsi="Aptos" w:eastAsia="Aptos"/>
                <w:sz w:val="17"/>
              </w:rPr>
              <w:t xml:space="preserve"> </w:t>
            </w:r>
            <m:oMath>
              <m:sSub>
                <m:e>
                  <m:r>
                    <m:t>u</m:t>
                  </m:r>
                </m:e>
                <m:sub>
                  <m:sSub>
                    <m:e>
                      <m:r>
                        <m:t>1</m:t>
                      </m:r>
                    </m:e>
                    <m:sub>
                      <m:r>
                        <m:t>0</m:t>
                      </m:r>
                    </m:sub>
                  </m:sSub>
                </m:sub>
              </m:sSub>
            </m:oMath>
          </w:p>
        </w:tc>
        <w:tc>
          <w:tcPr>
            <w:tcW w:type="dxa" w:w="3096"/>
            <w:tcMar>
              <w:top w:w="80" w:type="dxa"/>
              <w:start w:w="100" w:type="dxa"/>
              <w:bottom w:w="80" w:type="dxa"/>
              <w:end w:w="100" w:type="dxa"/>
            </w:tcMar>
            <w:vAlign w:val="center"/>
            <w:shd w:fill="EAF2F8"/>
          </w:tcPr>
          <w:p>
            <w:pPr>
              <w:spacing w:before="0" w:after="0" w:line="245" w:lineRule="auto"/>
              <w:jc w:val="left"/>
            </w:pPr>
            <m:oMath>
              <m:d>
                <m:dPr>
                  <m:begChr m:val="("/>
                  <m:endChr m:val=")"/>
                  <m:sepChr m:val=""/>
                  <m:grow/>
                </m:dPr>
                <m:e>
                  <m:r>
                    <m:t>0</m:t>
                  </m:r>
                  <m:r>
                    <m:rPr>
                      <m:sty m:val="p"/>
                    </m:rPr>
                    <m:t>,</m:t>
                  </m:r>
                  <m:r>
                    <m:rPr>
                      <m:sty m:val="p"/>
                    </m:rPr>
                    <m:t>−</m:t>
                  </m:r>
                  <m:r>
                    <m:t>1</m:t>
                  </m:r>
                </m:e>
              </m:d>
            </m:oMath>
          </w:p>
        </w:tc>
      </w:tr>
    </w:tbl>
    <w:p>
      <w:pPr>
        <w:pStyle w:val="BodyText"/>
        <w:keepLines/>
        <w:spacing w:before="50" w:after="80"/>
        <w:jc w:val="center"/>
      </w:pPr>
      <w:r>
        <w:t xml:space="preserve">With</w:t>
      </w:r>
      <w:r>
        <w:t xml:space="preserve"> </w:t>
      </w:r>
      <m:oMath>
        <m:r>
          <m:t>W</m:t>
        </m:r>
        <m:r>
          <m:rPr>
            <m:sty m:val="p"/>
          </m:rPr>
          <m:t>=</m:t>
        </m:r>
        <m:r>
          <m:t>I</m:t>
        </m:r>
      </m:oMath>
      <w:r>
        <w:t xml:space="preserve">, the left direct assignment and right crossed assignment each have zero mismatch. Each swapped assignment has total squared mismatch eight. Therefore</w:t>
      </w:r>
    </w:p>
    <w:p>
      <w:pPr>
        <w:pStyle w:val="BodyText"/>
      </w:pPr>
      <m:oMathPara>
        <m:oMathParaPr>
          <m:jc m:val="center"/>
        </m:oMathParaPr>
        <m:oMath>
          <m:sSub>
            <m:e>
              <m:r>
                <m:t>Δ</m:t>
              </m:r>
            </m:e>
            <m:sub>
              <m:r>
                <m:t>L</m:t>
              </m:r>
            </m:sub>
          </m:sSub>
          <m:r>
            <m:rPr>
              <m:sty m:val="p"/>
            </m:rPr>
            <m:t>=</m:t>
          </m:r>
          <m:r>
            <m:t>8</m:t>
          </m:r>
          <m:r>
            <m:rPr>
              <m:sty m:val="p"/>
            </m:rPr>
            <m:t>,</m:t>
          </m:r>
          <m:r>
            <m:t>  </m:t>
          </m:r>
          <m:sSub>
            <m:e>
              <m:r>
                <m:t>Δ</m:t>
              </m:r>
            </m:e>
            <m:sub>
              <m:r>
                <m:t>R</m:t>
              </m:r>
            </m:sub>
          </m:sSub>
          <m:r>
            <m:rPr>
              <m:sty m:val="p"/>
            </m:rPr>
            <m:t>=</m:t>
          </m:r>
          <m:r>
            <m:t>8</m:t>
          </m:r>
          <m:r>
            <m:rPr>
              <m:sty m:val="p"/>
            </m:rPr>
            <m:t>,</m:t>
          </m:r>
        </m:oMath>
      </m:oMathPara>
    </w:p>
    <w:p>
      <w:pPr>
        <w:pStyle w:val="FirstParagraph"/>
      </w:pPr>
      <w:r>
        <w:t xml:space="preserve">and the four total filter scores are</w:t>
      </w:r>
    </w:p>
    <w:tbl>
      <w:tblPr>
        <w:tblW w:type="dxa" w:w="9936"/>
        <w:jc w:val="center"/>
        <w:tblLayout w:type="fixed"/>
        <w:tblLook w:firstRow="1" w:lastRow="0" w:firstColumn="0" w:lastColumn="0" w:noHBand="0" w:noVBand="0" w:val="002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6840"/>
        <w:gridCol w:w="3096"/>
      </w:tblGrid>
      <w:tr>
        <w:trPr>
          <w:tblHeader w:val="true"/>
          <w:cantSplit/>
          <w:tblHeader w:val="true"/>
        </w:trPr>
        <w:tc>
          <w:tcPr>
            <w:tcW w:type="dxa" w:w="6840"/>
            <w:tcMar>
              <w:top w:w="80" w:type="dxa"/>
              <w:start w:w="100" w:type="dxa"/>
              <w:bottom w:w="80" w:type="dxa"/>
              <w:end w:w="100" w:type="dxa"/>
            </w:tcMar>
            <w:vAlign w:val="center"/>
            <w:shd w:fill="18324A"/>
          </w:tcPr>
          <w:p>
            <w:pPr>
              <w:spacing w:before="0" w:after="0" w:line="245" w:lineRule="auto"/>
              <w:jc w:val="left"/>
            </w:pPr>
            <w:r>
              <w:rPr>
                <w:rFonts w:ascii="Aptos" w:hAnsi="Aptos" w:eastAsia="Aptos"/>
                <w:b/>
                <w:color w:val="FFFFFF"/>
                <w:sz w:val="17"/>
              </w:rPr>
              <w:t xml:space="preserve">Filter</w:t>
            </w:r>
          </w:p>
        </w:tc>
        <w:tc>
          <w:tcPr>
            <w:tcW w:type="dxa" w:w="3096"/>
            <w:tcMar>
              <w:top w:w="80" w:type="dxa"/>
              <w:start w:w="100" w:type="dxa"/>
              <w:bottom w:w="80" w:type="dxa"/>
              <w:end w:w="100" w:type="dxa"/>
            </w:tcMar>
            <w:vAlign w:val="center"/>
            <w:shd w:fill="18324A"/>
          </w:tcPr>
          <w:p>
            <w:pPr>
              <w:spacing w:before="0" w:after="0" w:line="245" w:lineRule="auto"/>
              <w:jc w:val="left"/>
            </w:pPr>
            <w:r>
              <w:rPr>
                <w:rFonts w:ascii="Aptos" w:hAnsi="Aptos" w:eastAsia="Aptos"/>
                <w:b/>
                <w:color w:val="FFFFFF"/>
                <w:sz w:val="17"/>
              </w:rPr>
              <w:t xml:space="preserve">Exact score</w:t>
            </w:r>
          </w:p>
        </w:tc>
      </w:tr>
      <w:tr>
        <w:trPr>
          <w:cantSplit/>
        </w:trPr>
        <w:tc>
          <w:tcPr>
            <w:tcW w:type="dxa" w:w="6840"/>
            <w:tcMar>
              <w:top w:w="80" w:type="dxa"/>
              <w:start w:w="100" w:type="dxa"/>
              <w:bottom w:w="80" w:type="dxa"/>
              <w:end w:w="100" w:type="dxa"/>
            </w:tcMar>
            <w:vAlign w:val="center"/>
          </w:tcPr>
          <w:p>
            <w:pPr>
              <w:spacing w:before="0" w:after="0" w:line="245" w:lineRule="auto"/>
              <w:jc w:val="left"/>
            </w:pPr>
            <m:oMath>
              <m:sSub>
                <m:e>
                  <m:r>
                    <m:t>F</m:t>
                  </m:r>
                </m:e>
                <m:sub>
                  <m:r>
                    <m:t>D</m:t>
                  </m:r>
                  <m:r>
                    <m:t>X</m:t>
                  </m:r>
                </m:sub>
              </m:sSub>
            </m:oMath>
          </w:p>
        </w:tc>
        <w:tc>
          <w:tcPr>
            <w:tcW w:type="dxa" w:w="3096"/>
            <w:tcMar>
              <w:top w:w="80" w:type="dxa"/>
              <w:start w:w="100" w:type="dxa"/>
              <w:bottom w:w="80" w:type="dxa"/>
              <w:end w:w="100" w:type="dxa"/>
            </w:tcMar>
            <w:vAlign w:val="center"/>
          </w:tcPr>
          <w:p>
            <w:pPr>
              <w:spacing w:before="0" w:after="0" w:line="245" w:lineRule="auto"/>
              <w:jc w:val="left"/>
            </w:pPr>
            <m:oMath>
              <m:r>
                <m:t>0</m:t>
              </m:r>
            </m:oMath>
          </w:p>
        </w:tc>
      </w:tr>
      <w:tr>
        <w:trPr>
          <w:cantSplit/>
        </w:trPr>
        <w:tc>
          <w:tcPr>
            <w:tcW w:type="dxa" w:w="6840"/>
            <w:tcMar>
              <w:top w:w="80" w:type="dxa"/>
              <w:start w:w="100" w:type="dxa"/>
              <w:bottom w:w="80" w:type="dxa"/>
              <w:end w:w="100" w:type="dxa"/>
            </w:tcMar>
            <w:vAlign w:val="center"/>
            <w:shd w:fill="EAF2F8"/>
          </w:tcPr>
          <w:p>
            <w:pPr>
              <w:spacing w:before="0" w:after="0" w:line="245" w:lineRule="auto"/>
              <w:jc w:val="left"/>
            </w:pPr>
            <m:oMath>
              <m:sSub>
                <m:e>
                  <m:r>
                    <m:t>F</m:t>
                  </m:r>
                </m:e>
                <m:sub>
                  <m:r>
                    <m:t>X</m:t>
                  </m:r>
                  <m:r>
                    <m:t>X</m:t>
                  </m:r>
                </m:sub>
              </m:sSub>
            </m:oMath>
          </w:p>
        </w:tc>
        <w:tc>
          <w:tcPr>
            <w:tcW w:type="dxa" w:w="3096"/>
            <w:tcMar>
              <w:top w:w="80" w:type="dxa"/>
              <w:start w:w="100" w:type="dxa"/>
              <w:bottom w:w="80" w:type="dxa"/>
              <w:end w:w="100" w:type="dxa"/>
            </w:tcMar>
            <w:vAlign w:val="center"/>
            <w:shd w:fill="EAF2F8"/>
          </w:tcPr>
          <w:p>
            <w:pPr>
              <w:spacing w:before="0" w:after="0" w:line="245" w:lineRule="auto"/>
              <w:jc w:val="left"/>
            </w:pPr>
            <m:oMath>
              <m:r>
                <m:rPr>
                  <m:sty m:val="p"/>
                </m:rPr>
                <m:t>−</m:t>
              </m:r>
              <m:r>
                <m:t>8</m:t>
              </m:r>
            </m:oMath>
          </w:p>
        </w:tc>
      </w:tr>
      <w:tr>
        <w:trPr>
          <w:cantSplit/>
        </w:trPr>
        <w:tc>
          <w:tcPr>
            <w:tcW w:type="dxa" w:w="6840"/>
            <w:tcMar>
              <w:top w:w="80" w:type="dxa"/>
              <w:start w:w="100" w:type="dxa"/>
              <w:bottom w:w="80" w:type="dxa"/>
              <w:end w:w="100" w:type="dxa"/>
            </w:tcMar>
            <w:vAlign w:val="center"/>
          </w:tcPr>
          <w:p>
            <w:pPr>
              <w:spacing w:before="0" w:after="0" w:line="245" w:lineRule="auto"/>
              <w:jc w:val="left"/>
            </w:pPr>
            <m:oMath>
              <m:sSub>
                <m:e>
                  <m:r>
                    <m:t>F</m:t>
                  </m:r>
                </m:e>
                <m:sub>
                  <m:r>
                    <m:t>D</m:t>
                  </m:r>
                  <m:r>
                    <m:t>D</m:t>
                  </m:r>
                </m:sub>
              </m:sSub>
            </m:oMath>
          </w:p>
        </w:tc>
        <w:tc>
          <w:tcPr>
            <w:tcW w:type="dxa" w:w="3096"/>
            <w:tcMar>
              <w:top w:w="80" w:type="dxa"/>
              <w:start w:w="100" w:type="dxa"/>
              <w:bottom w:w="80" w:type="dxa"/>
              <w:end w:w="100" w:type="dxa"/>
            </w:tcMar>
            <w:vAlign w:val="center"/>
          </w:tcPr>
          <w:p>
            <w:pPr>
              <w:spacing w:before="0" w:after="0" w:line="245" w:lineRule="auto"/>
              <w:jc w:val="left"/>
            </w:pPr>
            <m:oMath>
              <m:r>
                <m:rPr>
                  <m:sty m:val="p"/>
                </m:rPr>
                <m:t>−</m:t>
              </m:r>
              <m:r>
                <m:t>8</m:t>
              </m:r>
            </m:oMath>
          </w:p>
        </w:tc>
      </w:tr>
      <w:tr>
        <w:trPr>
          <w:cantSplit/>
        </w:trPr>
        <w:tc>
          <w:tcPr>
            <w:tcW w:type="dxa" w:w="6840"/>
            <w:tcMar>
              <w:top w:w="80" w:type="dxa"/>
              <w:start w:w="100" w:type="dxa"/>
              <w:bottom w:w="80" w:type="dxa"/>
              <w:end w:w="100" w:type="dxa"/>
            </w:tcMar>
            <w:vAlign w:val="center"/>
            <w:shd w:fill="EAF2F8"/>
          </w:tcPr>
          <w:p>
            <w:pPr>
              <w:spacing w:before="0" w:after="0" w:line="245" w:lineRule="auto"/>
              <w:jc w:val="left"/>
            </w:pPr>
            <m:oMath>
              <m:sSub>
                <m:e>
                  <m:r>
                    <m:t>F</m:t>
                  </m:r>
                </m:e>
                <m:sub>
                  <m:r>
                    <m:t>X</m:t>
                  </m:r>
                  <m:r>
                    <m:t>D</m:t>
                  </m:r>
                </m:sub>
              </m:sSub>
            </m:oMath>
          </w:p>
        </w:tc>
        <w:tc>
          <w:tcPr>
            <w:tcW w:type="dxa" w:w="3096"/>
            <w:tcMar>
              <w:top w:w="80" w:type="dxa"/>
              <w:start w:w="100" w:type="dxa"/>
              <w:bottom w:w="80" w:type="dxa"/>
              <w:end w:w="100" w:type="dxa"/>
            </w:tcMar>
            <w:vAlign w:val="center"/>
            <w:shd w:fill="EAF2F8"/>
          </w:tcPr>
          <w:p>
            <w:pPr>
              <w:spacing w:before="0" w:after="0" w:line="245" w:lineRule="auto"/>
              <w:jc w:val="left"/>
            </w:pPr>
            <m:oMath>
              <m:r>
                <m:rPr>
                  <m:sty m:val="p"/>
                </m:rPr>
                <m:t>−</m:t>
              </m:r>
              <m:r>
                <m:t>16</m:t>
              </m:r>
            </m:oMath>
          </w:p>
        </w:tc>
      </w:tr>
    </w:tbl>
    <w:p>
      <w:pPr>
        <w:pStyle w:val="BodyText"/>
        <w:keepLines/>
        <w:spacing w:before="50" w:after="80"/>
        <w:jc w:val="center"/>
      </w:pPr>
      <w:r>
        <w:t xml:space="preserve">This witness proves only constructibility and nonemptiness of the positive-gap region. It is not a witness for</w:t>
      </w:r>
      <w:r>
        <w:t xml:space="preserve"> </w:t>
      </w:r>
      <m:oMath>
        <m:r>
          <m:rPr>
            <m:sty m:val="p"/>
          </m:rPr>
          <m:t>rank</m:t>
        </m:r>
        <m:sSub>
          <m:e>
            <m:r>
              <m:t>G</m:t>
            </m:r>
          </m:e>
          <m:sub>
            <m:r>
              <m:t>16</m:t>
            </m:r>
          </m:sub>
        </m:sSub>
        <m:r>
          <m:rPr>
            <m:sty m:val="p"/>
          </m:rPr>
          <m:t>=</m:t>
        </m:r>
        <m:r>
          <m:t>16</m:t>
        </m:r>
      </m:oMath>
      <w:r>
        <w:t xml:space="preserve">, which remains a separate carrier-extension requirement. It is not evidence that nature has these signatures. A physical test must calculate the signatures from an independently frozen carrier.</w:t>
      </w:r>
    </w:p>
    <w:bookmarkEnd w:id="39"/>
    <w:bookmarkStart w:id="40" w:name="non-circular-calculation-protocol"/>
    <w:p>
      <w:pPr>
        <w:pStyle w:val="Heading1"/>
        <w:keepNext/>
      </w:pPr>
      <w:r>
        <w:t xml:space="preserve">Non-circular calculation protocol</w:t>
      </w:r>
    </w:p>
    <w:p>
      <w:r>
        <w:rPr>
          <w:rFonts w:ascii="Aptos" w:hAnsi="Aptos"/>
        </w:rPr>
        <w:t xml:space="preserve">1. </w:t>
      </w:r>
      <w:pPr>
        <w:keepLines/>
        <w:numPr>
          <w:ilvl w:val="0"/>
          <w:numId w:val="1004"/>
        </w:numPr>
        <w:pStyle w:val="Compact"/>
        <w:spacing w:after="80" w:before="50"/>
        <w:ind w:left="403" w:hanging="317"/>
        <w:jc w:val="center"/>
      </w:pPr>
      <w:r>
        <w:t xml:space="preserve">Fix one admissible sixteen-channel carrier and the band</w:t>
      </w:r>
      <w:r>
        <w:t xml:space="preserve"> </w:t>
      </w:r>
      <m:oMath>
        <m:r>
          <m:t>I</m:t>
        </m:r>
      </m:oMath>
      <w:r>
        <w:t xml:space="preserve"> </w:t>
      </w:r>
      <w:r>
        <w:t xml:space="preserve">without looking at the recovered particle charges.</w:t>
      </w:r>
    </w:p>
    <w:p>
      <w:r>
        <w:rPr>
          <w:rFonts w:ascii="Aptos" w:hAnsi="Aptos"/>
        </w:rPr>
        <w:t xml:space="preserve">2. </w:t>
      </w:r>
      <w:pPr>
        <w:keepLines/>
        <w:numPr>
          <w:ilvl w:val="0"/>
          <w:numId w:val="1004"/>
        </w:numPr>
        <w:pStyle w:val="Compact"/>
        <w:spacing w:after="80" w:before="50"/>
        <w:ind w:left="403" w:hanging="317"/>
        <w:jc w:val="center"/>
      </w:pPr>
      <w:r>
        <w:t xml:space="preserve">Verify one principal causal cone, gauge covariance,</w:t>
      </w:r>
      <w:r>
        <w:t xml:space="preserve"> </w:t>
      </w:r>
      <m:oMath>
        <m:sSub>
          <m:e>
            <m:r>
              <m:t>G</m:t>
            </m:r>
          </m:e>
          <m:sub>
            <m:r>
              <m:t>16</m:t>
            </m:r>
          </m:sub>
        </m:sSub>
        <m:d>
          <m:dPr>
            <m:begChr m:val="("/>
            <m:endChr m:val=")"/>
            <m:sepChr m:val=""/>
            <m:grow/>
          </m:dPr>
          <m:e>
            <m:r>
              <m:t>I</m:t>
            </m:r>
          </m:e>
        </m:d>
        <m:r>
          <m:rPr>
            <m:sty m:val="p"/>
          </m:rPr>
          <m:t>≽</m:t>
        </m:r>
        <m:r>
          <m:t>0</m:t>
        </m:r>
      </m:oMath>
      <w:r>
        <w:t xml:space="preserve">, full rank sixteen, and positive norm of the neutral channel.</w:t>
      </w:r>
    </w:p>
    <w:p>
      <w:r>
        <w:rPr>
          <w:rFonts w:ascii="Aptos" w:hAnsi="Aptos"/>
        </w:rPr>
        <w:t xml:space="preserve">3. </w:t>
      </w:r>
      <w:pPr>
        <w:keepLines/>
        <w:numPr>
          <w:ilvl w:val="0"/>
          <w:numId w:val="1004"/>
        </w:numPr>
        <w:pStyle w:val="Compact"/>
        <w:spacing w:after="80" w:before="50"/>
        <w:ind w:left="403" w:hanging="317"/>
        <w:jc w:val="center"/>
      </w:pPr>
      <w:r>
        <w:t xml:space="preserve">Fix the response extraction map,</w:t>
      </w:r>
      <w:r>
        <w:t xml:space="preserve"> </w:t>
      </w:r>
      <m:oMath>
        <m:r>
          <m:t>ρ</m:t>
        </m:r>
      </m:oMath>
      <w:r>
        <w:t xml:space="preserve">, and</w:t>
      </w:r>
      <w:r>
        <w:t xml:space="preserve"> </w:t>
      </w:r>
      <m:oMath>
        <m:r>
          <m:t>W</m:t>
        </m:r>
      </m:oMath>
      <w:r>
        <w:t xml:space="preserve"> </w:t>
      </w:r>
      <w:r>
        <w:t xml:space="preserve">before inspecting either gap.</w:t>
      </w:r>
    </w:p>
    <w:p>
      <w:r>
        <w:rPr>
          <w:rFonts w:ascii="Aptos" w:hAnsi="Aptos"/>
        </w:rPr>
        <w:t xml:space="preserve">4. </w:t>
      </w:r>
      <w:pPr>
        <w:numPr>
          <w:ilvl w:val="0"/>
          <w:numId w:val="1004"/>
        </w:numPr>
        <w:pStyle w:val="Compact"/>
        <w:spacing w:after="50"/>
        <w:ind w:left="403" w:hanging="317"/>
      </w:pPr>
      <w:r>
        <w:t xml:space="preserve">Calculate all eight channel-origin response signatures.</w:t>
      </w:r>
    </w:p>
    <w:p>
      <w:r>
        <w:rPr>
          <w:rFonts w:ascii="Aptos" w:hAnsi="Aptos"/>
        </w:rPr>
        <w:t xml:space="preserve">5. </w:t>
      </w:r>
      <w:pPr>
        <w:numPr>
          <w:ilvl w:val="0"/>
          <w:numId w:val="1004"/>
        </w:numPr>
        <w:pStyle w:val="Compact"/>
        <w:spacing w:after="50"/>
        <w:ind w:left="403" w:hanging="317"/>
      </w:pPr>
      <w:r>
        <w:t xml:space="preserve">Construct the eight scalar compatibility entries with the single negative-squared-distance rule.</w:t>
      </w:r>
    </w:p>
    <w:p>
      <w:r>
        <w:rPr>
          <w:rFonts w:ascii="Aptos" w:hAnsi="Aptos"/>
        </w:rPr>
        <w:t xml:space="preserve">6. </w:t>
      </w:r>
      <w:pPr>
        <w:keepLines/>
        <w:numPr>
          <w:ilvl w:val="0"/>
          <w:numId w:val="1004"/>
        </w:numPr>
        <w:pStyle w:val="Compact"/>
        <w:spacing w:after="80" w:before="50"/>
        <w:ind w:left="403" w:hanging="317"/>
        <w:jc w:val="center"/>
      </w:pPr>
      <w:r>
        <w:t xml:space="preserve">Publish</w:t>
      </w:r>
      <w:r>
        <w:t xml:space="preserve"> </w:t>
      </w:r>
      <m:oMath>
        <m:sSub>
          <m:e>
            <m:r>
              <m:t>Δ</m:t>
            </m:r>
          </m:e>
          <m:sub>
            <m:r>
              <m:t>L</m:t>
            </m:r>
          </m:sub>
        </m:sSub>
      </m:oMath>
      <w:r>
        <w:t xml:space="preserve">,</w:t>
      </w:r>
      <w:r>
        <w:t xml:space="preserve"> </w:t>
      </w:r>
      <m:oMath>
        <m:sSub>
          <m:e>
            <m:r>
              <m:t>Δ</m:t>
            </m:r>
          </m:e>
          <m:sub>
            <m:r>
              <m:t>R</m:t>
            </m:r>
          </m:sub>
        </m:sSub>
      </m:oMath>
      <w:r>
        <w:t xml:space="preserve">, uncertainty bounds, and the selected filter without relabeling channel origins.</w:t>
      </w:r>
    </w:p>
    <w:p>
      <w:r>
        <w:rPr>
          <w:rFonts w:ascii="Aptos" w:hAnsi="Aptos"/>
        </w:rPr>
        <w:t xml:space="preserve">7. </w:t>
      </w:r>
      <w:pPr>
        <w:numPr>
          <w:ilvl w:val="0"/>
          <w:numId w:val="1004"/>
        </w:numPr>
        <w:pStyle w:val="Compact"/>
        <w:spacing w:after="50"/>
        <w:ind w:left="403" w:hanging="317"/>
      </w:pPr>
      <w:r>
        <w:t xml:space="preserve">Apply the unchanged 0.3 convergence and perturbation tests.</w:t>
      </w:r>
    </w:p>
    <w:p>
      <w:pPr>
        <w:pStyle w:val="FirstParagraph"/>
      </w:pPr>
      <w:r>
        <w:t xml:space="preserve">Choosing the response map, band, or metric after inspecting the target is calibration to the answer. It does not count as a carrier-origin calculation.</w:t>
      </w:r>
    </w:p>
    <w:bookmarkEnd w:id="40"/>
    <w:bookmarkStart w:id="41" w:name="claim-ledger"/>
    <w:p>
      <w:pPr>
        <w:pStyle w:val="Heading1"/>
        <w:keepNext/>
      </w:pPr>
      <w:r>
        <w:t xml:space="preserve">Claim ledger</w:t>
      </w:r>
    </w:p>
    <w:tbl>
      <w:tblPr>
        <w:tblW w:type="dxa" w:w="9936"/>
        <w:jc w:val="center"/>
        <w:tblLayout w:type="fixed"/>
        <w:tblLook w:firstRow="1" w:lastRow="0" w:firstColumn="0" w:lastColumn="0" w:noHBand="0" w:noVBand="0" w:val="002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691"/>
        <w:gridCol w:w="2044"/>
        <w:gridCol w:w="7200"/>
      </w:tblGrid>
      <w:tr>
        <w:trPr>
          <w:tblHeader w:val="true"/>
          <w:cantSplit/>
          <w:tblHeader w:val="true"/>
        </w:trPr>
        <w:tc>
          <w:tcPr>
            <w:tcW w:type="dxa" w:w="691"/>
            <w:tcMar>
              <w:top w:w="80" w:type="dxa"/>
              <w:start w:w="100" w:type="dxa"/>
              <w:bottom w:w="80" w:type="dxa"/>
              <w:end w:w="100" w:type="dxa"/>
            </w:tcMar>
            <w:vAlign w:val="center"/>
            <w:shd w:fill="18324A"/>
          </w:tcPr>
          <w:p>
            <w:pPr>
              <w:spacing w:before="0" w:after="0" w:line="245" w:lineRule="auto"/>
              <w:jc w:val="left"/>
            </w:pPr>
            <w:r>
              <w:rPr>
                <w:rFonts w:ascii="Aptos" w:hAnsi="Aptos" w:eastAsia="Aptos"/>
                <w:b/>
                <w:color w:val="FFFFFF"/>
                <w:sz w:val="15"/>
              </w:rPr>
              <w:t xml:space="preserve">Code</w:t>
            </w:r>
          </w:p>
        </w:tc>
        <w:tc>
          <w:tcPr>
            <w:tcW w:type="dxa" w:w="2044"/>
            <w:tcMar>
              <w:top w:w="80" w:type="dxa"/>
              <w:start w:w="100" w:type="dxa"/>
              <w:bottom w:w="80" w:type="dxa"/>
              <w:end w:w="100" w:type="dxa"/>
            </w:tcMar>
            <w:vAlign w:val="center"/>
            <w:shd w:fill="18324A"/>
          </w:tcPr>
          <w:p>
            <w:pPr>
              <w:spacing w:before="0" w:after="0" w:line="245" w:lineRule="auto"/>
              <w:jc w:val="left"/>
            </w:pPr>
            <w:r>
              <w:rPr>
                <w:rFonts w:ascii="Aptos" w:hAnsi="Aptos" w:eastAsia="Aptos"/>
                <w:b/>
                <w:color w:val="FFFFFF"/>
                <w:sz w:val="15"/>
              </w:rPr>
              <w:t xml:space="preserve">Status</w:t>
            </w:r>
          </w:p>
        </w:tc>
        <w:tc>
          <w:tcPr>
            <w:tcW w:type="dxa" w:w="7200"/>
            <w:tcMar>
              <w:top w:w="80" w:type="dxa"/>
              <w:start w:w="100" w:type="dxa"/>
              <w:bottom w:w="80" w:type="dxa"/>
              <w:end w:w="100" w:type="dxa"/>
            </w:tcMar>
            <w:vAlign w:val="center"/>
            <w:shd w:fill="18324A"/>
          </w:tcPr>
          <w:p>
            <w:pPr>
              <w:spacing w:before="0" w:after="0" w:line="245" w:lineRule="auto"/>
              <w:jc w:val="left"/>
            </w:pPr>
            <w:r>
              <w:rPr>
                <w:rFonts w:ascii="Aptos" w:hAnsi="Aptos" w:eastAsia="Aptos"/>
                <w:b/>
                <w:color w:val="FFFFFF"/>
                <w:sz w:val="15"/>
              </w:rPr>
              <w:t xml:space="preserve">Statement in WRRA-M 0.4</w:t>
            </w:r>
          </w:p>
        </w:tc>
      </w:tr>
      <w:tr>
        <w:trPr>
          <w:cantSplit/>
        </w:trPr>
        <w:tc>
          <w:tcPr>
            <w:tcW w:type="dxa" w:w="691"/>
            <w:tcMar>
              <w:top w:w="80" w:type="dxa"/>
              <w:start w:w="100" w:type="dxa"/>
              <w:bottom w:w="80" w:type="dxa"/>
              <w:end w:w="100" w:type="dxa"/>
            </w:tcMar>
            <w:vAlign w:val="center"/>
          </w:tcPr>
          <w:p>
            <w:pPr>
              <w:spacing w:before="0" w:after="0" w:line="245" w:lineRule="auto"/>
              <w:jc w:val="left"/>
            </w:pPr>
            <w:r>
              <w:rPr>
                <w:rFonts w:ascii="Aptos" w:hAnsi="Aptos" w:eastAsia="Aptos"/>
                <w:sz w:val="15"/>
              </w:rPr>
              <w:t xml:space="preserve">E</w:t>
            </w:r>
          </w:p>
        </w:tc>
        <w:tc>
          <w:tcPr>
            <w:tcW w:type="dxa" w:w="2044"/>
            <w:tcMar>
              <w:top w:w="80" w:type="dxa"/>
              <w:start w:w="100" w:type="dxa"/>
              <w:bottom w:w="80" w:type="dxa"/>
              <w:end w:w="100" w:type="dxa"/>
            </w:tcMar>
            <w:vAlign w:val="center"/>
          </w:tcPr>
          <w:p>
            <w:pPr>
              <w:spacing w:before="0" w:after="0" w:line="245" w:lineRule="auto"/>
              <w:jc w:val="left"/>
            </w:pPr>
            <w:r>
              <w:rPr>
                <w:rFonts w:ascii="Aptos" w:hAnsi="Aptos" w:eastAsia="Aptos"/>
                <w:sz w:val="15"/>
              </w:rPr>
              <w:t xml:space="preserve">Verified input</w:t>
            </w:r>
          </w:p>
        </w:tc>
        <w:tc>
          <w:tcPr>
            <w:tcW w:type="dxa" w:w="7200"/>
            <w:tcMar>
              <w:top w:w="80" w:type="dxa"/>
              <w:start w:w="100" w:type="dxa"/>
              <w:bottom w:w="80" w:type="dxa"/>
              <w:end w:w="100" w:type="dxa"/>
            </w:tcMar>
            <w:vAlign w:val="center"/>
          </w:tcPr>
          <w:p>
            <w:pPr>
              <w:spacing w:before="0" w:after="0" w:line="245" w:lineRule="auto"/>
              <w:jc w:val="left"/>
            </w:pPr>
            <w:r>
              <w:rPr>
                <w:rFonts w:ascii="Aptos" w:hAnsi="Aptos" w:eastAsia="Aptos"/>
                <w:sz w:val="15"/>
              </w:rPr>
              <w:t xml:space="preserve">The 0.2 sixteen-channel mapping, the 0.3 four-filter theorem, and the existing fifteen-channel common-carrier constraints</w:t>
            </w:r>
          </w:p>
        </w:tc>
      </w:tr>
      <w:tr>
        <w:trPr>
          <w:cantSplit/>
        </w:trPr>
        <w:tc>
          <w:tcPr>
            <w:tcW w:type="dxa" w:w="691"/>
            <w:tcMar>
              <w:top w:w="80" w:type="dxa"/>
              <w:start w:w="100" w:type="dxa"/>
              <w:bottom w:w="80" w:type="dxa"/>
              <w:end w:w="100" w:type="dxa"/>
            </w:tcMar>
            <w:vAlign w:val="center"/>
            <w:shd w:fill="EAF2F8"/>
          </w:tcPr>
          <w:p>
            <w:pPr>
              <w:spacing w:before="0" w:after="0" w:line="245" w:lineRule="auto"/>
              <w:jc w:val="left"/>
            </w:pPr>
            <w:r>
              <w:rPr>
                <w:rFonts w:ascii="Aptos" w:hAnsi="Aptos" w:eastAsia="Aptos"/>
                <w:sz w:val="15"/>
              </w:rPr>
              <w:t xml:space="preserve">D</w:t>
            </w:r>
          </w:p>
        </w:tc>
        <w:tc>
          <w:tcPr>
            <w:tcW w:type="dxa" w:w="2044"/>
            <w:tcMar>
              <w:top w:w="80" w:type="dxa"/>
              <w:start w:w="100" w:type="dxa"/>
              <w:bottom w:w="80" w:type="dxa"/>
              <w:end w:w="100" w:type="dxa"/>
            </w:tcMar>
            <w:vAlign w:val="center"/>
            <w:shd w:fill="EAF2F8"/>
          </w:tcPr>
          <w:p>
            <w:pPr>
              <w:spacing w:before="0" w:after="0" w:line="245" w:lineRule="auto"/>
              <w:jc w:val="left"/>
            </w:pPr>
            <w:r>
              <w:rPr>
                <w:rFonts w:ascii="Aptos" w:hAnsi="Aptos" w:eastAsia="Aptos"/>
                <w:sz w:val="15"/>
              </w:rPr>
              <w:t xml:space="preserve">Architecture definition</w:t>
            </w:r>
          </w:p>
        </w:tc>
        <w:tc>
          <w:tcPr>
            <w:tcW w:type="dxa" w:w="7200"/>
            <w:tcMar>
              <w:top w:w="80" w:type="dxa"/>
              <w:start w:w="100" w:type="dxa"/>
              <w:bottom w:w="80" w:type="dxa"/>
              <w:end w:w="100" w:type="dxa"/>
            </w:tcMar>
            <w:vAlign w:val="center"/>
            <w:shd w:fill="EAF2F8"/>
          </w:tcPr>
          <w:p>
            <w:pPr>
              <w:spacing w:before="0" w:after="0" w:line="245" w:lineRule="auto"/>
              <w:jc w:val="left"/>
            </w:pPr>
            <w:r>
              <w:rPr>
                <w:rFonts w:ascii="Aptos" w:hAnsi="Aptos" w:eastAsia="Aptos"/>
                <w:sz w:val="15"/>
              </w:rPr>
              <w:t xml:space="preserve">The sixteen-channel extension, null-lift criterion, carrier response metric, and one mismatch score rule</w:t>
            </w:r>
          </w:p>
        </w:tc>
      </w:tr>
      <w:tr>
        <w:trPr>
          <w:cantSplit/>
        </w:trPr>
        <w:tc>
          <w:tcPr>
            <w:tcW w:type="dxa" w:w="691"/>
            <w:tcMar>
              <w:top w:w="80" w:type="dxa"/>
              <w:start w:w="100" w:type="dxa"/>
              <w:bottom w:w="80" w:type="dxa"/>
              <w:end w:w="100" w:type="dxa"/>
            </w:tcMar>
            <w:vAlign w:val="center"/>
          </w:tcPr>
          <w:p>
            <w:pPr>
              <w:spacing w:before="0" w:after="0" w:line="245" w:lineRule="auto"/>
              <w:jc w:val="left"/>
            </w:pPr>
            <w:r>
              <w:rPr>
                <w:rFonts w:ascii="Aptos" w:hAnsi="Aptos" w:eastAsia="Aptos"/>
                <w:sz w:val="15"/>
              </w:rPr>
              <w:t xml:space="preserve">T</w:t>
            </w:r>
          </w:p>
        </w:tc>
        <w:tc>
          <w:tcPr>
            <w:tcW w:type="dxa" w:w="2044"/>
            <w:tcMar>
              <w:top w:w="80" w:type="dxa"/>
              <w:start w:w="100" w:type="dxa"/>
              <w:bottom w:w="80" w:type="dxa"/>
              <w:end w:w="100" w:type="dxa"/>
            </w:tcMar>
            <w:vAlign w:val="center"/>
          </w:tcPr>
          <w:p>
            <w:pPr>
              <w:spacing w:before="0" w:after="0" w:line="245" w:lineRule="auto"/>
              <w:jc w:val="left"/>
            </w:pPr>
            <w:r>
              <w:rPr>
                <w:rFonts w:ascii="Aptos" w:hAnsi="Aptos" w:eastAsia="Aptos"/>
                <w:sz w:val="15"/>
              </w:rPr>
              <w:t xml:space="preserve">Exact theorem</w:t>
            </w:r>
          </w:p>
        </w:tc>
        <w:tc>
          <w:tcPr>
            <w:tcW w:type="dxa" w:w="7200"/>
            <w:tcMar>
              <w:top w:w="80" w:type="dxa"/>
              <w:start w:w="100" w:type="dxa"/>
              <w:bottom w:w="80" w:type="dxa"/>
              <w:end w:w="100" w:type="dxa"/>
            </w:tcMar>
            <w:vAlign w:val="center"/>
          </w:tcPr>
          <w:p>
            <w:pPr>
              <w:spacing w:before="0" w:after="0" w:line="245" w:lineRule="auto"/>
              <w:jc w:val="left"/>
            </w:pPr>
            <w:r>
              <w:rPr>
                <w:rFonts w:ascii="Aptos" w:hAnsi="Aptos" w:eastAsia="Aptos"/>
                <w:sz w:val="15"/>
              </w:rPr>
              <w:t xml:space="preserve">Both 0.3 gaps equal twice a carrier-metric alignment product</w:t>
            </w:r>
          </w:p>
        </w:tc>
      </w:tr>
      <w:tr>
        <w:trPr>
          <w:cantSplit/>
        </w:trPr>
        <w:tc>
          <w:tcPr>
            <w:tcW w:type="dxa" w:w="691"/>
            <w:tcMar>
              <w:top w:w="80" w:type="dxa"/>
              <w:start w:w="100" w:type="dxa"/>
              <w:bottom w:w="80" w:type="dxa"/>
              <w:end w:w="100" w:type="dxa"/>
            </w:tcMar>
            <w:vAlign w:val="center"/>
            <w:shd w:fill="EAF2F8"/>
          </w:tcPr>
          <w:p>
            <w:pPr>
              <w:spacing w:before="0" w:after="0" w:line="245" w:lineRule="auto"/>
              <w:jc w:val="left"/>
            </w:pPr>
            <w:r>
              <w:rPr>
                <w:rFonts w:ascii="Aptos" w:hAnsi="Aptos" w:eastAsia="Aptos"/>
                <w:sz w:val="15"/>
              </w:rPr>
              <w:t xml:space="preserve">T</w:t>
            </w:r>
          </w:p>
        </w:tc>
        <w:tc>
          <w:tcPr>
            <w:tcW w:type="dxa" w:w="2044"/>
            <w:tcMar>
              <w:top w:w="80" w:type="dxa"/>
              <w:start w:w="100" w:type="dxa"/>
              <w:bottom w:w="80" w:type="dxa"/>
              <w:end w:w="100" w:type="dxa"/>
            </w:tcMar>
            <w:vAlign w:val="center"/>
            <w:shd w:fill="EAF2F8"/>
          </w:tcPr>
          <w:p>
            <w:pPr>
              <w:spacing w:before="0" w:after="0" w:line="245" w:lineRule="auto"/>
              <w:jc w:val="left"/>
            </w:pPr>
            <w:r>
              <w:rPr>
                <w:rFonts w:ascii="Aptos" w:hAnsi="Aptos" w:eastAsia="Aptos"/>
                <w:sz w:val="15"/>
              </w:rPr>
              <w:t xml:space="preserve">Exact theorem</w:t>
            </w:r>
          </w:p>
        </w:tc>
        <w:tc>
          <w:tcPr>
            <w:tcW w:type="dxa" w:w="7200"/>
            <w:tcMar>
              <w:top w:w="80" w:type="dxa"/>
              <w:start w:w="100" w:type="dxa"/>
              <w:bottom w:w="80" w:type="dxa"/>
              <w:end w:w="100" w:type="dxa"/>
            </w:tcMar>
            <w:vAlign w:val="center"/>
            <w:shd w:fill="EAF2F8"/>
          </w:tcPr>
          <w:p>
            <w:pPr>
              <w:spacing w:before="0" w:after="0" w:line="245" w:lineRule="auto"/>
              <w:jc w:val="left"/>
            </w:pPr>
            <w:r>
              <w:rPr>
                <w:rFonts w:ascii="Aptos" w:hAnsi="Aptos" w:eastAsia="Aptos"/>
                <w:sz w:val="15"/>
              </w:rPr>
              <w:t xml:space="preserve">Adding a gauge-singlet zero-hypercharge channel leaves the stated anomaly sums unchanged</w:t>
            </w:r>
          </w:p>
        </w:tc>
      </w:tr>
      <w:tr>
        <w:trPr>
          <w:cantSplit/>
        </w:trPr>
        <w:tc>
          <w:tcPr>
            <w:tcW w:type="dxa" w:w="691"/>
            <w:tcMar>
              <w:top w:w="80" w:type="dxa"/>
              <w:start w:w="100" w:type="dxa"/>
              <w:bottom w:w="80" w:type="dxa"/>
              <w:end w:w="100" w:type="dxa"/>
            </w:tcMar>
            <w:vAlign w:val="center"/>
          </w:tcPr>
          <w:p>
            <w:pPr>
              <w:spacing w:before="0" w:after="0" w:line="245" w:lineRule="auto"/>
              <w:jc w:val="left"/>
            </w:pPr>
            <w:r>
              <w:rPr>
                <w:rFonts w:ascii="Aptos" w:hAnsi="Aptos" w:eastAsia="Aptos"/>
                <w:sz w:val="15"/>
              </w:rPr>
              <w:t xml:space="preserve">C</w:t>
            </w:r>
          </w:p>
        </w:tc>
        <w:tc>
          <w:tcPr>
            <w:tcW w:type="dxa" w:w="2044"/>
            <w:tcMar>
              <w:top w:w="80" w:type="dxa"/>
              <w:start w:w="100" w:type="dxa"/>
              <w:bottom w:w="80" w:type="dxa"/>
              <w:end w:w="100" w:type="dxa"/>
            </w:tcMar>
            <w:vAlign w:val="center"/>
          </w:tcPr>
          <w:p>
            <w:pPr>
              <w:spacing w:before="0" w:after="0" w:line="245" w:lineRule="auto"/>
              <w:jc w:val="left"/>
            </w:pPr>
            <w:r>
              <w:rPr>
                <w:rFonts w:ascii="Aptos" w:hAnsi="Aptos" w:eastAsia="Aptos"/>
                <w:sz w:val="15"/>
              </w:rPr>
              <w:t xml:space="preserve">Conditional result</w:t>
            </w:r>
          </w:p>
        </w:tc>
        <w:tc>
          <w:tcPr>
            <w:tcW w:type="dxa" w:w="7200"/>
            <w:tcMar>
              <w:top w:w="80" w:type="dxa"/>
              <w:start w:w="100" w:type="dxa"/>
              <w:bottom w:w="80" w:type="dxa"/>
              <w:end w:w="100" w:type="dxa"/>
            </w:tcMar>
            <w:vAlign w:val="center"/>
          </w:tcPr>
          <w:p>
            <w:pPr>
              <w:spacing w:before="0" w:after="0" w:line="245" w:lineRule="auto"/>
              <w:jc w:val="left"/>
            </w:pPr>
            <w:r>
              <w:rPr>
                <w:rFonts w:ascii="Aptos" w:hAnsi="Aptos" w:eastAsia="Aptos"/>
                <w:sz w:val="15"/>
              </w:rPr>
              <w:t xml:space="preserve">The existing common carrier is usable if the neutral channel has common principal transport and positive carrier norm</w:t>
            </w:r>
          </w:p>
        </w:tc>
      </w:tr>
      <w:tr>
        <w:trPr>
          <w:cantSplit/>
        </w:trPr>
        <w:tc>
          <w:tcPr>
            <w:tcW w:type="dxa" w:w="691"/>
            <w:tcMar>
              <w:top w:w="80" w:type="dxa"/>
              <w:start w:w="100" w:type="dxa"/>
              <w:bottom w:w="80" w:type="dxa"/>
              <w:end w:w="100" w:type="dxa"/>
            </w:tcMar>
            <w:vAlign w:val="center"/>
            <w:shd w:fill="EAF2F8"/>
          </w:tcPr>
          <w:p>
            <w:pPr>
              <w:spacing w:before="0" w:after="0" w:line="245" w:lineRule="auto"/>
              <w:jc w:val="left"/>
            </w:pPr>
            <w:r>
              <w:rPr>
                <w:rFonts w:ascii="Aptos" w:hAnsi="Aptos" w:eastAsia="Aptos"/>
                <w:sz w:val="15"/>
              </w:rPr>
              <w:t xml:space="preserve">W</w:t>
            </w:r>
          </w:p>
        </w:tc>
        <w:tc>
          <w:tcPr>
            <w:tcW w:type="dxa" w:w="2044"/>
            <w:tcMar>
              <w:top w:w="80" w:type="dxa"/>
              <w:start w:w="100" w:type="dxa"/>
              <w:bottom w:w="80" w:type="dxa"/>
              <w:end w:w="100" w:type="dxa"/>
            </w:tcMar>
            <w:vAlign w:val="center"/>
            <w:shd w:fill="EAF2F8"/>
          </w:tcPr>
          <w:p>
            <w:pPr>
              <w:spacing w:before="0" w:after="0" w:line="245" w:lineRule="auto"/>
              <w:jc w:val="left"/>
            </w:pPr>
            <w:r>
              <w:rPr>
                <w:rFonts w:ascii="Aptos" w:hAnsi="Aptos" w:eastAsia="Aptos"/>
                <w:sz w:val="15"/>
              </w:rPr>
              <w:t xml:space="preserve">Constructibility witness</w:t>
            </w:r>
          </w:p>
        </w:tc>
        <w:tc>
          <w:tcPr>
            <w:tcW w:type="dxa" w:w="7200"/>
            <w:tcMar>
              <w:top w:w="80" w:type="dxa"/>
              <w:start w:w="100" w:type="dxa"/>
              <w:bottom w:w="80" w:type="dxa"/>
              <w:end w:w="100" w:type="dxa"/>
            </w:tcMar>
            <w:vAlign w:val="center"/>
            <w:shd w:fill="EAF2F8"/>
          </w:tcPr>
          <w:p>
            <w:pPr>
              <w:spacing w:before="0" w:after="0" w:line="245" w:lineRule="auto"/>
              <w:jc w:val="left"/>
            </w:pPr>
            <w:r>
              <w:rPr>
                <w:rFonts w:ascii="Aptos" w:hAnsi="Aptos" w:eastAsia="Aptos"/>
                <w:sz w:val="15"/>
              </w:rPr>
              <w:t xml:space="preserve">One exact finite response assignment gives</w:t>
            </w:r>
            <w:r>
              <w:rPr>
                <w:rFonts w:ascii="Aptos" w:hAnsi="Aptos" w:eastAsia="Aptos"/>
                <w:sz w:val="15"/>
              </w:rPr>
              <w:t xml:space="preserve"> </w:t>
            </w:r>
            <m:oMath>
              <m:sSub>
                <m:e>
                  <m:r>
                    <m:t>Δ</m:t>
                  </m:r>
                </m:e>
                <m:sub>
                  <m:r>
                    <m:t>L</m:t>
                  </m:r>
                </m:sub>
              </m:sSub>
              <m:r>
                <m:rPr>
                  <m:sty m:val="p"/>
                </m:rPr>
                <m:t>=</m:t>
              </m:r>
              <m:sSub>
                <m:e>
                  <m:r>
                    <m:t>Δ</m:t>
                  </m:r>
                </m:e>
                <m:sub>
                  <m:r>
                    <m:t>R</m:t>
                  </m:r>
                </m:sub>
              </m:sSub>
              <m:r>
                <m:rPr>
                  <m:sty m:val="p"/>
                </m:rPr>
                <m:t>=</m:t>
              </m:r>
              <m:r>
                <m:t>8</m:t>
              </m:r>
            </m:oMath>
            <w:r>
              <w:rPr>
                <w:rFonts w:ascii="Aptos" w:hAnsi="Aptos" w:eastAsia="Aptos"/>
                <w:sz w:val="15"/>
              </w:rPr>
              <w:t xml:space="preserve"> </w:t>
            </w:r>
            <w:r>
              <w:rPr>
                <w:rFonts w:ascii="Aptos" w:hAnsi="Aptos" w:eastAsia="Aptos"/>
                <w:sz w:val="15"/>
              </w:rPr>
              <w:t xml:space="preserve">and selects</w:t>
            </w:r>
            <w:r>
              <w:rPr>
                <w:rFonts w:ascii="Aptos" w:hAnsi="Aptos" w:eastAsia="Aptos"/>
                <w:sz w:val="15"/>
              </w:rPr>
              <w:t xml:space="preserve"> </w:t>
            </w:r>
            <m:oMath>
              <m:sSub>
                <m:e>
                  <m:r>
                    <m:t>F</m:t>
                  </m:r>
                </m:e>
                <m:sub>
                  <m:r>
                    <m:t>D</m:t>
                  </m:r>
                  <m:r>
                    <m:t>X</m:t>
                  </m:r>
                </m:sub>
              </m:sSub>
            </m:oMath>
            <w:r>
              <w:rPr>
                <w:rFonts w:ascii="Aptos" w:hAnsi="Aptos" w:eastAsia="Aptos"/>
                <w:sz w:val="15"/>
              </w:rPr>
              <w:t xml:space="preserve"> </w:t>
            </w:r>
            <w:r>
              <w:rPr>
                <w:rFonts w:ascii="Aptos" w:hAnsi="Aptos" w:eastAsia="Aptos"/>
                <w:sz w:val="15"/>
              </w:rPr>
              <w:t xml:space="preserve">uniquely</w:t>
            </w:r>
          </w:p>
        </w:tc>
      </w:tr>
      <w:tr>
        <w:trPr>
          <w:cantSplit/>
        </w:trPr>
        <w:tc>
          <w:tcPr>
            <w:tcW w:type="dxa" w:w="691"/>
            <w:tcMar>
              <w:top w:w="80" w:type="dxa"/>
              <w:start w:w="100" w:type="dxa"/>
              <w:bottom w:w="80" w:type="dxa"/>
              <w:end w:w="100" w:type="dxa"/>
            </w:tcMar>
            <w:vAlign w:val="center"/>
          </w:tcPr>
          <w:p>
            <w:pPr>
              <w:spacing w:before="0" w:after="0" w:line="245" w:lineRule="auto"/>
              <w:jc w:val="left"/>
            </w:pPr>
            <w:r>
              <w:rPr>
                <w:rFonts w:ascii="Aptos" w:hAnsi="Aptos" w:eastAsia="Aptos"/>
                <w:sz w:val="15"/>
              </w:rPr>
              <w:t xml:space="preserve">H</w:t>
            </w:r>
          </w:p>
        </w:tc>
        <w:tc>
          <w:tcPr>
            <w:tcW w:type="dxa" w:w="2044"/>
            <w:tcMar>
              <w:top w:w="80" w:type="dxa"/>
              <w:start w:w="100" w:type="dxa"/>
              <w:bottom w:w="80" w:type="dxa"/>
              <w:end w:w="100" w:type="dxa"/>
            </w:tcMar>
            <w:vAlign w:val="center"/>
          </w:tcPr>
          <w:p>
            <w:pPr>
              <w:spacing w:before="0" w:after="0" w:line="245" w:lineRule="auto"/>
              <w:jc w:val="left"/>
            </w:pPr>
            <w:r>
              <w:rPr>
                <w:rFonts w:ascii="Aptos" w:hAnsi="Aptos" w:eastAsia="Aptos"/>
                <w:sz w:val="15"/>
              </w:rPr>
              <w:t xml:space="preserve">Unproved physical hypothesis</w:t>
            </w:r>
          </w:p>
        </w:tc>
        <w:tc>
          <w:tcPr>
            <w:tcW w:type="dxa" w:w="7200"/>
            <w:tcMar>
              <w:top w:w="80" w:type="dxa"/>
              <w:start w:w="100" w:type="dxa"/>
              <w:bottom w:w="80" w:type="dxa"/>
              <w:end w:w="100" w:type="dxa"/>
            </w:tcMar>
            <w:vAlign w:val="center"/>
          </w:tcPr>
          <w:p>
            <w:pPr>
              <w:spacing w:before="0" w:after="0" w:line="245" w:lineRule="auto"/>
              <w:jc w:val="left"/>
            </w:pPr>
            <w:r>
              <w:rPr>
                <w:rFonts w:ascii="Aptos" w:hAnsi="Aptos" w:eastAsia="Aptos"/>
                <w:sz w:val="15"/>
              </w:rPr>
              <w:t xml:space="preserve">A microscopic carrier supplies independently fixed signatures with both alignments positive</w:t>
            </w:r>
          </w:p>
        </w:tc>
      </w:tr>
      <w:tr>
        <w:trPr>
          <w:cantSplit/>
        </w:trPr>
        <w:tc>
          <w:tcPr>
            <w:tcW w:type="dxa" w:w="691"/>
            <w:tcMar>
              <w:top w:w="80" w:type="dxa"/>
              <w:start w:w="100" w:type="dxa"/>
              <w:bottom w:w="80" w:type="dxa"/>
              <w:end w:w="100" w:type="dxa"/>
            </w:tcMar>
            <w:vAlign w:val="center"/>
            <w:shd w:fill="EAF2F8"/>
          </w:tcPr>
          <w:p>
            <w:pPr>
              <w:spacing w:before="0" w:after="0" w:line="245" w:lineRule="auto"/>
              <w:jc w:val="left"/>
            </w:pPr>
            <w:r>
              <w:rPr>
                <w:rFonts w:ascii="Aptos" w:hAnsi="Aptos" w:eastAsia="Aptos"/>
                <w:sz w:val="15"/>
              </w:rPr>
              <w:t xml:space="preserve">O</w:t>
            </w:r>
          </w:p>
        </w:tc>
        <w:tc>
          <w:tcPr>
            <w:tcW w:type="dxa" w:w="2044"/>
            <w:tcMar>
              <w:top w:w="80" w:type="dxa"/>
              <w:start w:w="100" w:type="dxa"/>
              <w:bottom w:w="80" w:type="dxa"/>
              <w:end w:w="100" w:type="dxa"/>
            </w:tcMar>
            <w:vAlign w:val="center"/>
            <w:shd w:fill="EAF2F8"/>
          </w:tcPr>
          <w:p>
            <w:pPr>
              <w:spacing w:before="0" w:after="0" w:line="245" w:lineRule="auto"/>
              <w:jc w:val="left"/>
            </w:pPr>
            <w:r>
              <w:rPr>
                <w:rFonts w:ascii="Aptos" w:hAnsi="Aptos" w:eastAsia="Aptos"/>
                <w:sz w:val="15"/>
              </w:rPr>
              <w:t xml:space="preserve">Outside this version</w:t>
            </w:r>
          </w:p>
        </w:tc>
        <w:tc>
          <w:tcPr>
            <w:tcW w:type="dxa" w:w="7200"/>
            <w:tcMar>
              <w:top w:w="80" w:type="dxa"/>
              <w:start w:w="100" w:type="dxa"/>
              <w:bottom w:w="80" w:type="dxa"/>
              <w:end w:w="100" w:type="dxa"/>
            </w:tcMar>
            <w:vAlign w:val="center"/>
            <w:shd w:fill="EAF2F8"/>
          </w:tcPr>
          <w:p>
            <w:pPr>
              <w:spacing w:before="0" w:after="0" w:line="245" w:lineRule="auto"/>
              <w:jc w:val="left"/>
            </w:pPr>
            <w:r>
              <w:rPr>
                <w:rFonts w:ascii="Aptos" w:hAnsi="Aptos" w:eastAsia="Aptos"/>
                <w:sz w:val="15"/>
              </w:rPr>
              <w:t xml:space="preserve">Numerical microscopic signatures, three generations, masses, gravity, cosmology, dark matter, and consciousness</w:t>
            </w:r>
          </w:p>
        </w:tc>
      </w:tr>
    </w:tbl>
    <w:bookmarkEnd w:id="41"/>
    <w:bookmarkStart w:id="42" w:name="falsification-conditions"/>
    <w:p>
      <w:pPr>
        <w:pStyle w:val="Heading1"/>
        <w:keepNext/>
      </w:pPr>
      <w:r>
        <w:t xml:space="preserve">Falsification conditions</w:t>
      </w:r>
    </w:p>
    <w:p>
      <w:pPr>
        <w:pStyle w:val="FirstParagraph"/>
      </w:pPr>
      <w:r>
        <w:t xml:space="preserve">The 0.4 bridge fails within its declared scope if any of the following occurs.</w:t>
      </w:r>
    </w:p>
    <w:p>
      <w:r>
        <w:rPr>
          <w:rFonts w:ascii="Aptos" w:hAnsi="Aptos"/>
        </w:rPr>
        <w:t xml:space="preserve">• </w:t>
      </w:r>
      <w:pPr>
        <w:numPr>
          <w:ilvl w:val="0"/>
          <w:numId w:val="1005"/>
        </w:numPr>
        <w:pStyle w:val="Compact"/>
        <w:spacing w:after="44"/>
        <w:ind w:left="317" w:hanging="202"/>
      </w:pPr>
      <w:r>
        <w:t xml:space="preserve">The sixteenth channel is in the kernel of the common carrier or has zero carrier norm.</w:t>
      </w:r>
    </w:p>
    <w:p>
      <w:r>
        <w:rPr>
          <w:rFonts w:ascii="Aptos" w:hAnsi="Aptos"/>
        </w:rPr>
        <w:t xml:space="preserve">• </w:t>
      </w:r>
      <w:pPr>
        <w:numPr>
          <w:ilvl w:val="0"/>
          <w:numId w:val="1005"/>
        </w:numPr>
        <w:pStyle w:val="Compact"/>
        <w:spacing w:after="44"/>
        <w:ind w:left="317" w:hanging="202"/>
      </w:pPr>
      <w:r>
        <w:t xml:space="preserve">Extending the carrier splits the principal causal cone by channel.</w:t>
      </w:r>
    </w:p>
    <w:p>
      <w:r>
        <w:rPr>
          <w:rFonts w:ascii="Aptos" w:hAnsi="Aptos"/>
        </w:rPr>
        <w:t xml:space="preserve">• </w:t>
      </w:r>
      <w:pPr>
        <w:numPr>
          <w:ilvl w:val="0"/>
          <w:numId w:val="1005"/>
        </w:numPr>
        <w:pStyle w:val="Compact"/>
        <w:spacing w:after="44"/>
        <w:ind w:left="317" w:hanging="202"/>
      </w:pPr>
      <w:r>
        <w:t xml:space="preserve">The response Gram operator is not positive semidefinite or does not have rank sixteen on the declared band.</w:t>
      </w:r>
    </w:p>
    <w:p>
      <w:r>
        <w:rPr>
          <w:rFonts w:ascii="Aptos" w:hAnsi="Aptos"/>
        </w:rPr>
        <w:t xml:space="preserve">• </w:t>
      </w:r>
      <w:pPr>
        <w:numPr>
          <w:ilvl w:val="0"/>
          <w:numId w:val="1005"/>
        </w:numPr>
        <w:pStyle w:val="Compact"/>
        <w:spacing w:after="44"/>
        <w:ind w:left="317" w:hanging="202"/>
      </w:pPr>
      <w:r>
        <w:t xml:space="preserve">The response signature or metric is not gauge invariant and therefore mixes inequivalent representations physically rather than comparing scalar records.</w:t>
      </w:r>
    </w:p>
    <w:p>
      <w:r>
        <w:rPr>
          <w:rFonts w:ascii="Aptos" w:hAnsi="Aptos"/>
        </w:rPr>
        <w:t xml:space="preserve">• </w:t>
      </w:r>
      <w:pPr>
        <w:numPr>
          <w:ilvl w:val="0"/>
          <w:numId w:val="1005"/>
        </w:numPr>
        <w:pStyle w:val="Compact"/>
        <w:spacing w:after="44"/>
        <w:ind w:left="317" w:hanging="202"/>
      </w:pPr>
      <w:r>
        <w:t xml:space="preserve">An independently fixed carrier gives either alignment product less than or equal to zero.</w:t>
      </w:r>
    </w:p>
    <w:p>
      <w:r>
        <w:rPr>
          <w:rFonts w:ascii="Aptos" w:hAnsi="Aptos"/>
        </w:rPr>
        <w:t xml:space="preserve">• </w:t>
      </w:r>
      <w:pPr>
        <w:numPr>
          <w:ilvl w:val="0"/>
          <w:numId w:val="1005"/>
        </w:numPr>
        <w:pStyle w:val="Compact"/>
        <w:spacing w:after="44"/>
        <w:ind w:left="317" w:hanging="202"/>
      </w:pPr>
      <w:r>
        <w:t xml:space="preserve">The metric, band, channel labels, or response extraction rule is changed after the target result is inspected.</w:t>
      </w:r>
    </w:p>
    <w:p>
      <w:r>
        <w:rPr>
          <w:rFonts w:ascii="Aptos" w:hAnsi="Aptos"/>
        </w:rPr>
        <w:t xml:space="preserve">• </w:t>
      </w:r>
      <w:pPr>
        <w:keepLines/>
        <w:numPr>
          <w:ilvl w:val="0"/>
          <w:numId w:val="1005"/>
        </w:numPr>
        <w:pStyle w:val="Compact"/>
        <w:spacing w:after="80" w:before="50"/>
        <w:ind w:left="317" w:hanging="202"/>
        <w:jc w:val="center"/>
      </w:pPr>
      <w:r>
        <w:t xml:space="preserve">A broader admissible filter class contains a candidate with score at least as large as</w:t>
      </w:r>
      <w:r>
        <w:t xml:space="preserve"> </w:t>
      </w:r>
      <m:oMath>
        <m:sSub>
          <m:e>
            <m:r>
              <m:t>F</m:t>
            </m:r>
          </m:e>
          <m:sub>
            <m:r>
              <m:t>D</m:t>
            </m:r>
            <m:r>
              <m:t>X</m:t>
            </m:r>
          </m:sub>
        </m:sSub>
      </m:oMath>
      <w:r>
        <w:t xml:space="preserve">.</w:t>
      </w:r>
    </w:p>
    <w:bookmarkEnd w:id="42"/>
    <w:bookmarkStart w:id="43" w:name="exact-boundary"/>
    <w:p>
      <w:pPr>
        <w:pStyle w:val="Heading1"/>
        <w:keepNext/>
      </w:pPr>
      <w:r>
        <w:t xml:space="preserve">Exact boundary</w:t>
      </w:r>
    </w:p>
    <w:p>
      <w:pPr>
        <w:pStyle w:val="FirstParagraph"/>
        <w:keepLines/>
        <w:spacing w:before="50" w:after="80"/>
        <w:jc w:val="center"/>
      </w:pPr>
      <w:r>
        <w:t xml:space="preserve">Version 0.4 does not calculate a physical numerical compatibility table from first principles. It proves that the common carrier is a mathematically compatible owner of such a table and identifies the exact objects that must be calculated next. It also establishes a necessary semantic correction: the pre-filter channel</w:t>
      </w:r>
      <w:r>
        <w:t xml:space="preserve"> </w:t>
      </w:r>
      <m:oMath>
        <m:sSub>
          <m:e>
            <m:r>
              <m:rPr>
                <m:sty m:val="b"/>
              </m:rPr>
              <m:t>1</m:t>
            </m:r>
          </m:e>
          <m:sub>
            <m:r>
              <m:t>N</m:t>
            </m:r>
          </m:sub>
        </m:sSub>
      </m:oMath>
      <w:r>
        <w:t xml:space="preserve"> </w:t>
      </w:r>
      <w:r>
        <w:t xml:space="preserve">may be gauge-null, but it cannot be transport-null if it is to become a carried right-handed-neutrino phenotype.</w:t>
      </w:r>
    </w:p>
    <w:p>
      <w:pPr>
        <w:pStyle w:val="BodyText"/>
      </w:pPr>
      <w:r>
        <w:t xml:space="preserve">The result advances the chain as follows:</w:t>
      </w:r>
    </w:p>
    <w:p>
      <w:pPr>
        <w:pStyle w:val="BodyText"/>
      </w:pPr>
      <m:oMathPara>
        <m:oMathParaPr>
          <m:jc m:val="center"/>
        </m:oMathParaPr>
        <m:oMath>
          <m:r>
            <m:rPr>
              <m:nor/>
              <m:sty m:val="p"/>
            </m:rPr>
            <m:t>0.2 output of a chosen filter</m:t>
          </m:r>
          <m:r>
            <m:rPr>
              <m:sty m:val="p"/>
            </m:rPr>
            <m:t>→</m:t>
          </m:r>
          <m:r>
            <m:rPr>
              <m:nor/>
              <m:sty m:val="p"/>
            </m:rPr>
            <m:t>0.3 exact selection criterion</m:t>
          </m:r>
          <m:r>
            <m:rPr>
              <m:sty m:val="p"/>
            </m:rPr>
            <m:t>→</m:t>
          </m:r>
          <m:r>
            <m:rPr>
              <m:nor/>
              <m:sty m:val="p"/>
            </m:rPr>
            <m:t>0.4 common-carrier origin of the criterion</m:t>
          </m:r>
          <m:r>
            <m:rPr>
              <m:sty m:val="p"/>
            </m:rPr>
            <m:t>.</m:t>
          </m:r>
        </m:oMath>
      </m:oMathPara>
    </w:p>
    <w:bookmarkEnd w:id="43"/>
    <w:bookmarkStart w:id="44" w:name="conclusion"/>
    <w:p>
      <w:pPr>
        <w:pStyle w:val="Heading1"/>
        <w:keepNext/>
      </w:pPr>
      <w:r>
        <w:t xml:space="preserve">Conclusion</w:t>
      </w:r>
    </w:p>
    <w:p>
      <w:pPr>
        <w:pStyle w:val="FirstParagraph"/>
      </w:pPr>
      <w:r>
        <w:t xml:space="preserve">The common carrier from Minimal Computation Cosmology is usable in WRRA-M, but only after its ownership is stated precisely. Its fifteen-channel form cannot simply be renamed as a sixteen-channel solution. The added neutral channel must participate in the same principal transport and must have positive carrier norm. Once that condition is met, the common carrier supplies a natural positive geometry on response signatures. A single negative-squared-mismatch rule then generates every compatibility entry required by 0.3, and the two filter gaps collapse to exact alignment products. This replaces eight free scalar entries by one metric, one response extraction rule, and eight calculated signatures. The next version should stop asking what the compatibility values may be and calculate them from one frozen microscopic carrier.</w:t>
      </w:r>
    </w:p>
    <w:bookmarkEnd w:id="44"/>
    <w:bookmarkStart w:id="45" w:name="appendix-a-exact-verification-record"/>
    <w:p>
      <w:pPr>
        <w:pStyle w:val="Heading1"/>
        <w:keepNext/>
      </w:pPr>
      <w:r>
        <w:t xml:space="preserve">Appendix A Exact verification record</w:t>
      </w:r>
    </w:p>
    <w:p>
      <w:pPr>
        <w:pStyle w:val="FirstParagraph"/>
      </w:pPr>
      <w:r>
        <w:t xml:space="preserve">The accompanying verification script checks with exact rational arithmetic that:</w:t>
      </w:r>
    </w:p>
    <w:p>
      <w:r>
        <w:rPr>
          <w:rFonts w:ascii="Aptos" w:hAnsi="Aptos"/>
        </w:rPr>
        <w:t xml:space="preserve">• </w:t>
      </w:r>
      <w:pPr>
        <w:numPr>
          <w:ilvl w:val="0"/>
          <w:numId w:val="1006"/>
        </w:numPr>
        <w:pStyle w:val="Compact"/>
        <w:spacing w:after="44"/>
        <w:ind w:left="317" w:hanging="202"/>
      </w:pPr>
      <w:r>
        <w:t xml:space="preserve">the squared-distance expansions give the two carrier-gap identities;</w:t>
      </w:r>
    </w:p>
    <w:p>
      <w:r>
        <w:rPr>
          <w:rFonts w:ascii="Aptos" w:hAnsi="Aptos"/>
        </w:rPr>
        <w:t xml:space="preserve">• </w:t>
      </w:r>
      <w:pPr>
        <w:keepLines/>
        <w:numPr>
          <w:ilvl w:val="0"/>
          <w:numId w:val="1006"/>
        </w:numPr>
        <w:pStyle w:val="Compact"/>
        <w:spacing w:after="80" w:before="50"/>
        <w:ind w:left="317" w:hanging="202"/>
        <w:jc w:val="center"/>
      </w:pPr>
      <w:r>
        <w:t xml:space="preserve">the finite witness yields</w:t>
      </w:r>
      <w:r>
        <w:t xml:space="preserve"> </w:t>
      </w:r>
      <m:oMath>
        <m:sSub>
          <m:e>
            <m:r>
              <m:t>Δ</m:t>
            </m:r>
          </m:e>
          <m:sub>
            <m:r>
              <m:t>L</m:t>
            </m:r>
          </m:sub>
        </m:sSub>
        <m:r>
          <m:rPr>
            <m:sty m:val="p"/>
          </m:rPr>
          <m:t>=</m:t>
        </m:r>
        <m:sSub>
          <m:e>
            <m:r>
              <m:t>Δ</m:t>
            </m:r>
          </m:e>
          <m:sub>
            <m:r>
              <m:t>R</m:t>
            </m:r>
          </m:sub>
        </m:sSub>
        <m:r>
          <m:rPr>
            <m:sty m:val="p"/>
          </m:rPr>
          <m:t>=</m:t>
        </m:r>
        <m:r>
          <m:t>8</m:t>
        </m:r>
      </m:oMath>
      <w:r>
        <w:t xml:space="preserve">;</w:t>
      </w:r>
    </w:p>
    <w:p>
      <w:r>
        <w:rPr>
          <w:rFonts w:ascii="Aptos" w:hAnsi="Aptos"/>
        </w:rPr>
        <w:t xml:space="preserve">• </w:t>
      </w:r>
      <w:pPr>
        <w:keepLines/>
        <w:numPr>
          <w:ilvl w:val="0"/>
          <w:numId w:val="1006"/>
        </w:numPr>
        <w:pStyle w:val="Compact"/>
        <w:spacing w:after="80" w:before="50"/>
        <w:ind w:left="317" w:hanging="202"/>
        <w:jc w:val="center"/>
      </w:pPr>
      <w:r>
        <w:t xml:space="preserve">the four witness scores are</w:t>
      </w:r>
      <w:r>
        <w:t xml:space="preserve"> </w:t>
      </w:r>
      <m:oMath>
        <m:r>
          <m:t>0</m:t>
        </m:r>
        <m:r>
          <m:rPr>
            <m:sty m:val="p"/>
          </m:rPr>
          <m:t>,</m:t>
        </m:r>
        <m:r>
          <m:rPr>
            <m:sty m:val="p"/>
          </m:rPr>
          <m:t>−</m:t>
        </m:r>
        <m:r>
          <m:t>8</m:t>
        </m:r>
        <m:r>
          <m:rPr>
            <m:sty m:val="p"/>
          </m:rPr>
          <m:t>,</m:t>
        </m:r>
        <m:r>
          <m:rPr>
            <m:sty m:val="p"/>
          </m:rPr>
          <m:t>−</m:t>
        </m:r>
        <m:r>
          <m:t>8</m:t>
        </m:r>
        <m:r>
          <m:rPr>
            <m:sty m:val="p"/>
          </m:rPr>
          <m:t>,</m:t>
        </m:r>
        <m:r>
          <m:rPr>
            <m:sty m:val="p"/>
          </m:rPr>
          <m:t>−</m:t>
        </m:r>
        <m:r>
          <m:t>16</m:t>
        </m:r>
      </m:oMath>
      <w:r>
        <w:t xml:space="preserve">;</w:t>
      </w:r>
    </w:p>
    <w:p>
      <w:r>
        <w:rPr>
          <w:rFonts w:ascii="Aptos" w:hAnsi="Aptos"/>
        </w:rPr>
        <w:t xml:space="preserve">• </w:t>
      </w:r>
      <w:pPr>
        <w:numPr>
          <w:ilvl w:val="0"/>
          <w:numId w:val="1006"/>
        </w:numPr>
        <w:pStyle w:val="Compact"/>
        <w:spacing w:after="44"/>
        <w:ind w:left="317" w:hanging="202"/>
      </w:pPr>
      <w:r>
        <w:t xml:space="preserve">adding a zero-charge singlet leaves the anomaly sums unchanged;</w:t>
      </w:r>
    </w:p>
    <w:p>
      <w:r>
        <w:rPr>
          <w:rFonts w:ascii="Aptos" w:hAnsi="Aptos"/>
        </w:rPr>
        <w:t xml:space="preserve">• </w:t>
      </w:r>
      <w:pPr>
        <w:numPr>
          <w:ilvl w:val="0"/>
          <w:numId w:val="1006"/>
        </w:numPr>
        <w:pStyle w:val="Compact"/>
        <w:spacing w:after="44"/>
        <w:ind w:left="317" w:hanging="202"/>
      </w:pPr>
      <w:r>
        <w:t xml:space="preserve">an identity sixteen-channel Gram operator has full rank and positive neutral-channel norm.</w:t>
      </w:r>
    </w:p>
    <w:bookmarkEnd w:id="45"/>
    <w:bookmarkStart w:id="54" w:name="appendix-b-references"/>
    <w:p>
      <w:pPr>
        <w:pStyle w:val="Heading1"/>
        <w:keepNext/>
      </w:pPr>
      <w:r>
        <w:t xml:space="preserve">Appendix B References</w:t>
      </w:r>
    </w:p>
    <w:p>
      <w:r>
        <w:rPr>
          <w:rFonts w:ascii="Aptos" w:hAnsi="Aptos" w:eastAsia="Aptos"/>
          <w:sz w:val="16"/>
        </w:rPr>
        <w:t xml:space="preserve">[1] </w:t>
      </w:r>
      <w:pPr>
        <w:numPr>
          <w:ilvl w:val="0"/>
          <w:numId w:val="1007"/>
        </w:numPr>
        <w:pStyle w:val="Compact"/>
        <w:spacing w:after="60"/>
        <w:ind w:left="317" w:hanging="317"/>
      </w:pPr>
      <w:r>
        <w:rPr>
          <w:rFonts w:ascii="Aptos" w:hAnsi="Aptos" w:eastAsia="Aptos"/>
          <w:sz w:val="16"/>
        </w:rPr>
        <w:t xml:space="preserve">Choi, W.</w:t>
      </w:r>
      <w:r>
        <w:rPr>
          <w:rFonts w:ascii="Aptos" w:hAnsi="Aptos" w:eastAsia="Aptos"/>
          <w:sz w:val="16"/>
        </w:rPr>
        <w:t xml:space="preserve"> </w:t>
      </w:r>
      <w:r>
        <w:rPr>
          <w:iCs/>
          <w:rFonts w:ascii="Aptos" w:hAnsi="Aptos" w:eastAsia="Aptos"/>
          <w:i/>
          <w:sz w:val="16"/>
        </w:rPr>
        <w:t xml:space="preserve">WRRA-M 0.2 Cross-Dimensional Filter Correspondence</w:t>
      </w:r>
      <w:r>
        <w:rPr>
          <w:rFonts w:ascii="Aptos" w:hAnsi="Aptos" w:eastAsia="Aptos"/>
          <w:sz w:val="16"/>
        </w:rPr>
        <w:t xml:space="preserve">. Version 0.2, 2026. DOI:</w:t>
      </w:r>
      <w:r>
        <w:rPr>
          <w:rFonts w:ascii="Aptos" w:hAnsi="Aptos" w:eastAsia="Aptos"/>
          <w:sz w:val="16"/>
        </w:rPr>
        <w:t xml:space="preserve"> </w:t>
      </w:r>
      <w:r>
        <w:rPr>
          <w:rStyle w:val="Hyperlink"/>
          <w:rFonts w:ascii="Aptos" w:hAnsi="Aptos" w:eastAsia="Aptos"/>
          <w:sz w:val="16"/>
        </w:rPr>
        <w:t xml:space="preserve">10.5281/zenodo.23072012</w:t>
      </w:r>
      <w:r>
        <w:rPr>
          <w:rFonts w:ascii="Aptos" w:hAnsi="Aptos" w:eastAsia="Aptos"/>
          <w:sz w:val="16"/>
        </w:rPr>
        <w:t xml:space="preserve">.</w:t>
      </w:r>
    </w:p>
    <w:p>
      <w:r>
        <w:rPr>
          <w:rFonts w:ascii="Aptos" w:hAnsi="Aptos" w:eastAsia="Aptos"/>
          <w:sz w:val="16"/>
        </w:rPr>
        <w:t xml:space="preserve">[2] </w:t>
      </w:r>
      <w:pPr>
        <w:numPr>
          <w:ilvl w:val="0"/>
          <w:numId w:val="1007"/>
        </w:numPr>
        <w:pStyle w:val="Compact"/>
        <w:spacing w:after="60"/>
        <w:ind w:left="317" w:hanging="317"/>
      </w:pPr>
      <w:r>
        <w:rPr>
          <w:rFonts w:ascii="Aptos" w:hAnsi="Aptos" w:eastAsia="Aptos"/>
          <w:sz w:val="16"/>
        </w:rPr>
        <w:t xml:space="preserve">Choi, W.</w:t>
      </w:r>
      <w:r>
        <w:rPr>
          <w:rFonts w:ascii="Aptos" w:hAnsi="Aptos" w:eastAsia="Aptos"/>
          <w:sz w:val="16"/>
        </w:rPr>
        <w:t xml:space="preserve"> </w:t>
      </w:r>
      <w:r>
        <w:rPr>
          <w:iCs/>
          <w:rFonts w:ascii="Aptos" w:hAnsi="Aptos" w:eastAsia="Aptos"/>
          <w:i/>
          <w:sz w:val="16"/>
        </w:rPr>
        <w:t xml:space="preserve">WRRA-M 0.3 Source-Law Filter Selection</w:t>
      </w:r>
      <w:r>
        <w:rPr>
          <w:rFonts w:ascii="Aptos" w:hAnsi="Aptos" w:eastAsia="Aptos"/>
          <w:sz w:val="16"/>
        </w:rPr>
        <w:t xml:space="preserve">. Version 0.3, 2026. DOI:</w:t>
      </w:r>
      <w:r>
        <w:rPr>
          <w:rFonts w:ascii="Aptos" w:hAnsi="Aptos" w:eastAsia="Aptos"/>
          <w:sz w:val="16"/>
        </w:rPr>
        <w:t xml:space="preserve"> </w:t>
      </w:r>
      <w:r>
        <w:rPr>
          <w:rStyle w:val="Hyperlink"/>
          <w:rFonts w:ascii="Aptos" w:hAnsi="Aptos" w:eastAsia="Aptos"/>
          <w:sz w:val="16"/>
        </w:rPr>
        <w:t xml:space="preserve">10.5281/zenodo.23072042</w:t>
      </w:r>
      <w:r>
        <w:rPr>
          <w:rFonts w:ascii="Aptos" w:hAnsi="Aptos" w:eastAsia="Aptos"/>
          <w:sz w:val="16"/>
        </w:rPr>
        <w:t xml:space="preserve">.</w:t>
      </w:r>
    </w:p>
    <w:p>
      <w:r>
        <w:rPr>
          <w:rFonts w:ascii="Aptos" w:hAnsi="Aptos" w:eastAsia="Aptos"/>
          <w:sz w:val="16"/>
        </w:rPr>
        <w:t xml:space="preserve">[3] </w:t>
      </w:r>
      <w:pPr>
        <w:numPr>
          <w:ilvl w:val="0"/>
          <w:numId w:val="1007"/>
        </w:numPr>
        <w:pStyle w:val="Compact"/>
        <w:spacing w:after="60"/>
        <w:ind w:left="317" w:hanging="317"/>
      </w:pPr>
      <w:r>
        <w:rPr>
          <w:rFonts w:ascii="Aptos" w:hAnsi="Aptos" w:eastAsia="Aptos"/>
          <w:sz w:val="16"/>
        </w:rPr>
        <w:t xml:space="preserve">Choi, W.</w:t>
      </w:r>
      <w:r>
        <w:rPr>
          <w:rFonts w:ascii="Aptos" w:hAnsi="Aptos" w:eastAsia="Aptos"/>
          <w:sz w:val="16"/>
        </w:rPr>
        <w:t xml:space="preserve"> </w:t>
      </w:r>
      <w:r>
        <w:rPr>
          <w:iCs/>
          <w:rFonts w:ascii="Aptos" w:hAnsi="Aptos" w:eastAsia="Aptos"/>
          <w:i/>
          <w:sz w:val="16"/>
        </w:rPr>
        <w:t xml:space="preserve">Minimal Computing Cosmology 2.3.2 Integrated Model</w:t>
      </w:r>
      <w:r>
        <w:rPr>
          <w:rFonts w:ascii="Aptos" w:hAnsi="Aptos" w:eastAsia="Aptos"/>
          <w:sz w:val="16"/>
        </w:rPr>
        <w:t xml:space="preserve">. Version 2.3.2, 2026. DOI:</w:t>
      </w:r>
      <w:r>
        <w:rPr>
          <w:rFonts w:ascii="Aptos" w:hAnsi="Aptos" w:eastAsia="Aptos"/>
          <w:sz w:val="16"/>
        </w:rPr>
        <w:t xml:space="preserve"> </w:t>
      </w:r>
      <w:r>
        <w:rPr>
          <w:rStyle w:val="Hyperlink"/>
          <w:rFonts w:ascii="Aptos" w:hAnsi="Aptos" w:eastAsia="Aptos"/>
          <w:sz w:val="16"/>
        </w:rPr>
        <w:t xml:space="preserve">10.5281/zenodo.22733000</w:t>
      </w:r>
      <w:r>
        <w:rPr>
          <w:rFonts w:ascii="Aptos" w:hAnsi="Aptos" w:eastAsia="Aptos"/>
          <w:sz w:val="16"/>
        </w:rPr>
        <w:t xml:space="preserve">.</w:t>
      </w:r>
    </w:p>
    <w:p>
      <w:r>
        <w:rPr>
          <w:rFonts w:ascii="Aptos" w:hAnsi="Aptos" w:eastAsia="Aptos"/>
          <w:sz w:val="16"/>
        </w:rPr>
        <w:t xml:space="preserve">[4] </w:t>
      </w:r>
      <w:pPr>
        <w:numPr>
          <w:ilvl w:val="0"/>
          <w:numId w:val="1007"/>
        </w:numPr>
        <w:pStyle w:val="Compact"/>
        <w:spacing w:after="60"/>
        <w:ind w:left="317" w:hanging="317"/>
      </w:pPr>
      <w:r>
        <w:rPr>
          <w:rFonts w:ascii="Aptos" w:hAnsi="Aptos" w:eastAsia="Aptos"/>
          <w:sz w:val="16"/>
        </w:rPr>
        <w:t xml:space="preserve">Choi, W.</w:t>
      </w:r>
      <w:r>
        <w:rPr>
          <w:rFonts w:ascii="Aptos" w:hAnsi="Aptos" w:eastAsia="Aptos"/>
          <w:sz w:val="16"/>
        </w:rPr>
        <w:t xml:space="preserve"> </w:t>
      </w:r>
      <w:r>
        <w:rPr>
          <w:iCs/>
          <w:rFonts w:ascii="Aptos" w:hAnsi="Aptos" w:eastAsia="Aptos"/>
          <w:i/>
          <w:sz w:val="16"/>
        </w:rPr>
        <w:t xml:space="preserve">Common-Carrier Unification Without a Grand Unified Gauge Field</w:t>
      </w:r>
      <w:r>
        <w:rPr>
          <w:rFonts w:ascii="Aptos" w:hAnsi="Aptos" w:eastAsia="Aptos"/>
          <w:sz w:val="16"/>
        </w:rPr>
        <w:t xml:space="preserve">. Version 1.0, 2026. DOI:</w:t>
      </w:r>
      <w:r>
        <w:rPr>
          <w:rFonts w:ascii="Aptos" w:hAnsi="Aptos" w:eastAsia="Aptos"/>
          <w:sz w:val="16"/>
        </w:rPr>
        <w:t xml:space="preserve"> </w:t>
      </w:r>
      <w:r>
        <w:rPr>
          <w:rStyle w:val="Hyperlink"/>
          <w:rFonts w:ascii="Aptos" w:hAnsi="Aptos" w:eastAsia="Aptos"/>
          <w:sz w:val="16"/>
        </w:rPr>
        <w:t xml:space="preserve">10.5281/zenodo.22052565</w:t>
      </w:r>
      <w:r>
        <w:rPr>
          <w:rFonts w:ascii="Aptos" w:hAnsi="Aptos" w:eastAsia="Aptos"/>
          <w:sz w:val="16"/>
        </w:rPr>
        <w:t xml:space="preserve">.</w:t>
      </w:r>
    </w:p>
    <w:p>
      <w:r>
        <w:rPr>
          <w:rFonts w:ascii="Aptos" w:hAnsi="Aptos" w:eastAsia="Aptos"/>
          <w:sz w:val="16"/>
        </w:rPr>
        <w:t xml:space="preserve">[5] </w:t>
      </w:r>
      <w:pPr>
        <w:numPr>
          <w:ilvl w:val="0"/>
          <w:numId w:val="1007"/>
        </w:numPr>
        <w:pStyle w:val="Compact"/>
        <w:spacing w:after="60"/>
        <w:ind w:left="317" w:hanging="317"/>
      </w:pPr>
      <w:r>
        <w:rPr>
          <w:rFonts w:ascii="Aptos" w:hAnsi="Aptos" w:eastAsia="Aptos"/>
          <w:sz w:val="16"/>
        </w:rPr>
        <w:t xml:space="preserve">Choi, W.</w:t>
      </w:r>
      <w:r>
        <w:rPr>
          <w:rFonts w:ascii="Aptos" w:hAnsi="Aptos" w:eastAsia="Aptos"/>
          <w:sz w:val="16"/>
        </w:rPr>
        <w:t xml:space="preserve"> </w:t>
      </w:r>
      <w:r>
        <w:rPr>
          <w:iCs/>
          <w:rFonts w:ascii="Aptos" w:hAnsi="Aptos" w:eastAsia="Aptos"/>
          <w:i/>
          <w:sz w:val="16"/>
        </w:rPr>
        <w:t xml:space="preserve">The Common Transport Operator and the Minimal Origin of Chiral Matter</w:t>
      </w:r>
      <w:r>
        <w:rPr>
          <w:rFonts w:ascii="Aptos" w:hAnsi="Aptos" w:eastAsia="Aptos"/>
          <w:sz w:val="16"/>
        </w:rPr>
        <w:t xml:space="preserve">. Version 1.0, 2026. DOI:</w:t>
      </w:r>
      <w:r>
        <w:rPr>
          <w:rFonts w:ascii="Aptos" w:hAnsi="Aptos" w:eastAsia="Aptos"/>
          <w:sz w:val="16"/>
        </w:rPr>
        <w:t xml:space="preserve"> </w:t>
      </w:r>
      <w:r>
        <w:rPr>
          <w:rStyle w:val="Hyperlink"/>
          <w:rFonts w:ascii="Aptos" w:hAnsi="Aptos" w:eastAsia="Aptos"/>
          <w:sz w:val="16"/>
        </w:rPr>
        <w:t xml:space="preserve">10.5281/zenodo.22056516</w:t>
      </w:r>
      <w:r>
        <w:rPr>
          <w:rFonts w:ascii="Aptos" w:hAnsi="Aptos" w:eastAsia="Aptos"/>
          <w:sz w:val="16"/>
        </w:rPr>
        <w:t xml:space="preserve">.</w:t>
      </w:r>
    </w:p>
    <w:p>
      <w:r>
        <w:rPr>
          <w:rFonts w:ascii="Aptos" w:hAnsi="Aptos" w:eastAsia="Aptos"/>
          <w:sz w:val="16"/>
        </w:rPr>
        <w:t xml:space="preserve">[6] </w:t>
      </w:r>
      <w:pPr>
        <w:numPr>
          <w:ilvl w:val="0"/>
          <w:numId w:val="1007"/>
        </w:numPr>
        <w:pStyle w:val="Compact"/>
        <w:spacing w:after="60"/>
        <w:ind w:left="317" w:hanging="317"/>
      </w:pPr>
      <w:r>
        <w:rPr>
          <w:rFonts w:ascii="Aptos" w:hAnsi="Aptos" w:eastAsia="Aptos"/>
          <w:sz w:val="16"/>
        </w:rPr>
        <w:t xml:space="preserve">Choi, W.</w:t>
      </w:r>
      <w:r>
        <w:rPr>
          <w:rFonts w:ascii="Aptos" w:hAnsi="Aptos" w:eastAsia="Aptos"/>
          <w:sz w:val="16"/>
        </w:rPr>
        <w:t xml:space="preserve"> </w:t>
      </w:r>
      <w:r>
        <w:rPr>
          <w:iCs/>
          <w:rFonts w:ascii="Aptos" w:hAnsi="Aptos" w:eastAsia="Aptos"/>
          <w:i/>
          <w:sz w:val="16"/>
        </w:rPr>
        <w:t xml:space="preserve">Filter-Restored Revision of the Fifteen-Channel Common-Carrier Model</w:t>
      </w:r>
      <w:r>
        <w:rPr>
          <w:rFonts w:ascii="Aptos" w:hAnsi="Aptos" w:eastAsia="Aptos"/>
          <w:sz w:val="16"/>
        </w:rPr>
        <w:t xml:space="preserve">. Version 1.0, 2026. DOI:</w:t>
      </w:r>
      <w:r>
        <w:rPr>
          <w:rFonts w:ascii="Aptos" w:hAnsi="Aptos" w:eastAsia="Aptos"/>
          <w:sz w:val="16"/>
        </w:rPr>
        <w:t xml:space="preserve"> </w:t>
      </w:r>
      <w:r>
        <w:rPr>
          <w:rStyle w:val="Hyperlink"/>
          <w:rFonts w:ascii="Aptos" w:hAnsi="Aptos" w:eastAsia="Aptos"/>
          <w:sz w:val="16"/>
        </w:rPr>
        <w:t xml:space="preserve">10.5281/zenodo.22067895</w:t>
      </w:r>
      <w:r>
        <w:rPr>
          <w:rFonts w:ascii="Aptos" w:hAnsi="Aptos" w:eastAsia="Aptos"/>
          <w:sz w:val="16"/>
        </w:rPr>
        <w:t xml:space="preserve">.</w:t>
      </w:r>
    </w:p>
    <w:p>
      <w:r>
        <w:rPr>
          <w:rFonts w:ascii="Aptos" w:hAnsi="Aptos" w:eastAsia="Aptos"/>
          <w:sz w:val="16"/>
        </w:rPr>
        <w:t xml:space="preserve">[7] </w:t>
      </w:r>
      <w:pPr>
        <w:numPr>
          <w:ilvl w:val="0"/>
          <w:numId w:val="1007"/>
        </w:numPr>
        <w:pStyle w:val="Compact"/>
        <w:spacing w:after="60"/>
        <w:ind w:left="317" w:hanging="317"/>
      </w:pPr>
      <w:r>
        <w:rPr>
          <w:rFonts w:ascii="Aptos" w:hAnsi="Aptos" w:eastAsia="Aptos"/>
          <w:sz w:val="16"/>
        </w:rPr>
        <w:t xml:space="preserve">Choi, W.</w:t>
      </w:r>
      <w:r>
        <w:rPr>
          <w:rFonts w:ascii="Aptos" w:hAnsi="Aptos" w:eastAsia="Aptos"/>
          <w:sz w:val="16"/>
        </w:rPr>
        <w:t xml:space="preserve"> </w:t>
      </w:r>
      <w:r>
        <w:rPr>
          <w:iCs/>
          <w:rFonts w:ascii="Aptos" w:hAnsi="Aptos" w:eastAsia="Aptos"/>
          <w:i/>
          <w:sz w:val="16"/>
        </w:rPr>
        <w:t xml:space="preserve">Minimum-Computational Filter-Spectral Revision of the Fifteen-Channel Common-Carrier Model</w:t>
      </w:r>
      <w:r>
        <w:rPr>
          <w:rFonts w:ascii="Aptos" w:hAnsi="Aptos" w:eastAsia="Aptos"/>
          <w:sz w:val="16"/>
        </w:rPr>
        <w:t xml:space="preserve">. Version 1.0, 2026. DOI:</w:t>
      </w:r>
      <w:r>
        <w:rPr>
          <w:rFonts w:ascii="Aptos" w:hAnsi="Aptos" w:eastAsia="Aptos"/>
          <w:sz w:val="16"/>
        </w:rPr>
        <w:t xml:space="preserve"> </w:t>
      </w:r>
      <w:r>
        <w:rPr>
          <w:rStyle w:val="Hyperlink"/>
          <w:rFonts w:ascii="Aptos" w:hAnsi="Aptos" w:eastAsia="Aptos"/>
          <w:sz w:val="16"/>
        </w:rPr>
        <w:t xml:space="preserve">10.5281/zenodo.22068573</w:t>
      </w:r>
      <w:r>
        <w:rPr>
          <w:rFonts w:ascii="Aptos" w:hAnsi="Aptos" w:eastAsia="Aptos"/>
          <w:sz w:val="16"/>
        </w:rPr>
        <w:t xml:space="preserve">.</w:t>
      </w:r>
    </w:p>
    <w:p>
      <w:r>
        <w:rPr>
          <w:rFonts w:ascii="Aptos" w:hAnsi="Aptos" w:eastAsia="Aptos"/>
          <w:sz w:val="16"/>
        </w:rPr>
        <w:t xml:space="preserve">[8] </w:t>
      </w:r>
      <w:pPr>
        <w:numPr>
          <w:ilvl w:val="0"/>
          <w:numId w:val="1007"/>
        </w:numPr>
        <w:pStyle w:val="Compact"/>
        <w:spacing w:after="60"/>
        <w:ind w:left="317" w:hanging="317"/>
      </w:pPr>
      <w:r>
        <w:rPr>
          <w:rFonts w:ascii="Aptos" w:hAnsi="Aptos" w:eastAsia="Aptos"/>
          <w:sz w:val="16"/>
        </w:rPr>
        <w:t xml:space="preserve">Choi, W.</w:t>
      </w:r>
      <w:r>
        <w:rPr>
          <w:rFonts w:ascii="Aptos" w:hAnsi="Aptos" w:eastAsia="Aptos"/>
          <w:sz w:val="16"/>
        </w:rPr>
        <w:t xml:space="preserve"> </w:t>
      </w:r>
      <w:r>
        <w:rPr>
          <w:iCs/>
          <w:rFonts w:ascii="Aptos" w:hAnsi="Aptos" w:eastAsia="Aptos"/>
          <w:i/>
          <w:sz w:val="16"/>
        </w:rPr>
        <w:t xml:space="preserve">Ground-Subtracted Lossless-Angle Completion of the Fifteen-Channel Common-Carrier Model</w:t>
      </w:r>
      <w:r>
        <w:rPr>
          <w:rFonts w:ascii="Aptos" w:hAnsi="Aptos" w:eastAsia="Aptos"/>
          <w:sz w:val="16"/>
        </w:rPr>
        <w:t xml:space="preserve">. Version 1.0, 2026. DOI:</w:t>
      </w:r>
      <w:r>
        <w:rPr>
          <w:rFonts w:ascii="Aptos" w:hAnsi="Aptos" w:eastAsia="Aptos"/>
          <w:sz w:val="16"/>
        </w:rPr>
        <w:t xml:space="preserve"> </w:t>
      </w:r>
      <w:r>
        <w:rPr>
          <w:rStyle w:val="Hyperlink"/>
          <w:rFonts w:ascii="Aptos" w:hAnsi="Aptos" w:eastAsia="Aptos"/>
          <w:sz w:val="16"/>
        </w:rPr>
        <w:t xml:space="preserve">10.5281/zenodo.22069630</w:t>
      </w:r>
      <w:r>
        <w:rPr>
          <w:rFonts w:ascii="Aptos" w:hAnsi="Aptos" w:eastAsia="Aptos"/>
          <w:sz w:val="16"/>
        </w:rPr>
        <w:t xml:space="preserve">.</w:t>
      </w:r>
    </w:p>
    <w:p>
      <w:pPr>
        <w:pStyle w:val="FirstParagraph"/>
        <w:spacing w:before="160"/>
        <w:jc w:val="center"/>
      </w:pPr>
      <w:r>
        <w:rPr>
          <w:rFonts w:ascii="Aptos" w:hAnsi="Aptos" w:eastAsia="Aptos"/>
          <w:color w:val="5E6872"/>
          <w:sz w:val="16"/>
        </w:rPr>
        <w:t xml:space="preserve">Copyright © 2026 Wonsik Choi. Licensed under CC BY 4.0.</w:t>
      </w:r>
    </w:p>
    <w:bookmarkEnd w:id="54"/>
    <w:sectPr w:rsidR="00FC693F" w:rsidRPr="0006063C" w:rsidSect="00034616">
      <w:footerReference r:id="rId9" w:type="default"/>
      <w:pgSz w:h="15840" w:w="12240"/>
      <w:pgMar w:bottom="835" w:footer="360" w:gutter="0" w:header="360" w:left="1037" w:right="1037" w:top="89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6717C"/>
        <w:sz w:val="17"/>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90" w:line="259" w:lineRule="auto"/>
    </w:pPr>
    <w:rPr>
      <w:rFonts w:ascii="Aptos" w:eastAsia="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Aptos Display" w:asciiTheme="majorHAnsi" w:cstheme="majorBidi" w:eastAsia="Aptos Display" w:eastAsiaTheme="majorEastAsia" w:hAnsi="Aptos Display" w:hAnsiTheme="majorHAnsi"/>
      <w:b/>
      <w:bCs/>
      <w:color w:val="000000"/>
      <w:sz w:val="29"/>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Aptos Display" w:asciiTheme="majorHAnsi" w:cstheme="majorBidi" w:eastAsia="Aptos Display" w:eastAsiaTheme="majorEastAsia" w:hAnsi="Aptos Display" w:hAnsiTheme="majorHAnsi"/>
      <w:b/>
      <w:bCs/>
      <w:color w:val="000000"/>
      <w:sz w:val="23"/>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Aptos Display" w:asciiTheme="majorHAnsi" w:cstheme="majorBidi" w:eastAsia="Aptos Display" w:eastAsiaTheme="majorEastAsia" w:hAnsi="Aptos Display" w:hAnsiTheme="majorHAnsi"/>
      <w:b/>
      <w:bCs/>
      <w:color w:val="000000"/>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120" w:line="240" w:lineRule="auto"/>
      <w:contextualSpacing/>
    </w:pPr>
    <w:rPr>
      <w:rFonts w:ascii="Aptos Display" w:asciiTheme="majorHAnsi" w:cstheme="majorBidi" w:eastAsia="Aptos Display" w:eastAsiaTheme="majorEastAsia" w:hAnsi="Aptos Display" w:hAnsiTheme="majorHAnsi"/>
      <w:b/>
      <w:color w:val="000000"/>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00"/>
    </w:pPr>
    <w:rPr>
      <w:rFonts w:asciiTheme="majorHAnsi" w:cstheme="majorBidi" w:eastAsiaTheme="majorEastAsia" w:hAnsiTheme="majorHAnsi" w:ascii="Aptos" w:hAnsi="Aptos"/>
      <w:i/>
      <w:iCs/>
      <w:color w:val="5E6872"/>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90" w:line="259" w:lineRule="auto"/>
    </w:pPr>
    <w:rPr>
      <w:rFonts w:ascii="Aptos" w:hAnsi="Aptos"/>
      <w:sz w:val="19"/>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aptionSmall" w:type="paragraph">
    <w:name w:val="Caption Small"/>
    <w:pPr>
      <w:spacing w:after="160"/>
    </w:pPr>
    <w:rPr>
      <w:rFonts w:ascii="Aptos" w:eastAsia="Aptos" w:hAnsi="Aptos"/>
      <w:i/>
      <w:color w:val="66717C"/>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49" Type="http://schemas.openxmlformats.org/officeDocument/2006/relationships/hyperlink" Target="https://doi.org/10.5281/zenodo.22052565" TargetMode="External"/><Relationship Id="rId50" Type="http://schemas.openxmlformats.org/officeDocument/2006/relationships/hyperlink" Target="https://doi.org/10.5281/zenodo.22056516" TargetMode="External"/><Relationship Id="rId51" Type="http://schemas.openxmlformats.org/officeDocument/2006/relationships/hyperlink" Target="https://doi.org/10.5281/zenodo.22067895" TargetMode="External"/><Relationship Id="rId52" Type="http://schemas.openxmlformats.org/officeDocument/2006/relationships/hyperlink" Target="https://doi.org/10.5281/zenodo.22068573" TargetMode="External"/><Relationship Id="rId53" Type="http://schemas.openxmlformats.org/officeDocument/2006/relationships/hyperlink" Target="https://doi.org/10.5281/zenodo.22069630" TargetMode="External"/><Relationship Id="rId48" Type="http://schemas.openxmlformats.org/officeDocument/2006/relationships/hyperlink" Target="https://doi.org/10.5281/zenodo.22733000" TargetMode="External"/><Relationship Id="rId46" Type="http://schemas.openxmlformats.org/officeDocument/2006/relationships/hyperlink" Target="https://doi.org/10.5281/zenodo.23072012" TargetMode="External"/><Relationship Id="rId47" Type="http://schemas.openxmlformats.org/officeDocument/2006/relationships/hyperlink" Target="https://doi.org/10.5281/zenodo.23072042" TargetMode="External"/></Relationships>
</file>

<file path=word/_rels/footnotes.xml.rels><?xml version='1.0' encoding='UTF-8' standalone='yes'?>
<Relationships xmlns="http://schemas.openxmlformats.org/package/2006/relationships"><Relationship Id="rId49" Type="http://schemas.openxmlformats.org/officeDocument/2006/relationships/hyperlink" Target="https://doi.org/10.5281/zenodo.22052565" TargetMode="External"/><Relationship Id="rId50" Type="http://schemas.openxmlformats.org/officeDocument/2006/relationships/hyperlink" Target="https://doi.org/10.5281/zenodo.22056516" TargetMode="External"/><Relationship Id="rId51" Type="http://schemas.openxmlformats.org/officeDocument/2006/relationships/hyperlink" Target="https://doi.org/10.5281/zenodo.22067895" TargetMode="External"/><Relationship Id="rId52" Type="http://schemas.openxmlformats.org/officeDocument/2006/relationships/hyperlink" Target="https://doi.org/10.5281/zenodo.22068573" TargetMode="External"/><Relationship Id="rId53" Type="http://schemas.openxmlformats.org/officeDocument/2006/relationships/hyperlink" Target="https://doi.org/10.5281/zenodo.22069630" TargetMode="External"/><Relationship Id="rId48" Type="http://schemas.openxmlformats.org/officeDocument/2006/relationships/hyperlink" Target="https://doi.org/10.5281/zenodo.22733000" TargetMode="External"/><Relationship Id="rId46" Type="http://schemas.openxmlformats.org/officeDocument/2006/relationships/hyperlink" Target="https://doi.org/10.5281/zenodo.23072012" TargetMode="External"/><Relationship Id="rId47" Type="http://schemas.openxmlformats.org/officeDocument/2006/relationships/hyperlink" Target="https://doi.org/10.5281/zenodo.230720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WRRA-M 0.4 Common-Carrier Metric Origin of Filter Compatibility</dc:title>
  <dc:creator>Wonsik Choi</dc:creator>
  <dc:language>en-US</dc:language>
  <cp:keywords>WRRA-M, common carrier, filter selection, response metric, right-handed neutrino</cp:keywords>
  <dcterms:created xsi:type="dcterms:W3CDTF">2026-09-30T23:36:16Z</dcterms:created>
  <dcterms:modified xsi:type="dcterms:W3CDTF">2026-09-30T23:36:16Z</dcterms:modified>
  <dc:subject>Conditional fifteen-to-sixteen-channel common-carrier extension and exact selection-gap identities</dc:subject>
  <dc:description>Version 0.4, 1 October 2026</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October 2026</vt:lpwstr>
  </property>
  <property fmtid="{D5CDD505-2E9C-101B-9397-08002B2CF9AE}" pid="3" name="subtitle">
    <vt:lpwstr>Fifteen-to-Sixteen-Channel Extension, Null-Lift Criterion, and Exact Selection-Gap Identities</vt:lpwstr>
  </property>
</Properties>
</file>