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M 제타 영점 프레임 필터와 잔존 계산</w:t>
      </w:r>
    </w:p>
    <w:p>
      <w:pPr>
        <w:pStyle w:val="Subtitle"/>
      </w:pPr>
      <w:r>
        <w:t>두 단계 차원필터 상위 구조 가설의 계산 부록 0.1</w:t>
      </w:r>
    </w:p>
    <w:p>
      <w:pPr>
        <w:spacing w:after="40"/>
      </w:pPr>
      <w:r>
        <w:t>최원식 Wonsik Choi   Seoul   2026년 10월 1일</w:t>
      </w:r>
    </w:p>
    <w:p>
      <w:pPr>
        <w:spacing w:after="120"/>
      </w:pPr>
      <w:r>
        <w:t>ORCID 0009-0001-4263-9772   janefather@gmail.com</w:t>
      </w:r>
    </w:p>
    <w:p>
      <w:pPr>
        <w:pStyle w:val="Heading1"/>
      </w:pPr>
      <w:r>
        <w:t>1 초기 변동을 주소별 프레임 계산으로 확장</w:t>
      </w:r>
    </w:p>
    <w:p>
      <w:r>
        <w:t>우리는 WRRA-M 상위 구조 가설 1.0의 초기 필터 변동을 제타 영점의 위상 합으로 구현했다. 소수와 합성수 주소에 제타 분모 가중치를 배정하고, 초기 8프레임에서 진입하지 않은 양만 다음 프레임으로 넘겼다. 정상화 뒤에는 접힘을 가진 진입 상태를 0차원 복귀 필터의 차단 부분공간에 남긴다.</w:t>
      </w:r>
    </w:p>
    <w:p>
      <w:r>
        <w:t>이 계산은 일정한 통과율 β를 주소와 프레임에 따른 aₙ(k)로 확장한다. 통과 임계값을 5%에 보정한 기준 사례에서 표현형 5%, 비표현형 Actual 26.8%, 복귀 68.2%가 하나의 분모를 공유한다. 임계값을 고정하고 초기 구간을 4·8·16프레임으로 바꾸면 표현형 잔존은 각각 3.7048%·5%·5.6825%가 된다.</w:t>
      </w:r>
    </w:p>
    <w:p>
      <w:pPr>
        <w:pStyle w:val="Caption"/>
        <w:keepNext/>
      </w:pPr>
      <w:r>
        <w:t>표 1 기준 사례의 입력과 보정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488"/>
      </w:tblGrid>
      <w:tr>
        <w:trPr>
          <w:tblHeader/>
          <w:cantSplit/>
        </w:trPr>
        <w:tc>
          <w:tcPr>
            <w:tcW w:type="dxa" w:w="2376"/>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748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계산값 또는 규칙</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주소 범위</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n = 2 … 1,000,000   n = 1은 제외</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위상 구성</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첫 4개 양의 제타 영점   계수 1/√4   위상 오프셋 0</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초기 구간</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K = 8프레임   무차원 위상 이동 ξ = 0.1</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가중 지수 α</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1.899687695055436   26.8%에 보정</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통과 임계값 h</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1.447673170352440   5%에 보정</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상태 분기</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짝수 합성수 → 비표현형 Actual   진입한 홀수 합성수 → 표현형</w:t>
            </w:r>
          </w:p>
        </w:tc>
      </w:tr>
    </w:tbl>
    <w:p>
      <w:pPr>
        <w:spacing w:after="0" w:line="80" w:lineRule="exact"/>
      </w:pPr>
      <w:r>
        <w:rPr>
          <w:rFonts w:ascii="Noto Sans CJK KR" w:hAnsi="Noto Sans CJK KR" w:eastAsia="Noto Sans CJK KR"/>
          <w:b w:val="0"/>
          <w:color w:val="000000"/>
          <w:sz w:val="6"/>
        </w:rPr>
        <w:t xml:space="preserve"> </w:t>
      </w:r>
    </w:p>
    <w:p>
      <w:pPr>
        <w:pStyle w:val="Caption"/>
        <w:keepNext/>
      </w:pPr>
      <w:r>
        <w:t>표 2 같은 분모의 정상화 이후 장부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2"/>
        <w:gridCol w:w="3312"/>
      </w:tblGrid>
      <w:tr>
        <w:trPr>
          <w:tblHeader/>
          <w:cantSplit/>
        </w:trPr>
        <w:tc>
          <w:tcPr>
            <w:tcW w:type="dxa" w:w="655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출력</w:t>
            </w:r>
          </w:p>
        </w:tc>
        <w:tc>
          <w:tcPr>
            <w:tcW w:type="dxa" w:w="331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가중 비율</w:t>
            </w:r>
          </w:p>
        </w:tc>
      </w:tr>
      <w:tr>
        <w:trPr>
          <w:cantSplit/>
        </w:trPr>
        <w:tc>
          <w:tcPr>
            <w:tcW w:type="dxa" w:w="65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표현형 φ</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5.000000%</w:t>
            </w:r>
          </w:p>
        </w:tc>
      </w:tr>
      <w:tr>
        <w:trPr>
          <w:cantSplit/>
        </w:trPr>
        <w:tc>
          <w:tcPr>
            <w:tcW w:type="dxa" w:w="65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비표현형 Actual D</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26.800000%</w:t>
            </w:r>
          </w:p>
        </w:tc>
      </w:tr>
      <w:tr>
        <w:trPr>
          <w:cantSplit/>
        </w:trPr>
        <w:tc>
          <w:tcPr>
            <w:tcW w:type="dxa" w:w="65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Actual 합계 φ + D</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31.800000%</w:t>
            </w:r>
          </w:p>
        </w:tc>
      </w:tr>
      <w:tr>
        <w:trPr>
          <w:cantSplit/>
        </w:trPr>
        <w:tc>
          <w:tcPr>
            <w:tcW w:type="dxa" w:w="65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상류 복귀 R</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68.200000%</w:t>
            </w:r>
          </w:p>
        </w:tc>
      </w:tr>
    </w:tbl>
    <w:p>
      <w:pPr>
        <w:spacing w:after="0" w:line="80" w:lineRule="exact"/>
      </w:pPr>
      <w:r>
        <w:rPr>
          <w:rFonts w:ascii="Noto Sans CJK KR" w:hAnsi="Noto Sans CJK KR" w:eastAsia="Noto Sans CJK KR"/>
          <w:b w:val="0"/>
          <w:color w:val="000000"/>
          <w:sz w:val="6"/>
        </w:rPr>
        <w:t xml:space="preserve"> </w:t>
      </w:r>
    </w:p>
    <w:p>
      <w:r>
        <w:t>진입 필터와 0차원 복귀 필터가 두 차원필터다. 표현형과 비표현형의 구분은 잔존 상태의 판독이며 별도 차원필터를 추가하지 않는다. 여기서 유사소수는 불완전 판독에서 소수처럼 보이는 합성수 상태를 뜻한다. 통상적인 Fermat 유사소수 집합을 사용한 계산은 아니다.</w:t>
      </w:r>
    </w:p>
    <w:p>
      <w:pPr>
        <w:pStyle w:val="Heading1"/>
        <w:pageBreakBefore/>
      </w:pPr>
      <w:r>
        <w:t>2 제타 영점과 두 단계 필터의 계산 규칙</w:t>
      </w:r>
    </w:p>
    <w:p>
      <w:r>
        <w:t>영점 ρⱼ = 1/2 + iγⱼ를 mpmath에서 40자리와 60자리 정밀도로 구했다. 사용한 첫 4개는 아래와 같다. 민감도 검사에는 첫 8개를 사용했다. Euler–Maclaurin 전개로 ζ(1/2 + iγⱼ)를 별도로 평가해 수치 입력을 교차 검증했다. [1–3]</w:t>
      </w:r>
    </w:p>
    <w:p>
      <w:pPr>
        <w:pStyle w:val="Caption"/>
        <w:keepNext/>
      </w:pPr>
      <w:r>
        <w:t>표 3 기준 위상에 사용한 영점 높이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424"/>
      </w:tblGrid>
      <w:tr>
        <w:trPr>
          <w:tblHeader/>
          <w:cantSplit/>
        </w:trPr>
        <w:tc>
          <w:tcPr>
            <w:tcW w:type="dxa" w:w="144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j</w:t>
            </w:r>
          </w:p>
        </w:tc>
        <w:tc>
          <w:tcPr>
            <w:tcW w:type="dxa" w:w="842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γⱼ</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w:t>
            </w:r>
          </w:p>
        </w:tc>
        <w:tc>
          <w:tcPr>
            <w:tcW w:type="dxa" w:w="84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14.134725141734695</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2</w:t>
            </w:r>
          </w:p>
        </w:tc>
        <w:tc>
          <w:tcPr>
            <w:tcW w:type="dxa" w:w="84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21.022039638771556</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w:t>
            </w:r>
          </w:p>
        </w:tc>
        <w:tc>
          <w:tcPr>
            <w:tcW w:type="dxa" w:w="84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25.010857580145689</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4</w:t>
            </w:r>
          </w:p>
        </w:tc>
        <w:tc>
          <w:tcPr>
            <w:tcW w:type="dxa" w:w="84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30.424876125859512</w:t>
            </w:r>
          </w:p>
        </w:tc>
      </w:tr>
    </w:tbl>
    <w:p>
      <w:pPr>
        <w:spacing w:after="0" w:line="80" w:lineRule="exact"/>
      </w:pPr>
      <w:r>
        <w:rPr>
          <w:rFonts w:ascii="Noto Sans CJK KR" w:hAnsi="Noto Sans CJK KR" w:eastAsia="Noto Sans CJK KR"/>
          <w:b w:val="0"/>
          <w:color w:val="000000"/>
          <w:sz w:val="6"/>
        </w:rPr>
        <w:t xml:space="preserve"> </w:t>
      </w:r>
    </w:p>
    <w:p>
      <w:r>
        <w:t>주소의 초기 기대 가중치는 wₙ이다. 홀수 합성수 집합을 Cₒ, 짝수 합성수 집합을 Cₑ로 표시한다. 단위 주소는 초기 SOURCE 잔량 sₙ(0) = wₙ에서 출발한다.</w:t>
      </w:r>
    </w:p>
    <w:p>
      <w:pPr>
        <w:keepLines/>
        <w:spacing w:line="240" w:lineRule="auto" w:before="40" w:after="140"/>
        <w:jc w:val="center"/>
      </w:pPr>
      <m:oMath>
        <m:sSub>
          <m:e>
            <m:r>
              <w:rPr>
                <w:rFonts w:ascii="Latin Modern Math" w:hAnsi="Latin Modern Math"/>
                <w:sz w:val="21"/>
              </w:rPr>
              <m:t>w</m:t>
            </m:r>
          </m:e>
          <m:sub>
            <m:r>
              <w:rPr>
                <w:rFonts w:ascii="Latin Modern Math" w:hAnsi="Latin Modern Math"/>
                <w:sz w:val="21"/>
              </w:rPr>
              <m:t>n</m:t>
            </m:r>
          </m:sub>
        </m:sSub>
        <m:r>
          <w:rPr>
            <w:rFonts w:ascii="Latin Modern Math" w:hAnsi="Latin Modern Math"/>
            <w:sz w:val="21"/>
          </w:rPr>
          <m:rPr>
            <m:sty m:val="p"/>
          </m:rPr>
          <m:t>=</m:t>
        </m:r>
        <m:f>
          <m:fPr>
            <m:type m:val="bar"/>
          </m:fPr>
          <m:num>
            <m:sSup>
              <m:e>
                <m:r>
                  <w:rPr>
                    <w:rFonts w:ascii="Latin Modern Math" w:hAnsi="Latin Modern Math"/>
                    <w:sz w:val="21"/>
                  </w:rPr>
                  <m:t>n</m:t>
                </m:r>
              </m:e>
              <m:sup>
                <m:r>
                  <w:rPr>
                    <w:rFonts w:ascii="Latin Modern Math" w:hAnsi="Latin Modern Math"/>
                    <w:sz w:val="21"/>
                  </w:rPr>
                  <m:rPr>
                    <m:sty m:val="p"/>
                  </m:rPr>
                  <m:t>−</m:t>
                </m:r>
                <m:r>
                  <w:rPr>
                    <w:rFonts w:ascii="Latin Modern Math" w:hAnsi="Latin Modern Math"/>
                    <w:sz w:val="21"/>
                  </w:rPr>
                  <m:t>α</m:t>
                </m:r>
              </m:sup>
            </m:sSup>
          </m:num>
          <m:den>
            <m:nary>
              <m:naryPr>
                <m:chr m:val="∑"/>
                <m:limLoc m:val="undOvr"/>
                <m:subHide m:val="off"/>
                <m:supHide m:val="off"/>
              </m:naryPr>
              <m:sub>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t>2</m:t>
                </m:r>
              </m:sub>
              <m:sup>
                <m:r>
                  <w:rPr>
                    <w:rFonts w:ascii="Latin Modern Math" w:hAnsi="Latin Modern Math"/>
                    <w:sz w:val="21"/>
                  </w:rPr>
                  <m:t>N</m:t>
                </m:r>
              </m:sup>
              <m:e>
                <m:sSup>
                  <m:e>
                    <m:r>
                      <w:rPr>
                        <w:rFonts w:ascii="Latin Modern Math" w:hAnsi="Latin Modern Math"/>
                        <w:sz w:val="21"/>
                      </w:rPr>
                      <m:t>m</m:t>
                    </m:r>
                  </m:e>
                  <m:sup>
                    <m:r>
                      <w:rPr>
                        <w:rFonts w:ascii="Latin Modern Math" w:hAnsi="Latin Modern Math"/>
                        <w:sz w:val="21"/>
                      </w:rPr>
                      <m:rPr>
                        <m:sty m:val="p"/>
                      </m:rPr>
                      <m:t>−</m:t>
                    </m:r>
                    <m:r>
                      <w:rPr>
                        <w:rFonts w:ascii="Latin Modern Math" w:hAnsi="Latin Modern Math"/>
                        <w:sz w:val="21"/>
                      </w:rPr>
                      <m:t>α</m:t>
                    </m:r>
                  </m:sup>
                </m:sSup>
              </m:e>
            </m:nary>
          </m:den>
        </m:f>
      </m:oMath>
      <w:r>
        <w:rPr>
          <w:rFonts w:ascii="Noto Sans CJK KR" w:hAnsi="Noto Sans CJK KR" w:eastAsia="Noto Sans CJK KR"/>
          <w:b w:val="0"/>
          <w:color w:val="000000"/>
          <w:sz w:val="18"/>
        </w:rPr>
        <w:t xml:space="preserve">  (1)</w:t>
      </w:r>
    </w:p>
    <w:p>
      <w:r>
        <w:t>우리는 n⁻ˢ의 로그 위상 γⱼ log n을 이용해 다음 변동 함수를 선택했다. 동일 계수의 코사인 합과 sigmoid 통과 규칙은 이번 계산의 구체적인 필터 가정이다.</w:t>
      </w:r>
    </w:p>
    <w:p>
      <w:pPr>
        <w:keepLines/>
        <w:spacing w:line="240" w:lineRule="auto" w:before="40" w:after="140"/>
        <w:jc w:val="center"/>
      </w:pPr>
      <m:oMath>
        <m:sSub>
          <m:e>
            <m:r>
              <w:rPr>
                <w:rFonts w:ascii="Latin Modern Math" w:hAnsi="Latin Modern Math"/>
                <w:sz w:val="21"/>
              </w:rPr>
              <m:t>δ</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f>
          <m:fPr>
            <m:type m:val="bar"/>
          </m:fPr>
          <m:num>
            <m:r>
              <w:rPr>
                <w:rFonts w:ascii="Latin Modern Math" w:hAnsi="Latin Modern Math"/>
                <w:sz w:val="21"/>
              </w:rPr>
              <m:t>1</m:t>
            </m:r>
          </m:num>
          <m:den>
            <m:rad>
              <m:radPr>
                <m:degHide m:val="on"/>
              </m:radPr>
              <m:deg/>
              <m:e>
                <m:r>
                  <w:rPr>
                    <w:rFonts w:ascii="Latin Modern Math" w:hAnsi="Latin Modern Math"/>
                    <w:sz w:val="21"/>
                  </w:rPr>
                  <m:t>J</m:t>
                </m:r>
              </m:e>
            </m:rad>
          </m:den>
        </m:f>
        <m:nary>
          <m:naryPr>
            <m:chr m:val="∑"/>
            <m:limLoc m:val="undOvr"/>
            <m:subHide m:val="off"/>
            <m:supHide m:val="off"/>
          </m:naryPr>
          <m:sub>
            <m:r>
              <w:rPr>
                <w:rFonts w:ascii="Latin Modern Math" w:hAnsi="Latin Modern Math"/>
                <w:sz w:val="21"/>
              </w:rPr>
              <m:t>j</m:t>
            </m:r>
            <m:r>
              <w:rPr>
                <w:rFonts w:ascii="Latin Modern Math" w:hAnsi="Latin Modern Math"/>
                <w:sz w:val="21"/>
              </w:rPr>
              <m:rPr>
                <m:sty m:val="p"/>
              </m:rPr>
              <m:t>=</m:t>
            </m:r>
            <m:r>
              <w:rPr>
                <w:rFonts w:ascii="Latin Modern Math" w:hAnsi="Latin Modern Math"/>
                <w:sz w:val="21"/>
              </w:rPr>
              <m:t>1</m:t>
            </m:r>
          </m:sub>
          <m:sup>
            <m:r>
              <w:rPr>
                <w:rFonts w:ascii="Latin Modern Math" w:hAnsi="Latin Modern Math"/>
                <w:sz w:val="21"/>
              </w:rPr>
              <m:t>J</m:t>
            </m:r>
          </m:sup>
          <m:e>
            <m:r>
              <w:rPr>
                <w:rFonts w:ascii="Latin Modern Math" w:hAnsi="Latin Modern Math"/>
                <w:sz w:val="21"/>
              </w:rPr>
              <m:rPr>
                <m:sty m:val="p"/>
              </m:rPr>
              <m:t>cos</m:t>
            </m:r>
          </m:e>
        </m:nary>
        <m:d>
          <m:dPr>
            <m:begChr m:val="["/>
            <m:endChr m:val="]"/>
            <m:sepChr m:val=""/>
            <m:grow/>
          </m:dPr>
          <m:e>
            <m:sSub>
              <m:e>
                <m:r>
                  <w:rPr>
                    <w:rFonts w:ascii="Latin Modern Math" w:hAnsi="Latin Modern Math"/>
                    <w:sz w:val="21"/>
                  </w:rPr>
                  <m:t>γ</m:t>
                </m:r>
              </m:e>
              <m:sub>
                <m:r>
                  <w:rPr>
                    <w:rFonts w:ascii="Latin Modern Math" w:hAnsi="Latin Modern Math"/>
                    <w:sz w:val="21"/>
                  </w:rPr>
                  <m:t>j</m:t>
                </m:r>
              </m:sub>
            </m:sSub>
            <m:d>
              <m:dPr>
                <m:begChr m:val="("/>
                <m:endChr m:val=")"/>
                <m:sepChr m:val=""/>
                <m:grow/>
              </m:dPr>
              <m:e>
                <m:r>
                  <w:rPr>
                    <w:rFonts w:ascii="Latin Modern Math" w:hAnsi="Latin Modern Math"/>
                    <w:sz w:val="21"/>
                  </w:rPr>
                  <m:rPr>
                    <m:sty m:val="p"/>
                  </m:rPr>
                  <m:t>log</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ξ</m:t>
                </m:r>
                <m:r>
                  <w:rPr>
                    <w:rFonts w:ascii="Latin Modern Math" w:hAnsi="Latin Modern Math"/>
                    <w:sz w:val="21"/>
                  </w:rPr>
                  <m:t>k</m:t>
                </m:r>
              </m:e>
            </m:d>
          </m:e>
        </m:d>
      </m:oMath>
      <w:r>
        <w:rPr>
          <w:rFonts w:ascii="Noto Sans CJK KR" w:hAnsi="Noto Sans CJK KR" w:eastAsia="Noto Sans CJK KR"/>
          <w:b w:val="0"/>
          <w:color w:val="000000"/>
          <w:sz w:val="18"/>
        </w:rPr>
        <w:t xml:space="preserve">  (2)</w:t>
      </w:r>
    </w:p>
    <w:p>
      <w:pPr>
        <w:keepLines/>
        <w:spacing w:line="240" w:lineRule="auto" w:before="40" w:after="140"/>
        <w:jc w:val="center"/>
      </w:pPr>
      <m:oMath>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rPr>
                <m:sty m:val="p"/>
              </m:rPr>
              <m:t>exp</m:t>
            </m:r>
            <m:d>
              <m:dPr>
                <m:begChr m:val="["/>
                <m:endChr m:val="]"/>
                <m:sepChr m:val=""/>
                <m:grow/>
              </m:dPr>
              <m:e>
                <m:r>
                  <w:rPr>
                    <w:rFonts w:ascii="Latin Modern Math" w:hAnsi="Latin Modern Math"/>
                    <w:sz w:val="21"/>
                  </w:rPr>
                  <m:t>h</m:t>
                </m:r>
                <m:r>
                  <w:rPr>
                    <w:rFonts w:ascii="Latin Modern Math" w:hAnsi="Latin Modern Math"/>
                    <w:sz w:val="21"/>
                  </w:rPr>
                  <m:rPr>
                    <m:sty m:val="p"/>
                  </m:rPr>
                  <m:t>−</m:t>
                </m:r>
                <m:sSub>
                  <m:e>
                    <m:r>
                      <w:rPr>
                        <w:rFonts w:ascii="Latin Modern Math" w:hAnsi="Latin Modern Math"/>
                        <w:sz w:val="21"/>
                      </w:rPr>
                      <m:t>δ</m:t>
                    </m:r>
                  </m:e>
                  <m:sub>
                    <m:r>
                      <w:rPr>
                        <w:rFonts w:ascii="Latin Modern Math" w:hAnsi="Latin Modern Math"/>
                        <w:sz w:val="21"/>
                      </w:rPr>
                      <m:t>n</m:t>
                    </m:r>
                  </m:sub>
                </m:sSub>
                <m:d>
                  <m:dPr>
                    <m:begChr m:val="("/>
                    <m:endChr m:val=")"/>
                    <m:sepChr m:val=""/>
                    <m:grow/>
                  </m:dPr>
                  <m:e>
                    <m:r>
                      <w:rPr>
                        <w:rFonts w:ascii="Latin Modern Math" w:hAnsi="Latin Modern Math"/>
                        <w:sz w:val="21"/>
                      </w:rPr>
                      <m:t>k</m:t>
                    </m:r>
                  </m:e>
                </m:d>
              </m:e>
            </m:d>
          </m:den>
        </m:f>
        <m:r>
          <w:rPr>
            <w:rFonts w:ascii="Latin Modern Math" w:hAnsi="Latin Modern Math"/>
            <w:sz w:val="21"/>
          </w:rPr>
          <m:t> </m:t>
        </m:r>
        <m:d>
          <m:dPr>
            <m:begChr m:val="("/>
            <m:endChr m:val=")"/>
            <m:sepChr m:val=""/>
            <m:grow/>
          </m:dPr>
          <m:e>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k</m:t>
            </m:r>
            <m:r>
              <w:rPr>
                <w:rFonts w:ascii="Latin Modern Math" w:hAnsi="Latin Modern Math"/>
                <w:sz w:val="21"/>
              </w:rPr>
              <m:rPr>
                <m:sty m:val="p"/>
              </m:rPr>
              <m:t>&lt;</m:t>
            </m:r>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t>C</m:t>
                </m:r>
              </m:e>
              <m:sub>
                <m:r>
                  <w:rPr>
                    <w:rFonts w:ascii="Latin Modern Math" w:hAnsi="Latin Modern Math"/>
                    <w:sz w:val="21"/>
                  </w:rPr>
                  <m:t>o</m:t>
                </m:r>
              </m:sub>
            </m:sSub>
          </m:e>
        </m:d>
      </m:oMath>
      <w:r>
        <w:rPr>
          <w:rFonts w:ascii="Noto Sans CJK KR" w:hAnsi="Noto Sans CJK KR" w:eastAsia="Noto Sans CJK KR"/>
          <w:b w:val="0"/>
          <w:color w:val="000000"/>
          <w:sz w:val="18"/>
        </w:rPr>
        <w:t xml:space="preserve">  (3)</w:t>
      </w:r>
    </w:p>
    <w:p>
      <w:r>
        <w:t>한 프레임에서 새로 진입한 양은 bₙ(k)다. 이미 진입한 양을 다음 시도에 다시 넣지 않는다. 정상화 프레임 k = K 이후에는 신규 합성수 진입을 닫는다.</w:t>
      </w:r>
    </w:p>
    <w:p>
      <w:pPr>
        <w:keepLines/>
        <w:spacing w:line="240" w:lineRule="auto" w:before="40" w:after="140"/>
        <w:jc w:val="center"/>
      </w:pPr>
      <m:oMath>
        <m:sSub>
          <m:e>
            <m:r>
              <w:rPr>
                <w:rFonts w:ascii="Latin Modern Math" w:hAnsi="Latin Modern Math"/>
                <w:sz w:val="21"/>
              </w:rPr>
              <m:t>b</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sSub>
          <m:e>
            <m:r>
              <w:rPr>
                <w:rFonts w:ascii="Latin Modern Math" w:hAnsi="Latin Modern Math"/>
                <w:sz w:val="21"/>
              </w:rPr>
              <m:t>s</m:t>
            </m:r>
          </m:e>
          <m:sub>
            <m:r>
              <w:rPr>
                <w:rFonts w:ascii="Latin Modern Math" w:hAnsi="Latin Modern Math"/>
                <w:sz w:val="21"/>
              </w:rPr>
              <m:t>n</m:t>
            </m:r>
          </m:sub>
        </m:sSub>
        <m:d>
          <m:dPr>
            <m:begChr m:val="("/>
            <m:endChr m:val=")"/>
            <m:sepChr m:val=""/>
            <m:grow/>
          </m:dPr>
          <m:e>
            <m:r>
              <w:rPr>
                <w:rFonts w:ascii="Latin Modern Math" w:hAnsi="Latin Modern Math"/>
                <w:sz w:val="21"/>
              </w:rPr>
              <m:t>k</m:t>
            </m:r>
          </m:e>
        </m:d>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s</m:t>
            </m:r>
          </m:e>
          <m:sub>
            <m:r>
              <w:rPr>
                <w:rFonts w:ascii="Latin Modern Math" w:hAnsi="Latin Modern Math"/>
                <w:sz w:val="21"/>
              </w:rPr>
              <m:t>n</m:t>
            </m:r>
          </m:sub>
        </m:sSub>
        <m:d>
          <m:dPr>
            <m:begChr m:val="("/>
            <m:endChr m:val=")"/>
            <m:sepChr m:val=""/>
            <m:grow/>
          </m:dPr>
          <m:e>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e>
        </m:d>
        <m:r>
          <w:rPr>
            <w:rFonts w:ascii="Latin Modern Math" w:hAnsi="Latin Modern Math"/>
            <w:sz w:val="21"/>
          </w:rPr>
          <m:rPr>
            <m:sty m:val="p"/>
          </m:rPr>
          <m:t>=</m:t>
        </m:r>
        <m:sSub>
          <m:e>
            <m:r>
              <w:rPr>
                <w:rFonts w:ascii="Latin Modern Math" w:hAnsi="Latin Modern Math"/>
                <w:sz w:val="21"/>
              </w:rPr>
              <m:t>s</m:t>
            </m:r>
          </m:e>
          <m:sub>
            <m:r>
              <w:rPr>
                <w:rFonts w:ascii="Latin Modern Math" w:hAnsi="Latin Modern Math"/>
                <w:sz w:val="21"/>
              </w:rPr>
              <m:t>n</m:t>
            </m:r>
          </m:sub>
        </m:sSub>
        <m:d>
          <m:dPr>
            <m:begChr m:val="("/>
            <m:endChr m:val=")"/>
            <m:sepChr m:val=""/>
            <m:grow/>
          </m:dPr>
          <m:e>
            <m:r>
              <w:rPr>
                <w:rFonts w:ascii="Latin Modern Math" w:hAnsi="Latin Modern Math"/>
                <w:sz w:val="21"/>
              </w:rPr>
              <m:t>k</m:t>
            </m:r>
          </m:e>
        </m:d>
        <m:d>
          <m:dPr>
            <m:begChr m:val="["/>
            <m:endChr m:val="]"/>
            <m:sepChr m:val=""/>
            <m:grow/>
          </m:dPr>
          <m:e>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e>
        </m:d>
      </m:oMath>
      <w:r>
        <w:rPr>
          <w:rFonts w:ascii="Noto Sans CJK KR" w:hAnsi="Noto Sans CJK KR" w:eastAsia="Noto Sans CJK KR"/>
          <w:b w:val="0"/>
          <w:color w:val="000000"/>
          <w:sz w:val="18"/>
        </w:rPr>
        <w:t xml:space="preserve">  (4)</w:t>
      </w:r>
    </w:p>
    <w:p>
      <w:pPr>
        <w:keepLines/>
        <w:spacing w:line="240" w:lineRule="auto" w:before="40" w:after="140"/>
        <w:jc w:val="center"/>
      </w:pPr>
      <m:oMath>
        <m:sSub>
          <m:e>
            <m:r>
              <w:rPr>
                <w:rFonts w:ascii="Latin Modern Math" w:hAnsi="Latin Modern Math"/>
                <w:sz w:val="21"/>
              </w:rPr>
              <m:t>T</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0</m:t>
            </m:r>
          </m:sub>
          <m:sup>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sup>
          <m:e>
            <m:d>
              <m:dPr>
                <m:begChr m:val="["/>
                <m:endChr m:val="]"/>
                <m:sepChr m:val=""/>
                <m:grow/>
              </m:dPr>
              <m:e>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e>
            </m:d>
          </m:e>
        </m:nary>
      </m:oMath>
      <w:r>
        <w:rPr>
          <w:rFonts w:ascii="Noto Sans CJK KR" w:hAnsi="Noto Sans CJK KR" w:eastAsia="Noto Sans CJK KR"/>
          <w:b w:val="0"/>
          <w:color w:val="000000"/>
          <w:sz w:val="18"/>
        </w:rPr>
        <w:t xml:space="preserve">  (5)</w:t>
      </w:r>
    </w:p>
    <w:p>
      <w:r>
        <w:t>짝수 합성수는 1.0의 소수 2 분기와 같이 첫 프레임에 전부 진입한다. 소수 주소와 끝까지 진입하지 않은 홀수 합성수 가중치는 정상화 때 복귀 장부로 옮긴다. 이 계산은 개별 우주의 무작위 경로를 뽑는 Monte Carlo가 아니라 기대 가중치를 운반하는 결정적 계산이다.</w:t>
      </w:r>
    </w:p>
    <w:p>
      <w:pPr>
        <w:pStyle w:val="Heading1"/>
        <w:pageBreakBefore/>
      </w:pPr>
      <w:r>
        <w:t>3 프레임별 생성과 정상화 이후 장부</w:t>
      </w:r>
    </w:p>
    <w:p>
      <w:r>
        <w:t>표현형은 첫 프레임의 1.5018%에서 8번째 시도 종료 때 5%로 증가한다. 새 진입량은 위상에 따라 변하며, 잔량을 소모하므로 누적 진입량은 항상 해당 주소의 초기 가중치 이하에 머문다.</w:t>
      </w:r>
    </w:p>
    <w:p>
      <w:pPr>
        <w:keepNext/>
        <w:spacing w:line="240" w:lineRule="auto"/>
      </w:pPr>
      <w:r>
        <w:drawing>
          <wp:inline xmlns:a="http://schemas.openxmlformats.org/drawingml/2006/main" xmlns:pic="http://schemas.openxmlformats.org/drawingml/2006/picture">
            <wp:extent cx="6035040" cy="2480197"/>
            <wp:docPr id="1" name="Picture 1"/>
            <wp:cNvGraphicFramePr>
              <a:graphicFrameLocks noChangeAspect="1"/>
            </wp:cNvGraphicFramePr>
            <a:graphic>
              <a:graphicData uri="http://schemas.openxmlformats.org/drawingml/2006/picture">
                <pic:pic>
                  <pic:nvPicPr>
                    <pic:cNvPr id="0" name="frames.png"/>
                    <pic:cNvPicPr/>
                  </pic:nvPicPr>
                  <pic:blipFill>
                    <a:blip r:embed="rId11"/>
                    <a:stretch>
                      <a:fillRect/>
                    </a:stretch>
                  </pic:blipFill>
                  <pic:spPr>
                    <a:xfrm>
                      <a:off x="0" y="0"/>
                      <a:ext cx="6035040" cy="2480197"/>
                    </a:xfrm>
                    <a:prstGeom prst="rect"/>
                  </pic:spPr>
                </pic:pic>
              </a:graphicData>
            </a:graphic>
          </wp:inline>
        </w:drawing>
      </w:r>
    </w:p>
    <w:p>
      <w:pPr>
        <w:pStyle w:val="Caption"/>
      </w:pPr>
      <w:r>
        <w:t>그림 1 초기 8프레임의 누적 잔존과 신규 진입. 점선 k = 8은 정상화 시점이다. 이후 신규 진입이 닫히고, 접힘 차단 규칙 아래 누적 표현형이 유지된다.</w:t>
      </w:r>
    </w:p>
    <w:p>
      <w:pPr>
        <w:pStyle w:val="Caption"/>
        <w:keepNext/>
      </w:pPr>
      <w:r>
        <w:t>표 4 프레임 종료 시 표현형 및 상류 장부   단위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016"/>
        <w:gridCol w:w="2016"/>
        <w:gridCol w:w="2376"/>
        <w:gridCol w:w="2304"/>
      </w:tblGrid>
      <w:tr>
        <w:trPr>
          <w:tblHeader/>
          <w:cantSplit/>
        </w:trPr>
        <w:tc>
          <w:tcPr>
            <w:tcW w:type="dxa" w:w="115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프레임 k</w:t>
            </w:r>
          </w:p>
        </w:tc>
        <w:tc>
          <w:tcPr>
            <w:tcW w:type="dxa" w:w="201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신규 표현형</w:t>
            </w:r>
          </w:p>
        </w:tc>
        <w:tc>
          <w:tcPr>
            <w:tcW w:type="dxa" w:w="201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누적 표현형</w:t>
            </w:r>
          </w:p>
        </w:tc>
        <w:tc>
          <w:tcPr>
            <w:tcW w:type="dxa" w:w="237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SOURCE 잔량</w:t>
            </w:r>
          </w:p>
        </w:tc>
        <w:tc>
          <w:tcPr>
            <w:tcW w:type="dxa" w:w="230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복귀</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1.5018</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1.5018</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71.6982</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1.0121</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2.5139</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70.6861</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2</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0.5309</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3.0448</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70.1552</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0.6600</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3.7048</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69.4952</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4</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0.3452</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4.0500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69.1500</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5</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0.5806</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4.6306</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68.5694</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6</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0.2229</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4.8535</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68.3465</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7</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0.1465</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5.0000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68.2000</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8</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5.0000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9 … 1032</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5.0000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68.2000</w:t>
            </w:r>
          </w:p>
        </w:tc>
      </w:tr>
    </w:tbl>
    <w:p>
      <w:pPr>
        <w:spacing w:after="0" w:line="80" w:lineRule="exact"/>
      </w:pPr>
      <w:r>
        <w:rPr>
          <w:rFonts w:ascii="Noto Sans CJK KR" w:hAnsi="Noto Sans CJK KR" w:eastAsia="Noto Sans CJK KR"/>
          <w:b w:val="0"/>
          <w:color w:val="000000"/>
          <w:sz w:val="6"/>
        </w:rPr>
        <w:t xml:space="preserve"> </w:t>
      </w:r>
    </w:p>
    <w:p>
      <w:r>
        <w:t>비표현형 Actual은 첫 프레임에서 26.8%다. 각 행에서 표현형, 비표현형 Actual, SOURCE 잔량, 복귀의 합은 100%다. SOURCE 잔량은 초기 구간의 미진입 저장량이고, 정상화 때 복귀량으로 옮겨진다.</w:t>
      </w:r>
    </w:p>
    <w:p>
      <w:r>
        <w:t>잔량 소모를 생략하고 모든 시도의 wₙaₙ(k)를 단순 합산하면 9.7725%가 나온다. 순차 운반식과 곱 형태의 Tₙ(K)는 같은 5%를 반환한다. 따라서 프레임 수와 통과율을 함께 쓰는 경우에는 잔량 갱신이 필수다.</w:t>
      </w:r>
    </w:p>
    <w:p>
      <w:pPr>
        <w:pStyle w:val="Heading1"/>
        <w:pageBreakBefore/>
      </w:pPr>
      <w:r>
        <w:t>4 작은 소수부터 합산한 잔존 기여</w:t>
      </w:r>
    </w:p>
    <w:p>
      <w:r>
        <w:t>합성수 주소를 최소 소인수별로 분할하면 소수 조합의 기여를 중복 없이 셀 수 있다. 소수 2 가족은 비표현형 Actual 26.8%를 제공한다. 홀수 가족에는 주소별 Tₙ(K)를 곱한 잔존 가중치를 사용한다.</w:t>
      </w:r>
    </w:p>
    <w:p>
      <w:pPr>
        <w:pStyle w:val="Caption"/>
        <w:keepNext/>
      </w:pPr>
      <w:r>
        <w:t>표 5 최소 소인수별 잔존과 Actual 누적   단위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16"/>
      </w:tblGrid>
      <w:tr>
        <w:trPr>
          <w:tblHeader/>
          <w:cantSplit/>
        </w:trPr>
        <w:tc>
          <w:tcPr>
            <w:tcW w:type="dxa" w:w="223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최소 소인수</w:t>
            </w:r>
          </w:p>
        </w:tc>
        <w:tc>
          <w:tcPr>
            <w:tcW w:type="dxa" w:w="381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이 가족의 기여</w:t>
            </w:r>
          </w:p>
        </w:tc>
        <w:tc>
          <w:tcPr>
            <w:tcW w:type="dxa" w:w="381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누적 Actual</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2</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26.800000</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26.800000</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4.018338</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30.818338</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5</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0.666538</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31.484876</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7</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0.199781</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31.684657</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11</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0.051717</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31.736374</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13</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0.027982</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31.764356</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17 이상</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0.035644</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31.800000</w:t>
            </w:r>
          </w:p>
        </w:tc>
      </w:tr>
    </w:tbl>
    <w:p>
      <w:pPr>
        <w:spacing w:after="0" w:line="80" w:lineRule="exact"/>
      </w:pPr>
      <w:r>
        <w:rPr>
          <w:rFonts w:ascii="Noto Sans CJK KR" w:hAnsi="Noto Sans CJK KR" w:eastAsia="Noto Sans CJK KR"/>
          <w:b w:val="0"/>
          <w:color w:val="000000"/>
          <w:sz w:val="6"/>
        </w:rPr>
        <w:t xml:space="preserve"> </w:t>
      </w:r>
    </w:p>
    <w:p>
      <w:r>
        <w:t>이 기준 사례에서 3·5·7·11 가족의 표현형 기여 합은 4.936374%이며, 전체 5%의 약 98.7275%다. 먼저 소수 2 가족을 넣고 작은 소수 가족을 차례로 합산하면 Actual 장부가 31.8%로 접근한다. 이 기여는 최소 소인수 가족의 합이며 개별 소수의 입자 질량을 뜻하지 않는다.</w:t>
      </w:r>
    </w:p>
    <w:p>
      <w:pPr>
        <w:pStyle w:val="Caption"/>
        <w:keepNext/>
      </w:pPr>
      <w:r>
        <w:t>표 6 주소별 8프레임 누적 통과와 잔존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160"/>
        <w:gridCol w:w="3096"/>
        <w:gridCol w:w="3168"/>
      </w:tblGrid>
      <w:tr>
        <w:trPr>
          <w:tblHeader/>
          <w:cantSplit/>
        </w:trPr>
        <w:tc>
          <w:tcPr>
            <w:tcW w:type="dxa" w:w="144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주소 n</w:t>
            </w:r>
          </w:p>
        </w:tc>
        <w:tc>
          <w:tcPr>
            <w:tcW w:type="dxa" w:w="2160"/>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소인수 표현</w:t>
            </w:r>
          </w:p>
        </w:tc>
        <w:tc>
          <w:tcPr>
            <w:tcW w:type="dxa" w:w="309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Tₙ(8)   %</w:t>
            </w:r>
          </w:p>
        </w:tc>
        <w:tc>
          <w:tcPr>
            <w:tcW w:type="dxa" w:w="316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전체 중 잔존   %</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9</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3²</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85.6813</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1.757922</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15</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 × 5</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87.3632</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0.679202</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21</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 × 7</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88.3672</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0.362546</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25</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5²</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88.0597</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0.259420</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27</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3³</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88.2676</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0.224664</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33</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 × 11</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86.7000</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0.150728</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35</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 × 7</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86.7757</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0.134905</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49</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7²</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86.5819</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0.071033</w:t>
            </w:r>
          </w:p>
        </w:tc>
      </w:tr>
    </w:tbl>
    <w:p>
      <w:pPr>
        <w:spacing w:after="0" w:line="80" w:lineRule="exact"/>
      </w:pPr>
      <w:r>
        <w:rPr>
          <w:rFonts w:ascii="Noto Sans CJK KR" w:hAnsi="Noto Sans CJK KR" w:eastAsia="Noto Sans CJK KR"/>
          <w:b w:val="0"/>
          <w:color w:val="000000"/>
          <w:sz w:val="6"/>
        </w:rPr>
        <w:t xml:space="preserve"> </w:t>
      </w:r>
    </w:p>
    <w:p>
      <w:r>
        <w:t>동일한 평균 β를 입력하는 방식과 달리, 이제 주소별 누적 통과가 구별된다. 예를 들어 9와 15의 Tₙ(8)는 85.6813%와 87.3632%다. 홀수 소수 거듭제곱의 표현형 기여는 2.384407%, 서로 다른 소인수를 포함한 홀수 합성수의 기여는 2.615593%다.</w:t>
      </w:r>
    </w:p>
    <w:p>
      <w:pPr>
        <w:pStyle w:val="Heading1"/>
        <w:pageBreakBefore/>
      </w:pPr>
      <w:r>
        <w:t>5 보정값을 고정한 초기 조건의 응답</w:t>
      </w:r>
    </w:p>
    <w:p>
      <w:r>
        <w:t>기준 임계값 h = 1.447673170352440을 그대로 유지하고 한 조건씩 바꿨다. 표 7의 수치는 새로운 목표 보정을 하지 않은 계산 출력이다. 4프레임에서는 충분한 시도가 쌓이기 전에 정상화되고, 16프레임에서는 더 많은 잔량이 진입한다.</w:t>
      </w:r>
    </w:p>
    <w:p>
      <w:pPr>
        <w:pStyle w:val="Caption"/>
        <w:keepNext/>
      </w:pPr>
      <w:r>
        <w:t>표 7 조건 변화에 따른 표현형 출력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2376"/>
        <w:gridCol w:w="2376"/>
      </w:tblGrid>
      <w:tr>
        <w:trPr>
          <w:tblHeader/>
          <w:cantSplit/>
        </w:trPr>
        <w:tc>
          <w:tcPr>
            <w:tcW w:type="dxa" w:w="511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조건</w:t>
            </w:r>
          </w:p>
        </w:tc>
        <w:tc>
          <w:tcPr>
            <w:tcW w:type="dxa" w:w="237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표현형   %</w:t>
            </w:r>
          </w:p>
        </w:tc>
        <w:tc>
          <w:tcPr>
            <w:tcW w:type="dxa" w:w="237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복귀   %</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기준 K = 8   J = 4   ξ = 0.1</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5.000000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68.200000</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정상화 K = 4</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3.704795</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69.495205</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정상화 K = 16</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5.682474</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67.517526</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위상 이동 ξ = 0.05</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4.983465</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68.216535</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위상 이동 ξ = 0.20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4.676333</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68.523667</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영점 J = 1</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4.989890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68.210110</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영점 J = 2</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4.963694</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68.236306</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영점 J = 8</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5.041635</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68.158365</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위상 이동 없음 ξ = 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4.859796</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68.340204</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변동 함수 δ = 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4.710550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68.489450</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임계값 h − 0.1</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5.124310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68.075690</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임계값 h + 0.1</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4.863067</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68.336933</w:t>
            </w:r>
          </w:p>
        </w:tc>
      </w:tr>
    </w:tbl>
    <w:p>
      <w:pPr>
        <w:spacing w:after="0" w:line="80" w:lineRule="exact"/>
      </w:pPr>
      <w:r>
        <w:rPr>
          <w:rFonts w:ascii="Noto Sans CJK KR" w:hAnsi="Noto Sans CJK KR" w:eastAsia="Noto Sans CJK KR"/>
          <w:b w:val="0"/>
          <w:color w:val="000000"/>
          <w:sz w:val="6"/>
        </w:rPr>
        <w:t xml:space="preserve"> </w:t>
      </w:r>
    </w:p>
    <w:p>
      <w:r>
        <w:t>제타 영점의 선택은 주소별 통과 패턴도 바꾼다. 이를 확인하기 위해 정지 위상과 등간격 주파수 대조군에서는 h를 각각 다시 5%에 보정했다. 전체 장부가 같더라도 주소별 출력은 아래처럼 다르다. 이후 입자 상수 연결은 이 주소별 출력을 사용해 필터 구성을 구별할 수 있다.</w:t>
      </w:r>
    </w:p>
    <w:p>
      <w:pPr>
        <w:pStyle w:val="Caption"/>
        <w:keepNext/>
      </w:pPr>
      <w:r>
        <w:t>표 8 같은 5%에 보정한 구성별 주소 응답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2160"/>
        <w:gridCol w:w="3312"/>
      </w:tblGrid>
      <w:tr>
        <w:trPr>
          <w:tblHeader/>
          <w:cantSplit/>
        </w:trPr>
        <w:tc>
          <w:tcPr>
            <w:tcW w:type="dxa" w:w="439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위상 구성</w:t>
            </w:r>
          </w:p>
        </w:tc>
        <w:tc>
          <w:tcPr>
            <w:tcW w:type="dxa" w:w="2160"/>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보정 h</w:t>
            </w:r>
          </w:p>
        </w:tc>
        <w:tc>
          <w:tcPr>
            <w:tcW w:type="dxa" w:w="331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주소 9의 T₉(8)   %</w:t>
            </w:r>
          </w:p>
        </w:tc>
      </w:tr>
      <w:tr>
        <w:trPr>
          <w:cantSplit/>
        </w:trPr>
        <w:tc>
          <w:tcPr>
            <w:tcW w:type="dxa" w:w="43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기준 제타 4영점</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1.447673</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85.681301</w:t>
            </w:r>
          </w:p>
        </w:tc>
      </w:tr>
      <w:tr>
        <w:trPr>
          <w:cantSplit/>
        </w:trPr>
        <w:tc>
          <w:tcPr>
            <w:tcW w:type="dxa" w:w="43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정지 제타 위상</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1.327223</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80.386717</w:t>
            </w:r>
          </w:p>
        </w:tc>
      </w:tr>
      <w:tr>
        <w:trPr>
          <w:cantSplit/>
        </w:trPr>
        <w:tc>
          <w:tcPr>
            <w:tcW w:type="dxa" w:w="43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14·21·28·35 대조군</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1.525841</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88.580085</w:t>
            </w:r>
          </w:p>
        </w:tc>
      </w:tr>
    </w:tbl>
    <w:p>
      <w:pPr>
        <w:spacing w:after="0" w:line="80" w:lineRule="exact"/>
      </w:pPr>
      <w:r>
        <w:rPr>
          <w:rFonts w:ascii="Noto Sans CJK KR" w:hAnsi="Noto Sans CJK KR" w:eastAsia="Noto Sans CJK KR"/>
          <w:b w:val="0"/>
          <w:color w:val="000000"/>
          <w:sz w:val="6"/>
        </w:rPr>
        <w:t xml:space="preserve"> </w:t>
      </w:r>
    </w:p>
    <w:p>
      <w:r>
        <w:t>분모의 유한 절단도 확인했다. α와 h를 고정한 N = 10,000·100,000·1,000,000 계산의 표현형은 4.989116%·4.998724%·5%다. 가중 평균 통과율 β_eff = 0.8654570124는 이번 프레임 출력의 평균이며 별도 상수 입력으로 넣지 않았다.</w:t>
      </w:r>
    </w:p>
    <w:p>
      <w:pPr>
        <w:pStyle w:val="Heading1"/>
        <w:pageBreakBefore/>
      </w:pPr>
      <w:r>
        <w:t>6 복귀 차단의 보존 조건과 검증</w:t>
      </w:r>
    </w:p>
    <w:p>
      <w:r>
        <w:t>정상화된 복귀 연산자를 B, 접힘 잔존 부분공간을 𝒦 = ker B라 하자. 진입한 합성수는 𝒦에 놓이며 이번 계산의 정상화 이후 내부 갱신은 항등 연산이다. 일반적인 내부 갱신 U로 확장할 때는 다음 보존 조건이 필요하다.</w:t>
      </w:r>
    </w:p>
    <w:p>
      <w:pPr>
        <w:keepLines/>
        <w:spacing w:line="240" w:lineRule="auto" w:before="40" w:after="140"/>
        <w:jc w:val="center"/>
      </w:pPr>
      <m:oMath>
        <m:r>
          <w:rPr>
            <w:rFonts w:ascii="Latin Modern Math" w:hAnsi="Latin Modern Math"/>
            <w:sz w:val="21"/>
          </w:rPr>
          <m:rPr>
            <m:sty m:val="p"/>
          </m:rPr>
          <m:t>supp</m:t>
        </m:r>
        <m:sSub>
          <m:e>
            <m:r>
              <w:rPr>
                <w:rFonts w:ascii="Latin Modern Math" w:hAnsi="Latin Modern Math"/>
                <w:sz w:val="21"/>
              </w:rPr>
              <m:t>ρ</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r>
          <w:rPr>
            <w:rFonts w:ascii="Latin Modern Math" w:hAnsi="Latin Modern Math"/>
            <w:sz w:val="21"/>
          </w:rPr>
          <m:rPr>
            <m:sty m:val="p"/>
          </m:rPr>
          <m:t>⊆</m:t>
        </m:r>
        <m:r>
          <w:rPr>
            <w:rFonts w:ascii="Latin Modern Math" w:hAnsi="Latin Modern Math"/>
            <w:sz w:val="21"/>
          </w:rPr>
          <m:rPr>
            <m:sty m:val="p"/>
            <m:scr m:val="script"/>
          </m:rPr>
          <m:t>K</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U</m:t>
        </m:r>
        <m:r>
          <w:rPr>
            <w:rFonts w:ascii="Latin Modern Math" w:hAnsi="Latin Modern Math"/>
            <w:sz w:val="21"/>
          </w:rPr>
          <m:rPr>
            <m:sty m:val="p"/>
            <m:scr m:val="script"/>
          </m:rPr>
          <m:t>K</m:t>
        </m:r>
        <m:r>
          <w:rPr>
            <w:rFonts w:ascii="Latin Modern Math" w:hAnsi="Latin Modern Math"/>
            <w:sz w:val="21"/>
          </w:rPr>
          <m:rPr>
            <m:sty m:val="p"/>
          </m:rPr>
          <m:t>⊆</m:t>
        </m:r>
        <m:r>
          <w:rPr>
            <w:rFonts w:ascii="Latin Modern Math" w:hAnsi="Latin Modern Math"/>
            <w:sz w:val="21"/>
          </w:rPr>
          <m:rPr>
            <m:sty m:val="p"/>
            <m:scr m:val="script"/>
          </m:rPr>
          <m:t>K</m:t>
        </m:r>
      </m:oMath>
      <w:r>
        <w:rPr>
          <w:rFonts w:ascii="Noto Sans CJK KR" w:hAnsi="Noto Sans CJK KR" w:eastAsia="Noto Sans CJK KR"/>
          <w:b w:val="0"/>
          <w:color w:val="000000"/>
          <w:sz w:val="18"/>
        </w:rPr>
        <w:t xml:space="preserve">  (6)</w:t>
      </w:r>
    </w:p>
    <w:p>
      <w:r>
        <w:t>이 조건에서는 프레임이 늘어나도 잔존이 복귀 통로에 새로 나타나지 않는다. 각 복귀 사건에서 잔존 확률의 ε만큼이 새는 대조 모형에서는 L번 사건 뒤 생존이 (1 − ε)ᴸ로 줄어든다. 아래는 100만 번 사건을 적용한 출력이다.</w:t>
      </w:r>
    </w:p>
    <w:p>
      <w:pPr>
        <w:pStyle w:val="Caption"/>
        <w:keepNext/>
      </w:pPr>
      <w:r>
        <w:t>표 9 정상화 이후 복귀 누수의 영향   L = 1,000,000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2880"/>
        <w:gridCol w:w="3024"/>
      </w:tblGrid>
      <w:tr>
        <w:trPr>
          <w:tblHeader/>
          <w:cantSplit/>
        </w:trPr>
        <w:tc>
          <w:tcPr>
            <w:tcW w:type="dxa" w:w="396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사건당 누수 확률 ε</w:t>
            </w:r>
          </w:p>
        </w:tc>
        <w:tc>
          <w:tcPr>
            <w:tcW w:type="dxa" w:w="2880"/>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잔존 생존   %</w:t>
            </w:r>
          </w:p>
        </w:tc>
        <w:tc>
          <w:tcPr>
            <w:tcW w:type="dxa" w:w="302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전체 Actual   %</w:t>
            </w:r>
          </w:p>
        </w:tc>
      </w:tr>
      <w:tr>
        <w:trPr>
          <w:cantSplit/>
        </w:trPr>
        <w:tc>
          <w:tcPr>
            <w:tcW w:type="dxa" w:w="39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0e+00</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100.0000</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31.8000</w:t>
            </w:r>
          </w:p>
        </w:tc>
      </w:tr>
      <w:tr>
        <w:trPr>
          <w:cantSplit/>
        </w:trPr>
        <w:tc>
          <w:tcPr>
            <w:tcW w:type="dxa" w:w="39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1e-08</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99.0050</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31.4836</w:t>
            </w:r>
          </w:p>
        </w:tc>
      </w:tr>
      <w:tr>
        <w:trPr>
          <w:cantSplit/>
        </w:trPr>
        <w:tc>
          <w:tcPr>
            <w:tcW w:type="dxa" w:w="39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1e-06</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36.7879</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11.6986</w:t>
            </w:r>
          </w:p>
        </w:tc>
      </w:tr>
      <w:tr>
        <w:trPr>
          <w:cantSplit/>
        </w:trPr>
        <w:tc>
          <w:tcPr>
            <w:tcW w:type="dxa" w:w="39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1e-04</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bl>
    <w:p>
      <w:pPr>
        <w:spacing w:after="0" w:line="80" w:lineRule="exact"/>
      </w:pPr>
      <w:r>
        <w:rPr>
          <w:rFonts w:ascii="Noto Sans CJK KR" w:hAnsi="Noto Sans CJK KR" w:eastAsia="Noto Sans CJK KR"/>
          <w:b w:val="0"/>
          <w:color w:val="000000"/>
          <w:sz w:val="6"/>
        </w:rPr>
        <w:t xml:space="preserve"> </w:t>
      </w:r>
    </w:p>
    <w:p>
      <w:pPr>
        <w:keepLines/>
        <w:spacing w:line="240" w:lineRule="auto" w:before="40" w:after="140"/>
        <w:jc w:val="center"/>
      </w:pPr>
      <m:oMath>
        <m:sSup>
          <m:e>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ϵ</m:t>
                </m:r>
              </m:e>
            </m:d>
          </m:e>
          <m:sup>
            <m:r>
              <w:rPr>
                <w:rFonts w:ascii="Latin Modern Math" w:hAnsi="Latin Modern Math"/>
                <w:sz w:val="21"/>
              </w:rPr>
              <m:t>L</m:t>
            </m:r>
          </m:sup>
        </m:sSup>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η</m:t>
        </m:r>
        <m:r>
          <w:rPr>
            <w:rFonts w:ascii="Latin Modern Math" w:hAnsi="Latin Modern Math"/>
            <w:sz w:val="21"/>
          </w:rPr>
          <m:t> </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ϵ</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sSup>
          <m:e>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η</m:t>
                </m:r>
              </m:e>
            </m:d>
          </m:e>
          <m:sup>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L</m:t>
            </m:r>
          </m:sup>
        </m:sSup>
      </m:oMath>
      <w:r>
        <w:rPr>
          <w:rFonts w:ascii="Noto Sans CJK KR" w:hAnsi="Noto Sans CJK KR" w:eastAsia="Noto Sans CJK KR"/>
          <w:b w:val="0"/>
          <w:color w:val="000000"/>
          <w:sz w:val="18"/>
        </w:rPr>
        <w:t xml:space="preserve">  (7)</w:t>
      </w:r>
    </w:p>
    <w:p>
      <w:r>
        <w:t>100만 번의 복귀 사건 뒤에도 초기 잔존의 99% 이상을 유지하려면 사건당 누수 확률은 약 1.0050 × 10⁻⁸ 이하여야 한다. 사건 수는 무차원이다. 물리적 보존 수명은 프레임과 실제 시간의 대응을 정한 뒤 계산할 수 있다.</w:t>
      </w:r>
    </w:p>
    <w:p>
      <w:pPr>
        <w:pStyle w:val="Heading1"/>
      </w:pPr>
      <w:r>
        <w:t>수치 검증과 다음 물리 판독</w:t>
      </w:r>
    </w:p>
    <w:p>
      <w:r>
        <w:t>독립 Euler–Maclaurin 평가의 영점 잔차는 10⁻¹¹ 이하이고, 40자리와 60자리 재계산의 영점 높이 차는 10⁻³⁶ 이하다. 주소별 진입과 미진입의 합, 모든 프레임의 공통 장부, 최소 소인수 가족의 잔존 합을 확인했다. 코드의 14개 검증 항목이 모두 통과했다.</w:t>
      </w:r>
    </w:p>
    <w:p>
      <w:r>
        <w:t>다음 연결 대상은 같은 주소 상태에 작용하는 에너지·중력·전하 판독이다. 양성자와 중성자는 표현형과 중력 반응을 함께 읽어야 하므로 전하 0을 상류 복귀와 동일시하지 않는다. 프레임 주기와 허용 모드의 스펙트럼을 정하면 입자 상수 비교를 진행할 수 있다. 현재 ξ는 무차원 위상 이동량이며 플랑크 시간에 대응시키지 않았다.</w:t>
      </w:r>
    </w:p>
    <w:p>
      <w:r>
        <w:t>장부의 음수나 불완전성, 영점 재계산의 불일치, 요구 수명보다 큰 복귀 누수, 고정한 필터와 공통 물리 판독이 입자 또는 우주 에너지 구성과 충돌하는 경우를 계산 규칙의 기각·수정 조건으로 삼는다. 소수 가족의 가중 분할을 물리 에너지 비율로 연결하는 단계는 1.0에서 제안한 판독 문제를 이어받는다.</w:t>
      </w:r>
    </w:p>
    <w:p>
      <w:pPr>
        <w:pStyle w:val="Heading1"/>
      </w:pPr>
      <w:r>
        <w:t>참고 자료</w:t>
      </w:r>
    </w:p>
    <w:p>
      <w:r>
        <w:t>[1] NIST DLMF 25.10 Zeros. https://dlmf.nist.gov/25.10</w:t>
        <w:br/>
        <w:t>[2] NIST DLMF 25.11 iii Euler–Maclaurin Formula. https://dlmf.nist.gov/25.11.iii</w:t>
        <w:br/>
        <w:t>[3] mpmath Zeta functions. https://mpmath.readthedocs.io/en/latest/functions/zeta.html</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r>
    <w:r>
      <w:rPr>
        <w:rFonts w:ascii="Noto Sans CJK KR" w:hAnsi="Noto Sans CJK KR" w:eastAsia="Noto Sans CJK KR"/>
        <w:b w:val="0"/>
        <w:color w:val="00000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val="0"/>
        <w:color w:val="000000"/>
        <w:sz w:val="16"/>
      </w:rPr>
      <w:t>WRRA M 제타 영점 계산 부록 0.1   최원식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20"/>
      <w:ind w:firstLine="0"/>
      <w:jc w:val="left"/>
    </w:pPr>
    <w:rPr>
      <w:rFonts w:ascii="Noto Sans CJK KR" w:hAnsi="Noto Sans CJK KR" w:eastAsia="Noto Sans CJK KR"/>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ascii="Noto Sans CJK KR" w:hAnsi="Noto Sans CJK KR" w:eastAsia="Noto Sans CJK KR"/>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left"/>
    </w:pPr>
    <w:rPr>
      <w:rFonts w:asciiTheme="majorHAnsi" w:eastAsiaTheme="majorEastAsia" w:hAnsiTheme="majorHAnsi" w:cstheme="majorBidi" w:ascii="Noto Sans CJK KR" w:hAnsi="Noto Sans CJK KR" w:eastAsia="Noto Sans CJK KR"/>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60"/>
      <w:ind w:firstLine="0"/>
      <w:jc w:val="left"/>
    </w:pPr>
    <w:rPr>
      <w:rFonts w:asciiTheme="majorHAnsi" w:eastAsiaTheme="majorEastAsia" w:hAnsiTheme="majorHAnsi" w:cstheme="majorBidi" w:ascii="Noto Sans CJK KR" w:hAnsi="Noto Sans CJK KR" w:eastAsia="Noto Sans CJK KR"/>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ind w:firstLine="0"/>
      <w:jc w:val="left"/>
    </w:pPr>
    <w:rPr>
      <w:rFonts w:ascii="Noto Sans CJK KR" w:hAnsi="Noto Sans CJK KR" w:eastAsia="Noto Sans CJK KR"/>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 제타 영점 프레임 필터와 잔존 계산</dc:title>
  <dc:subject>두 단계 차원필터 상위 구조 가설의 계산 부록 0.1</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