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240"/>
        <w:jc w:val="center"/>
      </w:pPr>
      <w:r>
        <w:rPr>
          <w:rFonts w:ascii="Arial" w:hAnsi="Arial" w:eastAsia="Arial"/>
          <w:b/>
          <w:i w:val="0"/>
          <w:color w:val="16324F"/>
          <w:sz w:val="56"/>
        </w:rPr>
        <w:t>WRRA-Motor H2</w:t>
      </w:r>
    </w:p>
    <w:p>
      <w:pPr>
        <w:spacing w:after="240"/>
        <w:jc w:val="center"/>
      </w:pPr>
      <w:r>
        <w:rPr>
          <w:rFonts w:ascii="Arial" w:hAnsi="Arial" w:eastAsia="Arial"/>
          <w:b/>
          <w:i w:val="0"/>
          <w:color w:val="1F4D78"/>
          <w:sz w:val="31"/>
        </w:rPr>
        <w:t>From Minimal State Transitions to a Candidate Walking Protein and DNA</w:t>
      </w:r>
    </w:p>
    <w:p>
      <w:pPr>
        <w:spacing w:after="520"/>
        <w:jc w:val="center"/>
      </w:pPr>
      <w:r>
        <w:rPr>
          <w:rFonts w:ascii="Arial" w:hAnsi="Arial" w:eastAsia="Arial"/>
          <w:b w:val="0"/>
          <w:i w:val="0"/>
          <w:color w:val="5F6B76"/>
          <w:sz w:val="21"/>
        </w:rPr>
        <w:t>Integrated review of the WRRA Core 1.0 functional architecture, hybrid protein design, and validation boundaries</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00"/>
        <w:gridCol w:w="7160"/>
      </w:tblGrid>
      <w:tr>
        <w:tc>
          <w:tcPr>
            <w:tcW w:type="dxa" w:w="2200"/>
            <w:shd w:fill="E8EEF5"/>
            <w:tcMar>
              <w:top w:w="80" w:type="dxa"/>
              <w:start w:w="120" w:type="dxa"/>
              <w:bottom w:w="80" w:type="dxa"/>
              <w:end w:w="120" w:type="dxa"/>
            </w:tcMar>
            <w:vAlign w:val="center"/>
          </w:tcPr>
          <w:p>
            <w:r>
              <w:rPr>
                <w:rFonts w:ascii="Arial" w:hAnsi="Arial" w:eastAsia="Arial"/>
                <w:b/>
                <w:i w:val="0"/>
                <w:color w:val="16324F"/>
                <w:sz w:val="19"/>
              </w:rPr>
              <w:t>Researcher</w:t>
            </w:r>
          </w:p>
        </w:tc>
        <w:tc>
          <w:tcPr>
            <w:tcW w:type="dxa" w:w="7160"/>
            <w:tcMar>
              <w:top w:w="80" w:type="dxa"/>
              <w:start w:w="120" w:type="dxa"/>
              <w:bottom w:w="80" w:type="dxa"/>
              <w:end w:w="120" w:type="dxa"/>
            </w:tcMar>
            <w:vAlign w:val="center"/>
          </w:tcPr>
          <w:p>
            <w:r>
              <w:rPr>
                <w:rFonts w:ascii="Arial" w:hAnsi="Arial" w:eastAsia="Arial"/>
                <w:b w:val="0"/>
                <w:i w:val="0"/>
                <w:color w:val="111111"/>
                <w:sz w:val="19"/>
              </w:rPr>
              <w:t>Wonsik Choi</w:t>
            </w:r>
          </w:p>
        </w:tc>
      </w:tr>
      <w:tr>
        <w:tc>
          <w:tcPr>
            <w:tcW w:type="dxa" w:w="2200"/>
            <w:shd w:fill="E8EEF5"/>
            <w:tcMar>
              <w:top w:w="80" w:type="dxa"/>
              <w:start w:w="120" w:type="dxa"/>
              <w:bottom w:w="80" w:type="dxa"/>
              <w:end w:w="120" w:type="dxa"/>
            </w:tcMar>
            <w:vAlign w:val="center"/>
          </w:tcPr>
          <w:p>
            <w:r>
              <w:rPr>
                <w:rFonts w:ascii="Arial" w:hAnsi="Arial" w:eastAsia="Arial"/>
                <w:b/>
                <w:i w:val="0"/>
                <w:color w:val="16324F"/>
                <w:sz w:val="19"/>
              </w:rPr>
              <w:t>Document</w:t>
            </w:r>
          </w:p>
        </w:tc>
        <w:tc>
          <w:tcPr>
            <w:tcW w:type="dxa" w:w="7160"/>
            <w:tcMar>
              <w:top w:w="80" w:type="dxa"/>
              <w:start w:w="120" w:type="dxa"/>
              <w:bottom w:w="80" w:type="dxa"/>
              <w:end w:w="120" w:type="dxa"/>
            </w:tcMar>
            <w:vAlign w:val="center"/>
          </w:tcPr>
          <w:p>
            <w:r>
              <w:rPr>
                <w:rFonts w:ascii="Arial" w:hAnsi="Arial" w:eastAsia="Arial"/>
                <w:b w:val="0"/>
                <w:i w:val="0"/>
                <w:color w:val="111111"/>
                <w:sz w:val="19"/>
              </w:rPr>
              <w:t>v0.4 Integrated Research Report - English Edition</w:t>
            </w:r>
          </w:p>
        </w:tc>
      </w:tr>
      <w:tr>
        <w:tc>
          <w:tcPr>
            <w:tcW w:type="dxa" w:w="2200"/>
            <w:shd w:fill="E8EEF5"/>
            <w:tcMar>
              <w:top w:w="80" w:type="dxa"/>
              <w:start w:w="120" w:type="dxa"/>
              <w:bottom w:w="80" w:type="dxa"/>
              <w:end w:w="120" w:type="dxa"/>
            </w:tcMar>
            <w:vAlign w:val="center"/>
          </w:tcPr>
          <w:p>
            <w:r>
              <w:rPr>
                <w:rFonts w:ascii="Arial" w:hAnsi="Arial" w:eastAsia="Arial"/>
                <w:b/>
                <w:i w:val="0"/>
                <w:color w:val="16324F"/>
                <w:sz w:val="19"/>
              </w:rPr>
              <w:t>Date</w:t>
            </w:r>
          </w:p>
        </w:tc>
        <w:tc>
          <w:tcPr>
            <w:tcW w:type="dxa" w:w="7160"/>
            <w:tcMar>
              <w:top w:w="80" w:type="dxa"/>
              <w:start w:w="120" w:type="dxa"/>
              <w:bottom w:w="80" w:type="dxa"/>
              <w:end w:w="120" w:type="dxa"/>
            </w:tcMar>
            <w:vAlign w:val="center"/>
          </w:tcPr>
          <w:p>
            <w:r>
              <w:rPr>
                <w:rFonts w:ascii="Arial" w:hAnsi="Arial" w:eastAsia="Arial"/>
                <w:b w:val="0"/>
                <w:i w:val="0"/>
                <w:color w:val="111111"/>
                <w:sz w:val="19"/>
              </w:rPr>
              <w:t>September 8, 2026</w:t>
            </w:r>
          </w:p>
        </w:tc>
      </w:tr>
      <w:tr>
        <w:tc>
          <w:tcPr>
            <w:tcW w:type="dxa" w:w="2200"/>
            <w:shd w:fill="E8EEF5"/>
            <w:tcMar>
              <w:top w:w="80" w:type="dxa"/>
              <w:start w:w="120" w:type="dxa"/>
              <w:bottom w:w="80" w:type="dxa"/>
              <w:end w:w="120" w:type="dxa"/>
            </w:tcMar>
            <w:vAlign w:val="center"/>
          </w:tcPr>
          <w:p>
            <w:r>
              <w:rPr>
                <w:rFonts w:ascii="Arial" w:hAnsi="Arial" w:eastAsia="Arial"/>
                <w:b/>
                <w:i w:val="0"/>
                <w:color w:val="16324F"/>
                <w:sz w:val="19"/>
              </w:rPr>
              <w:t>Current status</w:t>
            </w:r>
          </w:p>
        </w:tc>
        <w:tc>
          <w:tcPr>
            <w:tcW w:type="dxa" w:w="7160"/>
            <w:tcMar>
              <w:top w:w="80" w:type="dxa"/>
              <w:start w:w="120" w:type="dxa"/>
              <w:bottom w:w="80" w:type="dxa"/>
              <w:end w:w="120" w:type="dxa"/>
            </w:tcMar>
            <w:vAlign w:val="center"/>
          </w:tcPr>
          <w:p>
            <w:r>
              <w:rPr>
                <w:rFonts w:ascii="Arial" w:hAnsi="Arial" w:eastAsia="Arial"/>
                <w:b w:val="0"/>
                <w:i w:val="0"/>
                <w:color w:val="111111"/>
                <w:sz w:val="19"/>
              </w:rPr>
              <w:t>H2: PREDICTED_SEQUENCE_ONLY | Actual walking: OPEN</w:t>
            </w:r>
          </w:p>
        </w:tc>
      </w:tr>
    </w:tbl>
    <w:p>
      <w:pPr>
        <w:spacing w:before="400"/>
      </w:pPr>
      <w:r>
        <w:rPr>
          <w:rFonts w:ascii="Arial" w:hAnsi="Arial" w:eastAsia="Arial"/>
          <w:b/>
          <w:i w:val="0"/>
          <w:color w:val="16324F"/>
          <w:sz w:val="22"/>
        </w:rPr>
        <w:t>Central determination</w:t>
      </w:r>
    </w:p>
    <w:p>
      <w:pPr>
        <w:ind w:left="403" w:right="403"/>
      </w:pPr>
      <w:r>
        <w:rPr>
          <w:rFonts w:ascii="Arial" w:hAnsi="Arial" w:eastAsia="Arial"/>
          <w:b/>
          <w:i w:val="0"/>
          <w:color w:val="111111"/>
          <w:sz w:val="21"/>
        </w:rPr>
        <w:t>This work maps WRRA-derived minimum walking requirements onto the established KIF5B motor core and a newly designed 32-aa gate. The protein and coding sequences are computational candidates. Atomic structure, folding, dimeric walking, intracellular cargo transport, and superiority over ordinary coiled coils remain unproven.</w:t>
      </w:r>
    </w:p>
    <w:p>
      <w:pPr>
        <w:keepNext w:val="0"/>
      </w:pPr>
      <w:r>
        <w:br w:type="page"/>
      </w:r>
    </w:p>
    <w:p>
      <w:pPr>
        <w:pStyle w:val="Heading1"/>
      </w:pPr>
      <w:r>
        <w:t>Executive Summary</w:t>
      </w:r>
    </w:p>
    <w:p>
      <w:pPr>
        <w:jc w:val="both"/>
      </w:pPr>
      <w:r>
        <w:rPr>
          <w:rFonts w:ascii="Arial" w:hAnsi="Arial" w:eastAsia="Arial"/>
          <w:b w:val="0"/>
          <w:i w:val="0"/>
          <w:color w:val="111111"/>
          <w:sz w:val="20"/>
        </w:rPr>
        <w:t>The WRRA-Motor study begins with a functional question: what is the smallest physical architecture that can repeatedly advance along a polar intracellular track, under thermal noise, while consuming finite chemical free energy? Under the declared strict always-attached contract, applying the WRRA Core 1.0 principles of minimal computation, fixed-present state, boundary conditions, common carrier, and update yields a minimum functional set: two contacts, non-equilibrium energy input, track polarity, a record embodied in the current physical state, and coordination between the contacts.</w:t>
      </w:r>
    </w:p>
    <w:p>
      <w:pPr>
        <w:jc w:val="both"/>
      </w:pPr>
      <w:r>
        <w:rPr>
          <w:rFonts w:ascii="Arial" w:hAnsi="Arial" w:eastAsia="Arial"/>
          <w:b w:val="0"/>
          <w:i w:val="0"/>
          <w:color w:val="111111"/>
          <w:sz w:val="20"/>
        </w:rPr>
        <w:t>Instead of inventing an ungrounded motor from scratch, the protein-level design preserves residues 1-353 of human kinesin-1 KIF5B as an inherited motor core. A designed 32-aa coiled-coil-like WRRA gate is appended to promote chain association and state coupling, giving the 385-aa hybrid candidate H2-b2f820d18e. Generic human-cell reverse translation gives a 1,158-nt candidate CDS including the stop codon, with 57.69% GC content.</w:t>
      </w:r>
    </w:p>
    <w:tbl>
      <w:tblPr>
        <w:tblW w:type="dxa" w:w="936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9360"/>
      </w:tblGrid>
      <w:tr>
        <w:tc>
          <w:tcPr>
            <w:tcW w:type="dxa" w:w="9360"/>
            <w:shd w:fill="F4F6F9"/>
            <w:tcMar>
              <w:top w:w="80" w:type="dxa"/>
              <w:start w:w="120" w:type="dxa"/>
              <w:bottom w:w="80" w:type="dxa"/>
              <w:end w:w="120" w:type="dxa"/>
            </w:tcMar>
            <w:vAlign w:val="center"/>
          </w:tcPr>
          <w:p>
            <w:r>
              <w:rPr>
                <w:rFonts w:ascii="Arial" w:hAnsi="Arial" w:eastAsia="Arial"/>
                <w:b/>
                <w:i w:val="0"/>
                <w:color w:val="16324F"/>
                <w:sz w:val="20"/>
              </w:rPr>
              <w:t xml:space="preserve">One-sentence conclusion  </w:t>
            </w:r>
            <w:r>
              <w:rPr>
                <w:rFonts w:ascii="Arial" w:hAnsi="Arial" w:eastAsia="Arial"/>
                <w:b w:val="0"/>
                <w:i w:val="0"/>
                <w:color w:val="111111"/>
                <w:sz w:val="20"/>
              </w:rPr>
              <w:t>The current result is not a proven artificial walking motor; it is a synthesis-addressable hybrid candidate that maps WRRA state-transition logic onto a known motor and exposes explicit tests that can falsify the design.</w:t>
            </w:r>
          </w:p>
        </w:tc>
      </w:tr>
    </w:tbl>
    <w:p>
      <w:pPr>
        <w:spacing w:after="20"/>
      </w:pPr>
    </w:p>
    <w:p>
      <w:pPr>
        <w:pStyle w:val="Heading1"/>
      </w:pPr>
      <w:r>
        <w:t>1. Research Question and Scope</w:t>
      </w:r>
    </w:p>
    <w:p>
      <w:pPr>
        <w:pStyle w:val="Heading2"/>
      </w:pPr>
      <w:r>
        <w:t>1.1 Direct research question</w:t>
      </w:r>
    </w:p>
    <w:p>
      <w:pPr>
        <w:jc w:val="both"/>
      </w:pPr>
      <w:r>
        <w:rPr>
          <w:rFonts w:ascii="Arial" w:hAnsi="Arial" w:eastAsia="Arial"/>
          <w:b w:val="0"/>
          <w:i w:val="0"/>
          <w:color w:val="111111"/>
          <w:sz w:val="20"/>
        </w:rPr>
        <w:t>Can WRRA define the minimum structure of a protein that can physically walk inside a cell and then express that structure as a candidate protein and DNA sequence? Here, walking means repeated plus-end-directed displacement on a polar microtubule, driven by ATP free energy, with one contact retained whenever possible while the other contact is repositioned.</w:t>
      </w:r>
    </w:p>
    <w:p>
      <w:pPr>
        <w:pStyle w:val="Heading2"/>
      </w:pPr>
      <w:r>
        <w:t>1.2 Included and excluded claims</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00"/>
        <w:gridCol w:w="4860"/>
        <w:gridCol w:w="2600"/>
      </w:tblGrid>
      <w:tr>
        <w:trPr>
          <w:tblHeader w:val="true"/>
          <w:cantSplit w:val="true"/>
        </w:trPr>
        <w:tc>
          <w:tcPr>
            <w:tcW w:type="dxa" w:w="1900"/>
            <w:shd w:fill="E8EEF5"/>
            <w:tcMar>
              <w:top w:w="80" w:type="dxa"/>
              <w:start w:w="120" w:type="dxa"/>
              <w:bottom w:w="80" w:type="dxa"/>
              <w:end w:w="120" w:type="dxa"/>
            </w:tcMar>
            <w:vAlign w:val="center"/>
          </w:tcPr>
          <w:p>
            <w:pPr>
              <w:jc w:val="center"/>
            </w:pPr>
            <w:r>
              <w:rPr>
                <w:rFonts w:ascii="Arial" w:hAnsi="Arial" w:eastAsia="Arial"/>
                <w:b/>
                <w:i w:val="0"/>
                <w:color w:val="16324F"/>
                <w:sz w:val="17"/>
              </w:rPr>
              <w:t>Layer</w:t>
            </w:r>
          </w:p>
        </w:tc>
        <w:tc>
          <w:tcPr>
            <w:tcW w:type="dxa" w:w="4860"/>
            <w:shd w:fill="E8EEF5"/>
            <w:tcMar>
              <w:top w:w="80" w:type="dxa"/>
              <w:start w:w="120" w:type="dxa"/>
              <w:bottom w:w="80" w:type="dxa"/>
              <w:end w:w="120" w:type="dxa"/>
            </w:tcMar>
            <w:vAlign w:val="center"/>
          </w:tcPr>
          <w:p>
            <w:pPr>
              <w:jc w:val="center"/>
            </w:pPr>
            <w:r>
              <w:rPr>
                <w:rFonts w:ascii="Arial" w:hAnsi="Arial" w:eastAsia="Arial"/>
                <w:b/>
                <w:i w:val="0"/>
                <w:color w:val="16324F"/>
                <w:sz w:val="17"/>
              </w:rPr>
              <w:t>Included result</w:t>
            </w:r>
          </w:p>
        </w:tc>
        <w:tc>
          <w:tcPr>
            <w:tcW w:type="dxa" w:w="2600"/>
            <w:shd w:fill="E8EEF5"/>
            <w:tcMar>
              <w:top w:w="80" w:type="dxa"/>
              <w:start w:w="120" w:type="dxa"/>
              <w:bottom w:w="80" w:type="dxa"/>
              <w:end w:w="120" w:type="dxa"/>
            </w:tcMar>
            <w:vAlign w:val="center"/>
          </w:tcPr>
          <w:p>
            <w:pPr>
              <w:jc w:val="center"/>
            </w:pPr>
            <w:r>
              <w:rPr>
                <w:rFonts w:ascii="Arial" w:hAnsi="Arial" w:eastAsia="Arial"/>
                <w:b/>
                <w:i w:val="0"/>
                <w:color w:val="16324F"/>
                <w:sz w:val="17"/>
              </w:rPr>
              <w:t>Current status</w:t>
            </w:r>
          </w:p>
        </w:tc>
      </w:tr>
      <w:tr>
        <w:trPr>
          <w:cantSplit w:val="true"/>
        </w:trPr>
        <w:tc>
          <w:tcPr>
            <w:tcW w:type="dxa" w:w="1900"/>
            <w:tcMar>
              <w:top w:w="80" w:type="dxa"/>
              <w:start w:w="120" w:type="dxa"/>
              <w:bottom w:w="80" w:type="dxa"/>
              <w:end w:w="120" w:type="dxa"/>
            </w:tcMar>
            <w:vAlign w:val="center"/>
          </w:tcPr>
          <w:p>
            <w:pPr>
              <w:jc w:val="left"/>
            </w:pPr>
            <w:r>
              <w:rPr>
                <w:rFonts w:ascii="Arial" w:hAnsi="Arial" w:eastAsia="Arial"/>
                <w:b w:val="0"/>
                <w:i w:val="0"/>
                <w:color w:val="111111"/>
                <w:sz w:val="17"/>
              </w:rPr>
              <w:t>Functional architecture</w:t>
            </w:r>
          </w:p>
        </w:tc>
        <w:tc>
          <w:tcPr>
            <w:tcW w:type="dxa" w:w="4860"/>
            <w:tcMar>
              <w:top w:w="80" w:type="dxa"/>
              <w:start w:w="120" w:type="dxa"/>
              <w:bottom w:w="80" w:type="dxa"/>
              <w:end w:w="120" w:type="dxa"/>
            </w:tcMar>
            <w:vAlign w:val="center"/>
          </w:tcPr>
          <w:p>
            <w:pPr>
              <w:jc w:val="left"/>
            </w:pPr>
            <w:r>
              <w:rPr>
                <w:rFonts w:ascii="Arial" w:hAnsi="Arial" w:eastAsia="Arial"/>
                <w:b w:val="0"/>
                <w:i w:val="0"/>
                <w:color w:val="111111"/>
                <w:sz w:val="17"/>
              </w:rPr>
              <w:t>Two contacts, drive, polarity, present-state gate, coordination</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Derived within model</w:t>
            </w:r>
          </w:p>
        </w:tc>
      </w:tr>
      <w:tr>
        <w:trPr>
          <w:cantSplit w:val="true"/>
        </w:trPr>
        <w:tc>
          <w:tcPr>
            <w:tcW w:type="dxa" w:w="1900"/>
            <w:tcMar>
              <w:top w:w="80" w:type="dxa"/>
              <w:start w:w="120" w:type="dxa"/>
              <w:bottom w:w="80" w:type="dxa"/>
              <w:end w:w="120" w:type="dxa"/>
            </w:tcMar>
            <w:vAlign w:val="center"/>
          </w:tcPr>
          <w:p>
            <w:pPr>
              <w:jc w:val="left"/>
            </w:pPr>
            <w:r>
              <w:rPr>
                <w:rFonts w:ascii="Arial" w:hAnsi="Arial" w:eastAsia="Arial"/>
                <w:b w:val="0"/>
                <w:i w:val="0"/>
                <w:color w:val="111111"/>
                <w:sz w:val="17"/>
              </w:rPr>
              <w:t>Hybrid protein</w:t>
            </w:r>
          </w:p>
        </w:tc>
        <w:tc>
          <w:tcPr>
            <w:tcW w:type="dxa" w:w="4860"/>
            <w:tcMar>
              <w:top w:w="80" w:type="dxa"/>
              <w:start w:w="120" w:type="dxa"/>
              <w:bottom w:w="80" w:type="dxa"/>
              <w:end w:w="120" w:type="dxa"/>
            </w:tcMar>
            <w:vAlign w:val="center"/>
          </w:tcPr>
          <w:p>
            <w:pPr>
              <w:jc w:val="left"/>
            </w:pPr>
            <w:r>
              <w:rPr>
                <w:rFonts w:ascii="Arial" w:hAnsi="Arial" w:eastAsia="Arial"/>
                <w:b w:val="0"/>
                <w:i w:val="0"/>
                <w:color w:val="111111"/>
                <w:sz w:val="17"/>
              </w:rPr>
              <w:t>KIF5B 1-353 + designed 32-aa gate</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Sequence candidate fixed</w:t>
            </w:r>
          </w:p>
        </w:tc>
      </w:tr>
      <w:tr>
        <w:trPr>
          <w:cantSplit w:val="true"/>
        </w:trPr>
        <w:tc>
          <w:tcPr>
            <w:tcW w:type="dxa" w:w="1900"/>
            <w:tcMar>
              <w:top w:w="80" w:type="dxa"/>
              <w:start w:w="120" w:type="dxa"/>
              <w:bottom w:w="80" w:type="dxa"/>
              <w:end w:w="120" w:type="dxa"/>
            </w:tcMar>
            <w:vAlign w:val="center"/>
          </w:tcPr>
          <w:p>
            <w:pPr>
              <w:jc w:val="left"/>
            </w:pPr>
            <w:r>
              <w:rPr>
                <w:rFonts w:ascii="Arial" w:hAnsi="Arial" w:eastAsia="Arial"/>
                <w:b w:val="0"/>
                <w:i w:val="0"/>
                <w:color w:val="111111"/>
                <w:sz w:val="17"/>
              </w:rPr>
              <w:t>DNA</w:t>
            </w:r>
          </w:p>
        </w:tc>
        <w:tc>
          <w:tcPr>
            <w:tcW w:type="dxa" w:w="4860"/>
            <w:tcMar>
              <w:top w:w="80" w:type="dxa"/>
              <w:start w:w="120" w:type="dxa"/>
              <w:bottom w:w="80" w:type="dxa"/>
              <w:end w:w="120" w:type="dxa"/>
            </w:tcMar>
            <w:vAlign w:val="center"/>
          </w:tcPr>
          <w:p>
            <w:pPr>
              <w:jc w:val="left"/>
            </w:pPr>
            <w:r>
              <w:rPr>
                <w:rFonts w:ascii="Arial" w:hAnsi="Arial" w:eastAsia="Arial"/>
                <w:b w:val="0"/>
                <w:i w:val="0"/>
                <w:color w:val="111111"/>
                <w:sz w:val="17"/>
              </w:rPr>
              <w:t>Generic human-cell reverse-translated CDS</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Pre-synthesis candidate</w:t>
            </w:r>
          </w:p>
        </w:tc>
      </w:tr>
      <w:tr>
        <w:trPr>
          <w:cantSplit w:val="true"/>
        </w:trPr>
        <w:tc>
          <w:tcPr>
            <w:tcW w:type="dxa" w:w="1900"/>
            <w:tcMar>
              <w:top w:w="80" w:type="dxa"/>
              <w:start w:w="120" w:type="dxa"/>
              <w:bottom w:w="80" w:type="dxa"/>
              <w:end w:w="120" w:type="dxa"/>
            </w:tcMar>
            <w:vAlign w:val="center"/>
          </w:tcPr>
          <w:p>
            <w:pPr>
              <w:jc w:val="left"/>
            </w:pPr>
            <w:r>
              <w:rPr>
                <w:rFonts w:ascii="Arial" w:hAnsi="Arial" w:eastAsia="Arial"/>
                <w:b w:val="0"/>
                <w:i w:val="0"/>
                <w:color w:val="111111"/>
                <w:sz w:val="17"/>
              </w:rPr>
              <w:t>Atomic model</w:t>
            </w:r>
          </w:p>
        </w:tc>
        <w:tc>
          <w:tcPr>
            <w:tcW w:type="dxa" w:w="4860"/>
            <w:tcMar>
              <w:top w:w="80" w:type="dxa"/>
              <w:start w:w="120" w:type="dxa"/>
              <w:bottom w:w="80" w:type="dxa"/>
              <w:end w:w="120" w:type="dxa"/>
            </w:tcMar>
            <w:vAlign w:val="center"/>
          </w:tcPr>
          <w:p>
            <w:pPr>
              <w:jc w:val="left"/>
            </w:pPr>
            <w:r>
              <w:rPr>
                <w:rFonts w:ascii="Arial" w:hAnsi="Arial" w:eastAsia="Arial"/>
                <w:b w:val="0"/>
                <w:i w:val="0"/>
                <w:color w:val="111111"/>
                <w:sz w:val="17"/>
              </w:rPr>
              <w:t>Two chains with microtubule and nucleotide states</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OPEN_NOT_PREDICTED</w:t>
            </w:r>
          </w:p>
        </w:tc>
      </w:tr>
      <w:tr>
        <w:trPr>
          <w:cantSplit w:val="true"/>
        </w:trPr>
        <w:tc>
          <w:tcPr>
            <w:tcW w:type="dxa" w:w="1900"/>
            <w:tcMar>
              <w:top w:w="80" w:type="dxa"/>
              <w:start w:w="120" w:type="dxa"/>
              <w:bottom w:w="80" w:type="dxa"/>
              <w:end w:w="120" w:type="dxa"/>
            </w:tcMar>
            <w:vAlign w:val="center"/>
          </w:tcPr>
          <w:p>
            <w:pPr>
              <w:jc w:val="left"/>
            </w:pPr>
            <w:r>
              <w:rPr>
                <w:rFonts w:ascii="Arial" w:hAnsi="Arial" w:eastAsia="Arial"/>
                <w:b w:val="0"/>
                <w:i w:val="0"/>
                <w:color w:val="111111"/>
                <w:sz w:val="17"/>
              </w:rPr>
              <w:t>Physical function</w:t>
            </w:r>
          </w:p>
        </w:tc>
        <w:tc>
          <w:tcPr>
            <w:tcW w:type="dxa" w:w="4860"/>
            <w:tcMar>
              <w:top w:w="80" w:type="dxa"/>
              <w:start w:w="120" w:type="dxa"/>
              <w:bottom w:w="80" w:type="dxa"/>
              <w:end w:w="120" w:type="dxa"/>
            </w:tcMar>
            <w:vAlign w:val="center"/>
          </w:tcPr>
          <w:p>
            <w:pPr>
              <w:jc w:val="left"/>
            </w:pPr>
            <w:r>
              <w:rPr>
                <w:rFonts w:ascii="Arial" w:hAnsi="Arial" w:eastAsia="Arial"/>
                <w:b w:val="0"/>
                <w:i w:val="0"/>
                <w:color w:val="111111"/>
                <w:sz w:val="17"/>
              </w:rPr>
              <w:t>Folding, dimerization, ATPase, walking, cargo transport</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OPEN</w:t>
            </w:r>
          </w:p>
        </w:tc>
      </w:tr>
    </w:tbl>
    <w:p>
      <w:pPr>
        <w:spacing w:after="20"/>
      </w:pPr>
    </w:p>
    <w:p>
      <w:pPr>
        <w:pStyle w:val="Heading1"/>
      </w:pPr>
      <w:r>
        <w:t>2. WRRA Interpretation of the Walking Problem</w:t>
      </w:r>
    </w:p>
    <w:p>
      <w:pPr>
        <w:pStyle w:val="Heading2"/>
      </w:pPr>
      <w:r>
        <w:t>2.1 Domain Profile</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00"/>
        <w:gridCol w:w="7060"/>
      </w:tblGrid>
      <w:tr>
        <w:trPr>
          <w:tblHeader w:val="true"/>
          <w:cantSplit w:val="true"/>
        </w:trPr>
        <w:tc>
          <w:tcPr>
            <w:tcW w:type="dxa" w:w="2300"/>
            <w:shd w:fill="E8EEF5"/>
            <w:tcMar>
              <w:top w:w="80" w:type="dxa"/>
              <w:start w:w="120" w:type="dxa"/>
              <w:bottom w:w="80" w:type="dxa"/>
              <w:end w:w="120" w:type="dxa"/>
            </w:tcMar>
            <w:vAlign w:val="center"/>
          </w:tcPr>
          <w:p>
            <w:pPr>
              <w:jc w:val="center"/>
            </w:pPr>
            <w:r>
              <w:rPr>
                <w:rFonts w:ascii="Arial" w:hAnsi="Arial" w:eastAsia="Arial"/>
                <w:b/>
                <w:i w:val="0"/>
                <w:color w:val="16324F"/>
                <w:sz w:val="17"/>
              </w:rPr>
              <w:t>WRRA element</w:t>
            </w:r>
          </w:p>
        </w:tc>
        <w:tc>
          <w:tcPr>
            <w:tcW w:type="dxa" w:w="7060"/>
            <w:shd w:fill="E8EEF5"/>
            <w:tcMar>
              <w:top w:w="80" w:type="dxa"/>
              <w:start w:w="120" w:type="dxa"/>
              <w:bottom w:w="80" w:type="dxa"/>
              <w:end w:w="120" w:type="dxa"/>
            </w:tcMar>
            <w:vAlign w:val="center"/>
          </w:tcPr>
          <w:p>
            <w:pPr>
              <w:jc w:val="center"/>
            </w:pPr>
            <w:r>
              <w:rPr>
                <w:rFonts w:ascii="Arial" w:hAnsi="Arial" w:eastAsia="Arial"/>
                <w:b/>
                <w:i w:val="0"/>
                <w:color w:val="16324F"/>
                <w:sz w:val="17"/>
              </w:rPr>
              <w:t>Mapping in the walking problem</w:t>
            </w:r>
          </w:p>
        </w:tc>
      </w:tr>
      <w:tr>
        <w:trPr>
          <w:cantSplit w:val="true"/>
        </w:trPr>
        <w:tc>
          <w:tcPr>
            <w:tcW w:type="dxa" w:w="2300"/>
            <w:tcMar>
              <w:top w:w="80" w:type="dxa"/>
              <w:start w:w="120" w:type="dxa"/>
              <w:bottom w:w="80" w:type="dxa"/>
              <w:end w:w="120" w:type="dxa"/>
            </w:tcMar>
            <w:vAlign w:val="center"/>
          </w:tcPr>
          <w:p>
            <w:pPr>
              <w:jc w:val="left"/>
            </w:pPr>
            <w:r>
              <w:rPr>
                <w:rFonts w:ascii="Arial" w:hAnsi="Arial" w:eastAsia="Arial"/>
                <w:b w:val="0"/>
                <w:i w:val="0"/>
                <w:color w:val="111111"/>
                <w:sz w:val="17"/>
              </w:rPr>
              <w:t>SOURCE</w:t>
            </w:r>
          </w:p>
        </w:tc>
        <w:tc>
          <w:tcPr>
            <w:tcW w:type="dxa" w:w="7060"/>
            <w:tcMar>
              <w:top w:w="80" w:type="dxa"/>
              <w:start w:w="120" w:type="dxa"/>
              <w:bottom w:w="80" w:type="dxa"/>
              <w:end w:w="120" w:type="dxa"/>
            </w:tcMar>
            <w:vAlign w:val="center"/>
          </w:tcPr>
          <w:p>
            <w:pPr>
              <w:jc w:val="left"/>
            </w:pPr>
            <w:r>
              <w:rPr>
                <w:rFonts w:ascii="Arial" w:hAnsi="Arial" w:eastAsia="Arial"/>
                <w:b w:val="0"/>
                <w:i w:val="0"/>
                <w:color w:val="111111"/>
                <w:sz w:val="17"/>
              </w:rPr>
              <w:t>External chemical free energy, represented by ATP</w:t>
            </w:r>
          </w:p>
        </w:tc>
      </w:tr>
      <w:tr>
        <w:trPr>
          <w:cantSplit w:val="true"/>
        </w:trPr>
        <w:tc>
          <w:tcPr>
            <w:tcW w:type="dxa" w:w="2300"/>
            <w:tcMar>
              <w:top w:w="80" w:type="dxa"/>
              <w:start w:w="120" w:type="dxa"/>
              <w:bottom w:w="80" w:type="dxa"/>
              <w:end w:w="120" w:type="dxa"/>
            </w:tcMar>
            <w:vAlign w:val="center"/>
          </w:tcPr>
          <w:p>
            <w:pPr>
              <w:jc w:val="left"/>
            </w:pPr>
            <w:r>
              <w:rPr>
                <w:rFonts w:ascii="Arial" w:hAnsi="Arial" w:eastAsia="Arial"/>
                <w:b w:val="0"/>
                <w:i w:val="0"/>
                <w:color w:val="111111"/>
                <w:sz w:val="17"/>
              </w:rPr>
              <w:t>RELATION / LAW</w:t>
            </w:r>
          </w:p>
        </w:tc>
        <w:tc>
          <w:tcPr>
            <w:tcW w:type="dxa" w:w="7060"/>
            <w:tcMar>
              <w:top w:w="80" w:type="dxa"/>
              <w:start w:w="120" w:type="dxa"/>
              <w:bottom w:w="80" w:type="dxa"/>
              <w:end w:w="120" w:type="dxa"/>
            </w:tcMar>
            <w:vAlign w:val="center"/>
          </w:tcPr>
          <w:p>
            <w:pPr>
              <w:jc w:val="left"/>
            </w:pPr>
            <w:r>
              <w:rPr>
                <w:rFonts w:ascii="Arial" w:hAnsi="Arial" w:eastAsia="Arial"/>
                <w:b w:val="0"/>
                <w:i w:val="0"/>
                <w:color w:val="111111"/>
                <w:sz w:val="17"/>
              </w:rPr>
              <w:t>Binding, unbinding, thermal diffusion, local detailed balance, polar track</w:t>
            </w:r>
          </w:p>
        </w:tc>
      </w:tr>
      <w:tr>
        <w:trPr>
          <w:cantSplit w:val="true"/>
        </w:trPr>
        <w:tc>
          <w:tcPr>
            <w:tcW w:type="dxa" w:w="2300"/>
            <w:tcMar>
              <w:top w:w="80" w:type="dxa"/>
              <w:start w:w="120" w:type="dxa"/>
              <w:bottom w:w="80" w:type="dxa"/>
              <w:end w:w="120" w:type="dxa"/>
            </w:tcMar>
            <w:vAlign w:val="center"/>
          </w:tcPr>
          <w:p>
            <w:pPr>
              <w:jc w:val="left"/>
            </w:pPr>
            <w:r>
              <w:rPr>
                <w:rFonts w:ascii="Arial" w:hAnsi="Arial" w:eastAsia="Arial"/>
                <w:b w:val="0"/>
                <w:i w:val="0"/>
                <w:color w:val="111111"/>
                <w:sz w:val="17"/>
              </w:rPr>
              <w:t>STATE / RESIDUE</w:t>
            </w:r>
          </w:p>
        </w:tc>
        <w:tc>
          <w:tcPr>
            <w:tcW w:type="dxa" w:w="7060"/>
            <w:tcMar>
              <w:top w:w="80" w:type="dxa"/>
              <w:start w:w="120" w:type="dxa"/>
              <w:bottom w:w="80" w:type="dxa"/>
              <w:end w:w="120" w:type="dxa"/>
            </w:tcMar>
            <w:vAlign w:val="center"/>
          </w:tcPr>
          <w:p>
            <w:pPr>
              <w:jc w:val="left"/>
            </w:pPr>
            <w:r>
              <w:rPr>
                <w:rFonts w:ascii="Arial" w:hAnsi="Arial" w:eastAsia="Arial"/>
                <w:b w:val="0"/>
                <w:i w:val="0"/>
                <w:color w:val="111111"/>
                <w:sz w:val="17"/>
              </w:rPr>
              <w:t>Head occupancy, nucleotide state, strain, and conformation</w:t>
            </w:r>
          </w:p>
        </w:tc>
      </w:tr>
      <w:tr>
        <w:trPr>
          <w:cantSplit w:val="true"/>
        </w:trPr>
        <w:tc>
          <w:tcPr>
            <w:tcW w:type="dxa" w:w="2300"/>
            <w:tcMar>
              <w:top w:w="80" w:type="dxa"/>
              <w:start w:w="120" w:type="dxa"/>
              <w:bottom w:w="80" w:type="dxa"/>
              <w:end w:w="120" w:type="dxa"/>
            </w:tcMar>
            <w:vAlign w:val="center"/>
          </w:tcPr>
          <w:p>
            <w:pPr>
              <w:jc w:val="left"/>
            </w:pPr>
            <w:r>
              <w:rPr>
                <w:rFonts w:ascii="Arial" w:hAnsi="Arial" w:eastAsia="Arial"/>
                <w:b w:val="0"/>
                <w:i w:val="0"/>
                <w:color w:val="111111"/>
                <w:sz w:val="17"/>
              </w:rPr>
              <w:t>BOUNDARY</w:t>
            </w:r>
          </w:p>
        </w:tc>
        <w:tc>
          <w:tcPr>
            <w:tcW w:type="dxa" w:w="7060"/>
            <w:tcMar>
              <w:top w:w="80" w:type="dxa"/>
              <w:start w:w="120" w:type="dxa"/>
              <w:bottom w:w="80" w:type="dxa"/>
              <w:end w:w="120" w:type="dxa"/>
            </w:tcMar>
            <w:vAlign w:val="center"/>
          </w:tcPr>
          <w:p>
            <w:pPr>
              <w:jc w:val="left"/>
            </w:pPr>
            <w:r>
              <w:rPr>
                <w:rFonts w:ascii="Arial" w:hAnsi="Arial" w:eastAsia="Arial"/>
                <w:b w:val="0"/>
                <w:i w:val="0"/>
                <w:color w:val="111111"/>
                <w:sz w:val="17"/>
              </w:rPr>
              <w:t>Cytosol, temperature, thermal noise, load, microtubule lattice and polarity</w:t>
            </w:r>
          </w:p>
        </w:tc>
      </w:tr>
      <w:tr>
        <w:trPr>
          <w:cantSplit w:val="true"/>
        </w:trPr>
        <w:tc>
          <w:tcPr>
            <w:tcW w:type="dxa" w:w="2300"/>
            <w:tcMar>
              <w:top w:w="80" w:type="dxa"/>
              <w:start w:w="120" w:type="dxa"/>
              <w:bottom w:w="80" w:type="dxa"/>
              <w:end w:w="120" w:type="dxa"/>
            </w:tcMar>
            <w:vAlign w:val="center"/>
          </w:tcPr>
          <w:p>
            <w:pPr>
              <w:jc w:val="left"/>
            </w:pPr>
            <w:r>
              <w:rPr>
                <w:rFonts w:ascii="Arial" w:hAnsi="Arial" w:eastAsia="Arial"/>
                <w:b w:val="0"/>
                <w:i w:val="0"/>
                <w:color w:val="111111"/>
                <w:sz w:val="17"/>
              </w:rPr>
              <w:t>COMMON CARRIER</w:t>
            </w:r>
          </w:p>
        </w:tc>
        <w:tc>
          <w:tcPr>
            <w:tcW w:type="dxa" w:w="7060"/>
            <w:tcMar>
              <w:top w:w="80" w:type="dxa"/>
              <w:start w:w="120" w:type="dxa"/>
              <w:bottom w:w="80" w:type="dxa"/>
              <w:end w:w="120" w:type="dxa"/>
            </w:tcMar>
            <w:vAlign w:val="center"/>
          </w:tcPr>
          <w:p>
            <w:pPr>
              <w:jc w:val="left"/>
            </w:pPr>
            <w:r>
              <w:rPr>
                <w:rFonts w:ascii="Arial" w:hAnsi="Arial" w:eastAsia="Arial"/>
                <w:b w:val="0"/>
                <w:i w:val="0"/>
                <w:color w:val="111111"/>
                <w:sz w:val="17"/>
              </w:rPr>
              <w:t>Protein conformational change that converts energy state to displacement</w:t>
            </w:r>
          </w:p>
        </w:tc>
      </w:tr>
      <w:tr>
        <w:trPr>
          <w:cantSplit w:val="true"/>
        </w:trPr>
        <w:tc>
          <w:tcPr>
            <w:tcW w:type="dxa" w:w="2300"/>
            <w:tcMar>
              <w:top w:w="80" w:type="dxa"/>
              <w:start w:w="120" w:type="dxa"/>
              <w:bottom w:w="80" w:type="dxa"/>
              <w:end w:w="120" w:type="dxa"/>
            </w:tcMar>
            <w:vAlign w:val="center"/>
          </w:tcPr>
          <w:p>
            <w:pPr>
              <w:jc w:val="left"/>
            </w:pPr>
            <w:r>
              <w:rPr>
                <w:rFonts w:ascii="Arial" w:hAnsi="Arial" w:eastAsia="Arial"/>
                <w:b w:val="0"/>
                <w:i w:val="0"/>
                <w:color w:val="111111"/>
                <w:sz w:val="17"/>
              </w:rPr>
              <w:t>UPDATE</w:t>
            </w:r>
          </w:p>
        </w:tc>
        <w:tc>
          <w:tcPr>
            <w:tcW w:type="dxa" w:w="7060"/>
            <w:tcMar>
              <w:top w:w="80" w:type="dxa"/>
              <w:start w:w="120" w:type="dxa"/>
              <w:bottom w:w="80" w:type="dxa"/>
              <w:end w:w="120" w:type="dxa"/>
            </w:tcMar>
            <w:vAlign w:val="center"/>
          </w:tcPr>
          <w:p>
            <w:pPr>
              <w:jc w:val="left"/>
            </w:pPr>
            <w:r>
              <w:rPr>
                <w:rFonts w:ascii="Arial" w:hAnsi="Arial" w:eastAsia="Arial"/>
                <w:b w:val="0"/>
                <w:i w:val="0"/>
                <w:color w:val="111111"/>
                <w:sz w:val="17"/>
              </w:rPr>
              <w:t>ATP-coupled transition of the current physical state</w:t>
            </w:r>
          </w:p>
        </w:tc>
      </w:tr>
      <w:tr>
        <w:trPr>
          <w:cantSplit w:val="true"/>
        </w:trPr>
        <w:tc>
          <w:tcPr>
            <w:tcW w:type="dxa" w:w="2300"/>
            <w:tcMar>
              <w:top w:w="80" w:type="dxa"/>
              <w:start w:w="120" w:type="dxa"/>
              <w:bottom w:w="80" w:type="dxa"/>
              <w:end w:w="120" w:type="dxa"/>
            </w:tcMar>
            <w:vAlign w:val="center"/>
          </w:tcPr>
          <w:p>
            <w:pPr>
              <w:jc w:val="left"/>
            </w:pPr>
            <w:r>
              <w:rPr>
                <w:rFonts w:ascii="Arial" w:hAnsi="Arial" w:eastAsia="Arial"/>
                <w:b w:val="0"/>
                <w:i w:val="0"/>
                <w:color w:val="111111"/>
                <w:sz w:val="17"/>
              </w:rPr>
              <w:t>RENDERER</w:t>
            </w:r>
          </w:p>
        </w:tc>
        <w:tc>
          <w:tcPr>
            <w:tcW w:type="dxa" w:w="7060"/>
            <w:tcMar>
              <w:top w:w="80" w:type="dxa"/>
              <w:start w:w="120" w:type="dxa"/>
              <w:bottom w:w="80" w:type="dxa"/>
              <w:end w:w="120" w:type="dxa"/>
            </w:tcMar>
            <w:vAlign w:val="center"/>
          </w:tcPr>
          <w:p>
            <w:pPr>
              <w:jc w:val="left"/>
            </w:pPr>
            <w:r>
              <w:rPr>
                <w:rFonts w:ascii="Arial" w:hAnsi="Arial" w:eastAsia="Arial"/>
                <w:b w:val="0"/>
                <w:i w:val="0"/>
                <w:color w:val="111111"/>
                <w:sz w:val="17"/>
              </w:rPr>
              <w:t>Binding geometry, folding, dimerization, and gate rules</w:t>
            </w:r>
          </w:p>
        </w:tc>
      </w:tr>
      <w:tr>
        <w:trPr>
          <w:cantSplit w:val="true"/>
        </w:trPr>
        <w:tc>
          <w:tcPr>
            <w:tcW w:type="dxa" w:w="2300"/>
            <w:tcMar>
              <w:top w:w="80" w:type="dxa"/>
              <w:start w:w="120" w:type="dxa"/>
              <w:bottom w:w="80" w:type="dxa"/>
              <w:end w:w="120" w:type="dxa"/>
            </w:tcMar>
            <w:vAlign w:val="center"/>
          </w:tcPr>
          <w:p>
            <w:pPr>
              <w:jc w:val="left"/>
            </w:pPr>
            <w:r>
              <w:rPr>
                <w:rFonts w:ascii="Arial" w:hAnsi="Arial" w:eastAsia="Arial"/>
                <w:b w:val="0"/>
                <w:i w:val="0"/>
                <w:color w:val="111111"/>
                <w:sz w:val="17"/>
              </w:rPr>
              <w:t>PHENOTYPE</w:t>
            </w:r>
          </w:p>
        </w:tc>
        <w:tc>
          <w:tcPr>
            <w:tcW w:type="dxa" w:w="7060"/>
            <w:tcMar>
              <w:top w:w="80" w:type="dxa"/>
              <w:start w:w="120" w:type="dxa"/>
              <w:bottom w:w="80" w:type="dxa"/>
              <w:end w:w="120" w:type="dxa"/>
            </w:tcMar>
            <w:vAlign w:val="center"/>
          </w:tcPr>
          <w:p>
            <w:pPr>
              <w:jc w:val="left"/>
            </w:pPr>
            <w:r>
              <w:rPr>
                <w:rFonts w:ascii="Arial" w:hAnsi="Arial" w:eastAsia="Arial"/>
                <w:b w:val="0"/>
                <w:i w:val="0"/>
                <w:color w:val="111111"/>
                <w:sz w:val="17"/>
              </w:rPr>
              <w:t>Net displacement toward the microtubule plus end</w:t>
            </w:r>
          </w:p>
        </w:tc>
      </w:tr>
      <w:tr>
        <w:trPr>
          <w:cantSplit w:val="true"/>
        </w:trPr>
        <w:tc>
          <w:tcPr>
            <w:tcW w:type="dxa" w:w="2300"/>
            <w:tcMar>
              <w:top w:w="80" w:type="dxa"/>
              <w:start w:w="120" w:type="dxa"/>
              <w:bottom w:w="80" w:type="dxa"/>
              <w:end w:w="120" w:type="dxa"/>
            </w:tcMar>
            <w:vAlign w:val="center"/>
          </w:tcPr>
          <w:p>
            <w:pPr>
              <w:jc w:val="left"/>
            </w:pPr>
            <w:r>
              <w:rPr>
                <w:rFonts w:ascii="Arial" w:hAnsi="Arial" w:eastAsia="Arial"/>
                <w:b w:val="0"/>
                <w:i w:val="0"/>
                <w:color w:val="111111"/>
                <w:sz w:val="17"/>
              </w:rPr>
              <w:t>OBSERVABLE</w:t>
            </w:r>
          </w:p>
        </w:tc>
        <w:tc>
          <w:tcPr>
            <w:tcW w:type="dxa" w:w="7060"/>
            <w:tcMar>
              <w:top w:w="80" w:type="dxa"/>
              <w:start w:w="120" w:type="dxa"/>
              <w:bottom w:w="80" w:type="dxa"/>
              <w:end w:w="120" w:type="dxa"/>
            </w:tcMar>
            <w:vAlign w:val="center"/>
          </w:tcPr>
          <w:p>
            <w:pPr>
              <w:jc w:val="left"/>
            </w:pPr>
            <w:r>
              <w:rPr>
                <w:rFonts w:ascii="Arial" w:hAnsi="Arial" w:eastAsia="Arial"/>
                <w:b w:val="0"/>
                <w:i w:val="0"/>
                <w:color w:val="111111"/>
                <w:sz w:val="17"/>
              </w:rPr>
              <w:t>Velocity, detachment rate, run length, ATP cost, and stall force</w:t>
            </w:r>
          </w:p>
        </w:tc>
      </w:tr>
    </w:tbl>
    <w:p>
      <w:pPr>
        <w:spacing w:after="20"/>
      </w:pPr>
    </w:p>
    <w:p>
      <w:pPr>
        <w:jc w:val="both"/>
      </w:pPr>
      <w:r>
        <w:rPr>
          <w:rFonts w:ascii="Arial" w:hAnsi="Arial" w:eastAsia="Arial"/>
          <w:b w:val="0"/>
          <w:i w:val="0"/>
          <w:color w:val="111111"/>
          <w:sz w:val="20"/>
        </w:rPr>
        <w:t>Under the WRRA fixed-present condition, the machine does not keep a separate abstract memory of its history. Information required for the next action must be physically encoded now: ATP or ADP occupancy, which head is bound, and the strain transmitted between the two heads.</w:t>
      </w:r>
    </w:p>
    <w:p>
      <w:pPr>
        <w:pStyle w:val="Heading2"/>
      </w:pPr>
      <w:r>
        <w:t>2.2 Minimal survival contract</w:t>
      </w:r>
    </w:p>
    <w:p>
      <w:pPr>
        <w:jc w:val="both"/>
      </w:pPr>
      <w:r>
        <w:rPr>
          <w:rFonts w:ascii="Arial" w:hAnsi="Arial" w:eastAsia="Arial"/>
          <w:b w:val="0"/>
          <w:i w:val="0"/>
          <w:color w:val="111111"/>
          <w:sz w:val="20"/>
        </w:rPr>
        <w:t>The strict walking contract Vstrict(M)=1 requires positive expected displacement per cycle, at least one track contact during exchange, finite energetic and structural cost, and a next-step decision determined by the present state. A single-contact Brownian ratchet that fully detaches and rebinds with bias belongs to a separate relaxed contract Vrelaxed. Therefore, two contacts are not claimed as a universal minimum of nature; they are conditionally minimal under the declared strict contract.</w:t>
      </w:r>
    </w:p>
    <w:p>
      <w:pPr>
        <w:spacing w:before="100" w:after="140"/>
        <w:jc w:val="center"/>
      </w:pPr>
      <w:r>
        <w:rPr>
          <w:rFonts w:ascii="Cambria Math" w:hAnsi="Cambria Math" w:eastAsia="Cambria Math"/>
          <w:b w:val="0"/>
          <w:i w:val="0"/>
          <w:color w:val="16324F"/>
          <w:sz w:val="23"/>
        </w:rPr>
        <w:t>Vstrict(M) = 1</w:t>
      </w:r>
    </w:p>
    <w:p>
      <w:pPr>
        <w:pStyle w:val="Heading2"/>
      </w:pPr>
      <w:r>
        <w:t>2.3 Conditions for directionality</w:t>
      </w:r>
    </w:p>
    <w:p>
      <w:pPr>
        <w:spacing w:before="100" w:after="140"/>
        <w:jc w:val="center"/>
      </w:pPr>
      <w:r>
        <w:rPr>
          <w:rFonts w:ascii="Cambria Math" w:hAnsi="Cambria Math" w:eastAsia="Cambria Math"/>
          <w:b w:val="0"/>
          <w:i w:val="0"/>
          <w:color w:val="16324F"/>
          <w:sz w:val="23"/>
        </w:rPr>
        <w:t>k+ / k- = exp(A),     A = (Delta mu - Wload) / (kBT)</w:t>
      </w:r>
    </w:p>
    <w:p>
      <w:pPr>
        <w:spacing w:before="100" w:after="140"/>
        <w:jc w:val="center"/>
      </w:pPr>
      <w:r>
        <w:rPr>
          <w:rFonts w:ascii="Cambria Math" w:hAnsi="Cambria Math" w:eastAsia="Cambria Math"/>
          <w:b w:val="0"/>
          <w:i w:val="0"/>
          <w:color w:val="16324F"/>
          <w:sz w:val="23"/>
        </w:rPr>
        <w:t>p+ = 1 / (1 + exp(-A)),     &lt;Delta x&gt; = d tanh(A/2)</w:t>
      </w:r>
    </w:p>
    <w:p>
      <w:pPr>
        <w:jc w:val="both"/>
      </w:pPr>
      <w:r>
        <w:rPr>
          <w:rFonts w:ascii="Arial" w:hAnsi="Arial" w:eastAsia="Arial"/>
          <w:b w:val="0"/>
          <w:i w:val="0"/>
          <w:color w:val="111111"/>
          <w:sz w:val="20"/>
        </w:rPr>
        <w:t>If there is no energy drive, or if energy is not coupled to spatial and structural asymmetry, then A=0 and the mean displacement is zero. ATP alone does not specify direction. Microtubule polarity and asymmetric protein mechanics must convert chemical free energy into a biased transition cycle.</w:t>
      </w:r>
    </w:p>
    <w:p>
      <w:pPr>
        <w:pStyle w:val="Heading1"/>
      </w:pPr>
      <w:r>
        <w:t>3. Derivation of the Minimal Architecture</w:t>
      </w:r>
    </w:p>
    <w:p>
      <w:pPr>
        <w:pStyle w:val="Heading2"/>
      </w:pPr>
      <w:r>
        <w:t>3.1 Conditional minimality of two contacts</w:t>
      </w:r>
    </w:p>
    <w:p>
      <w:pPr>
        <w:jc w:val="both"/>
      </w:pPr>
      <w:r>
        <w:rPr>
          <w:rFonts w:ascii="Arial" w:hAnsi="Arial" w:eastAsia="Arial"/>
          <w:b w:val="0"/>
          <w:i w:val="0"/>
          <w:color w:val="111111"/>
          <w:sz w:val="20"/>
        </w:rPr>
        <w:t>On a discrete track, a single point contact moving from site i to site i+1 necessarily passes through an interval with zero contacts. It cannot satisfy strict continuous attachment. With two contacts, one may remain as an anchor while the other explores the next site.</w:t>
      </w:r>
    </w:p>
    <w:p>
      <w:pPr>
        <w:spacing w:before="100" w:after="140"/>
        <w:jc w:val="center"/>
      </w:pPr>
      <w:r>
        <w:rPr>
          <w:rFonts w:ascii="Cambria Math" w:hAnsi="Cambria Math" w:eastAsia="Cambria Math"/>
          <w:b w:val="0"/>
          <w:i w:val="0"/>
          <w:color w:val="16324F"/>
          <w:sz w:val="23"/>
        </w:rPr>
        <w:t>S0(i,i+1) -&gt; S1(empty,i+1) -&gt; S2(i+1,i+2) -&gt; S0(i+1,i+2)</w:t>
      </w:r>
    </w:p>
    <w:p>
      <w:pPr>
        <w:jc w:val="both"/>
      </w:pPr>
      <w:r>
        <w:rPr>
          <w:rFonts w:ascii="Arial" w:hAnsi="Arial" w:eastAsia="Arial"/>
          <w:b w:val="0"/>
          <w:i w:val="0"/>
          <w:color w:val="111111"/>
          <w:sz w:val="20"/>
        </w:rPr>
        <w:t>An exhaustive model-level survey of 64 functional architectures combined one to four contacts with four binary conditions: energy drive, polarity coupling, present-state record, and inter-contact coordination. Among strict-contract survivors with two, three, or four contacts, the unique Pareto minimum under C(M)=(contact count, control count, drive count) was the coordinated two-contact architecture.</w:t>
      </w:r>
    </w:p>
    <w:p>
      <w:pPr>
        <w:spacing w:before="100" w:after="140"/>
        <w:jc w:val="center"/>
      </w:pPr>
      <w:r>
        <w:rPr>
          <w:rFonts w:ascii="Cambria Math" w:hAnsi="Cambria Math" w:eastAsia="Cambria Math"/>
          <w:b w:val="0"/>
          <w:i w:val="0"/>
          <w:color w:val="16324F"/>
          <w:sz w:val="23"/>
        </w:rPr>
        <w:t>M* = (2 contacts, drive, polarity, present record, coordination)</w:t>
      </w:r>
    </w:p>
    <w:p>
      <w:pPr>
        <w:pStyle w:val="Heading2"/>
      </w:pPr>
      <w:r>
        <w:t>3.2 Robustness and redundancy</w:t>
      </w:r>
    </w:p>
    <w:p>
      <w:pPr>
        <w:jc w:val="both"/>
      </w:pPr>
      <w:r>
        <w:rPr>
          <w:rFonts w:ascii="Arial" w:hAnsi="Arial" w:eastAsia="Arial"/>
          <w:b w:val="0"/>
          <w:i w:val="0"/>
          <w:color w:val="111111"/>
          <w:sz w:val="20"/>
        </w:rPr>
        <w:t>For a structural sensitivity model, let q be the probability that one contact is lost during an exchange window, and suppose complete detachment of an n-contact architecture requires independent simultaneous loss. Survival over N cycles is then:</w:t>
      </w:r>
    </w:p>
    <w:p>
      <w:pPr>
        <w:spacing w:before="100" w:after="140"/>
        <w:jc w:val="center"/>
      </w:pPr>
      <w:r>
        <w:rPr>
          <w:rFonts w:ascii="Cambria Math" w:hAnsi="Cambria Math" w:eastAsia="Cambria Math"/>
          <w:b w:val="0"/>
          <w:i w:val="0"/>
          <w:color w:val="16324F"/>
          <w:sz w:val="23"/>
        </w:rPr>
        <w:t>Psurvive(N;n,q) = (1 - q^n)^N</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00"/>
        <w:gridCol w:w="2587"/>
        <w:gridCol w:w="2587"/>
        <w:gridCol w:w="2586"/>
      </w:tblGrid>
      <w:tr>
        <w:trPr>
          <w:tblHeader w:val="true"/>
          <w:cantSplit w:val="true"/>
        </w:trPr>
        <w:tc>
          <w:tcPr>
            <w:tcW w:type="dxa" w:w="1600"/>
            <w:shd w:fill="E8EEF5"/>
            <w:tcMar>
              <w:top w:w="80" w:type="dxa"/>
              <w:start w:w="120" w:type="dxa"/>
              <w:bottom w:w="80" w:type="dxa"/>
              <w:end w:w="120" w:type="dxa"/>
            </w:tcMar>
            <w:vAlign w:val="center"/>
          </w:tcPr>
          <w:p>
            <w:pPr>
              <w:jc w:val="center"/>
            </w:pPr>
            <w:r>
              <w:rPr>
                <w:rFonts w:ascii="Arial" w:hAnsi="Arial" w:eastAsia="Arial"/>
                <w:b/>
                <w:i w:val="0"/>
                <w:color w:val="16324F"/>
                <w:sz w:val="17"/>
              </w:rPr>
              <w:t>Contacts n</w:t>
            </w:r>
          </w:p>
        </w:tc>
        <w:tc>
          <w:tcPr>
            <w:tcW w:type="dxa" w:w="2587"/>
            <w:shd w:fill="E8EEF5"/>
            <w:tcMar>
              <w:top w:w="80" w:type="dxa"/>
              <w:start w:w="120" w:type="dxa"/>
              <w:bottom w:w="80" w:type="dxa"/>
              <w:end w:w="120" w:type="dxa"/>
            </w:tcMar>
            <w:vAlign w:val="center"/>
          </w:tcPr>
          <w:p>
            <w:pPr>
              <w:jc w:val="center"/>
            </w:pPr>
            <w:r>
              <w:rPr>
                <w:rFonts w:ascii="Arial" w:hAnsi="Arial" w:eastAsia="Arial"/>
                <w:b/>
                <w:i w:val="0"/>
                <w:color w:val="16324F"/>
                <w:sz w:val="17"/>
              </w:rPr>
              <w:t>q=0.01</w:t>
            </w:r>
          </w:p>
        </w:tc>
        <w:tc>
          <w:tcPr>
            <w:tcW w:type="dxa" w:w="2587"/>
            <w:shd w:fill="E8EEF5"/>
            <w:tcMar>
              <w:top w:w="80" w:type="dxa"/>
              <w:start w:w="120" w:type="dxa"/>
              <w:bottom w:w="80" w:type="dxa"/>
              <w:end w:w="120" w:type="dxa"/>
            </w:tcMar>
            <w:vAlign w:val="center"/>
          </w:tcPr>
          <w:p>
            <w:pPr>
              <w:jc w:val="center"/>
            </w:pPr>
            <w:r>
              <w:rPr>
                <w:rFonts w:ascii="Arial" w:hAnsi="Arial" w:eastAsia="Arial"/>
                <w:b/>
                <w:i w:val="0"/>
                <w:color w:val="16324F"/>
                <w:sz w:val="17"/>
              </w:rPr>
              <w:t>q=0.05</w:t>
            </w:r>
          </w:p>
        </w:tc>
        <w:tc>
          <w:tcPr>
            <w:tcW w:type="dxa" w:w="2586"/>
            <w:shd w:fill="E8EEF5"/>
            <w:tcMar>
              <w:top w:w="80" w:type="dxa"/>
              <w:start w:w="120" w:type="dxa"/>
              <w:bottom w:w="80" w:type="dxa"/>
              <w:end w:w="120" w:type="dxa"/>
            </w:tcMar>
            <w:vAlign w:val="center"/>
          </w:tcPr>
          <w:p>
            <w:pPr>
              <w:jc w:val="center"/>
            </w:pPr>
            <w:r>
              <w:rPr>
                <w:rFonts w:ascii="Arial" w:hAnsi="Arial" w:eastAsia="Arial"/>
                <w:b/>
                <w:i w:val="0"/>
                <w:color w:val="16324F"/>
                <w:sz w:val="17"/>
              </w:rPr>
              <w:t>q=0.10</w:t>
            </w:r>
          </w:p>
        </w:tc>
      </w:tr>
      <w:tr>
        <w:trPr>
          <w:cantSplit w:val="true"/>
        </w:trPr>
        <w:tc>
          <w:tcPr>
            <w:tcW w:type="dxa" w:w="1600"/>
            <w:tcMar>
              <w:top w:w="80" w:type="dxa"/>
              <w:start w:w="120" w:type="dxa"/>
              <w:bottom w:w="80" w:type="dxa"/>
              <w:end w:w="120" w:type="dxa"/>
            </w:tcMar>
            <w:vAlign w:val="center"/>
          </w:tcPr>
          <w:p>
            <w:pPr>
              <w:jc w:val="center"/>
            </w:pPr>
            <w:r>
              <w:rPr>
                <w:rFonts w:ascii="Arial" w:hAnsi="Arial" w:eastAsia="Arial"/>
                <w:b w:val="0"/>
                <w:i w:val="0"/>
                <w:color w:val="111111"/>
                <w:sz w:val="17"/>
              </w:rPr>
              <w:t>1</w:t>
            </w:r>
          </w:p>
        </w:tc>
        <w:tc>
          <w:tcPr>
            <w:tcW w:type="dxa" w:w="2587"/>
            <w:tcMar>
              <w:top w:w="80" w:type="dxa"/>
              <w:start w:w="120" w:type="dxa"/>
              <w:bottom w:w="80" w:type="dxa"/>
              <w:end w:w="120" w:type="dxa"/>
            </w:tcMar>
            <w:vAlign w:val="center"/>
          </w:tcPr>
          <w:p>
            <w:pPr>
              <w:jc w:val="center"/>
            </w:pPr>
            <w:r>
              <w:rPr>
                <w:rFonts w:ascii="Arial" w:hAnsi="Arial" w:eastAsia="Arial"/>
                <w:b w:val="0"/>
                <w:i w:val="0"/>
                <w:color w:val="111111"/>
                <w:sz w:val="17"/>
              </w:rPr>
              <w:t>0.3660</w:t>
            </w:r>
          </w:p>
        </w:tc>
        <w:tc>
          <w:tcPr>
            <w:tcW w:type="dxa" w:w="2587"/>
            <w:tcMar>
              <w:top w:w="80" w:type="dxa"/>
              <w:start w:w="120" w:type="dxa"/>
              <w:bottom w:w="80" w:type="dxa"/>
              <w:end w:w="120" w:type="dxa"/>
            </w:tcMar>
            <w:vAlign w:val="center"/>
          </w:tcPr>
          <w:p>
            <w:pPr>
              <w:jc w:val="center"/>
            </w:pPr>
            <w:r>
              <w:rPr>
                <w:rFonts w:ascii="Arial" w:hAnsi="Arial" w:eastAsia="Arial"/>
                <w:b w:val="0"/>
                <w:i w:val="0"/>
                <w:color w:val="111111"/>
                <w:sz w:val="17"/>
              </w:rPr>
              <w:t>0.0059</w:t>
            </w:r>
          </w:p>
        </w:tc>
        <w:tc>
          <w:tcPr>
            <w:tcW w:type="dxa" w:w="2586"/>
            <w:tcMar>
              <w:top w:w="80" w:type="dxa"/>
              <w:start w:w="120" w:type="dxa"/>
              <w:bottom w:w="80" w:type="dxa"/>
              <w:end w:w="120" w:type="dxa"/>
            </w:tcMar>
            <w:vAlign w:val="center"/>
          </w:tcPr>
          <w:p>
            <w:pPr>
              <w:jc w:val="center"/>
            </w:pPr>
            <w:r>
              <w:rPr>
                <w:rFonts w:ascii="Arial" w:hAnsi="Arial" w:eastAsia="Arial"/>
                <w:b w:val="0"/>
                <w:i w:val="0"/>
                <w:color w:val="111111"/>
                <w:sz w:val="17"/>
              </w:rPr>
              <w:t>0.0000266</w:t>
            </w:r>
          </w:p>
        </w:tc>
      </w:tr>
      <w:tr>
        <w:trPr>
          <w:cantSplit w:val="true"/>
        </w:trPr>
        <w:tc>
          <w:tcPr>
            <w:tcW w:type="dxa" w:w="1600"/>
            <w:tcMar>
              <w:top w:w="80" w:type="dxa"/>
              <w:start w:w="120" w:type="dxa"/>
              <w:bottom w:w="80" w:type="dxa"/>
              <w:end w:w="120" w:type="dxa"/>
            </w:tcMar>
            <w:vAlign w:val="center"/>
          </w:tcPr>
          <w:p>
            <w:pPr>
              <w:jc w:val="center"/>
            </w:pPr>
            <w:r>
              <w:rPr>
                <w:rFonts w:ascii="Arial" w:hAnsi="Arial" w:eastAsia="Arial"/>
                <w:b w:val="0"/>
                <w:i w:val="0"/>
                <w:color w:val="111111"/>
                <w:sz w:val="17"/>
              </w:rPr>
              <w:t>2</w:t>
            </w:r>
          </w:p>
        </w:tc>
        <w:tc>
          <w:tcPr>
            <w:tcW w:type="dxa" w:w="2587"/>
            <w:tcMar>
              <w:top w:w="80" w:type="dxa"/>
              <w:start w:w="120" w:type="dxa"/>
              <w:bottom w:w="80" w:type="dxa"/>
              <w:end w:w="120" w:type="dxa"/>
            </w:tcMar>
            <w:vAlign w:val="center"/>
          </w:tcPr>
          <w:p>
            <w:pPr>
              <w:jc w:val="center"/>
            </w:pPr>
            <w:r>
              <w:rPr>
                <w:rFonts w:ascii="Arial" w:hAnsi="Arial" w:eastAsia="Arial"/>
                <w:b w:val="0"/>
                <w:i w:val="0"/>
                <w:color w:val="111111"/>
                <w:sz w:val="17"/>
              </w:rPr>
              <w:t>0.9900</w:t>
            </w:r>
          </w:p>
        </w:tc>
        <w:tc>
          <w:tcPr>
            <w:tcW w:type="dxa" w:w="2587"/>
            <w:tcMar>
              <w:top w:w="80" w:type="dxa"/>
              <w:start w:w="120" w:type="dxa"/>
              <w:bottom w:w="80" w:type="dxa"/>
              <w:end w:w="120" w:type="dxa"/>
            </w:tcMar>
            <w:vAlign w:val="center"/>
          </w:tcPr>
          <w:p>
            <w:pPr>
              <w:jc w:val="center"/>
            </w:pPr>
            <w:r>
              <w:rPr>
                <w:rFonts w:ascii="Arial" w:hAnsi="Arial" w:eastAsia="Arial"/>
                <w:b w:val="0"/>
                <w:i w:val="0"/>
                <w:color w:val="111111"/>
                <w:sz w:val="17"/>
              </w:rPr>
              <w:t>0.7786</w:t>
            </w:r>
          </w:p>
        </w:tc>
        <w:tc>
          <w:tcPr>
            <w:tcW w:type="dxa" w:w="2586"/>
            <w:tcMar>
              <w:top w:w="80" w:type="dxa"/>
              <w:start w:w="120" w:type="dxa"/>
              <w:bottom w:w="80" w:type="dxa"/>
              <w:end w:w="120" w:type="dxa"/>
            </w:tcMar>
            <w:vAlign w:val="center"/>
          </w:tcPr>
          <w:p>
            <w:pPr>
              <w:jc w:val="center"/>
            </w:pPr>
            <w:r>
              <w:rPr>
                <w:rFonts w:ascii="Arial" w:hAnsi="Arial" w:eastAsia="Arial"/>
                <w:b w:val="0"/>
                <w:i w:val="0"/>
                <w:color w:val="111111"/>
                <w:sz w:val="17"/>
              </w:rPr>
              <w:t>0.3660</w:t>
            </w:r>
          </w:p>
        </w:tc>
      </w:tr>
      <w:tr>
        <w:trPr>
          <w:cantSplit w:val="true"/>
        </w:trPr>
        <w:tc>
          <w:tcPr>
            <w:tcW w:type="dxa" w:w="1600"/>
            <w:tcMar>
              <w:top w:w="80" w:type="dxa"/>
              <w:start w:w="120" w:type="dxa"/>
              <w:bottom w:w="80" w:type="dxa"/>
              <w:end w:w="120" w:type="dxa"/>
            </w:tcMar>
            <w:vAlign w:val="center"/>
          </w:tcPr>
          <w:p>
            <w:pPr>
              <w:jc w:val="center"/>
            </w:pPr>
            <w:r>
              <w:rPr>
                <w:rFonts w:ascii="Arial" w:hAnsi="Arial" w:eastAsia="Arial"/>
                <w:b w:val="0"/>
                <w:i w:val="0"/>
                <w:color w:val="111111"/>
                <w:sz w:val="17"/>
              </w:rPr>
              <w:t>3</w:t>
            </w:r>
          </w:p>
        </w:tc>
        <w:tc>
          <w:tcPr>
            <w:tcW w:type="dxa" w:w="2587"/>
            <w:tcMar>
              <w:top w:w="80" w:type="dxa"/>
              <w:start w:w="120" w:type="dxa"/>
              <w:bottom w:w="80" w:type="dxa"/>
              <w:end w:w="120" w:type="dxa"/>
            </w:tcMar>
            <w:vAlign w:val="center"/>
          </w:tcPr>
          <w:p>
            <w:pPr>
              <w:jc w:val="center"/>
            </w:pPr>
            <w:r>
              <w:rPr>
                <w:rFonts w:ascii="Arial" w:hAnsi="Arial" w:eastAsia="Arial"/>
                <w:b w:val="0"/>
                <w:i w:val="0"/>
                <w:color w:val="111111"/>
                <w:sz w:val="17"/>
              </w:rPr>
              <w:t>0.9999</w:t>
            </w:r>
          </w:p>
        </w:tc>
        <w:tc>
          <w:tcPr>
            <w:tcW w:type="dxa" w:w="2587"/>
            <w:tcMar>
              <w:top w:w="80" w:type="dxa"/>
              <w:start w:w="120" w:type="dxa"/>
              <w:bottom w:w="80" w:type="dxa"/>
              <w:end w:w="120" w:type="dxa"/>
            </w:tcMar>
            <w:vAlign w:val="center"/>
          </w:tcPr>
          <w:p>
            <w:pPr>
              <w:jc w:val="center"/>
            </w:pPr>
            <w:r>
              <w:rPr>
                <w:rFonts w:ascii="Arial" w:hAnsi="Arial" w:eastAsia="Arial"/>
                <w:b w:val="0"/>
                <w:i w:val="0"/>
                <w:color w:val="111111"/>
                <w:sz w:val="17"/>
              </w:rPr>
              <w:t>0.9876</w:t>
            </w:r>
          </w:p>
        </w:tc>
        <w:tc>
          <w:tcPr>
            <w:tcW w:type="dxa" w:w="2586"/>
            <w:tcMar>
              <w:top w:w="80" w:type="dxa"/>
              <w:start w:w="120" w:type="dxa"/>
              <w:bottom w:w="80" w:type="dxa"/>
              <w:end w:w="120" w:type="dxa"/>
            </w:tcMar>
            <w:vAlign w:val="center"/>
          </w:tcPr>
          <w:p>
            <w:pPr>
              <w:jc w:val="center"/>
            </w:pPr>
            <w:r>
              <w:rPr>
                <w:rFonts w:ascii="Arial" w:hAnsi="Arial" w:eastAsia="Arial"/>
                <w:b w:val="0"/>
                <w:i w:val="0"/>
                <w:color w:val="111111"/>
                <w:sz w:val="17"/>
              </w:rPr>
              <w:t>0.9048</w:t>
            </w:r>
          </w:p>
        </w:tc>
      </w:tr>
      <w:tr>
        <w:trPr>
          <w:cantSplit w:val="true"/>
        </w:trPr>
        <w:tc>
          <w:tcPr>
            <w:tcW w:type="dxa" w:w="1600"/>
            <w:tcMar>
              <w:top w:w="80" w:type="dxa"/>
              <w:start w:w="120" w:type="dxa"/>
              <w:bottom w:w="80" w:type="dxa"/>
              <w:end w:w="120" w:type="dxa"/>
            </w:tcMar>
            <w:vAlign w:val="center"/>
          </w:tcPr>
          <w:p>
            <w:pPr>
              <w:jc w:val="center"/>
            </w:pPr>
            <w:r>
              <w:rPr>
                <w:rFonts w:ascii="Arial" w:hAnsi="Arial" w:eastAsia="Arial"/>
                <w:b w:val="0"/>
                <w:i w:val="0"/>
                <w:color w:val="111111"/>
                <w:sz w:val="17"/>
              </w:rPr>
              <w:t>4</w:t>
            </w:r>
          </w:p>
        </w:tc>
        <w:tc>
          <w:tcPr>
            <w:tcW w:type="dxa" w:w="2587"/>
            <w:tcMar>
              <w:top w:w="80" w:type="dxa"/>
              <w:start w:w="120" w:type="dxa"/>
              <w:bottom w:w="80" w:type="dxa"/>
              <w:end w:w="120" w:type="dxa"/>
            </w:tcMar>
            <w:vAlign w:val="center"/>
          </w:tcPr>
          <w:p>
            <w:pPr>
              <w:jc w:val="center"/>
            </w:pPr>
            <w:r>
              <w:rPr>
                <w:rFonts w:ascii="Arial" w:hAnsi="Arial" w:eastAsia="Arial"/>
                <w:b w:val="0"/>
                <w:i w:val="0"/>
                <w:color w:val="111111"/>
                <w:sz w:val="17"/>
              </w:rPr>
              <w:t>0.999999</w:t>
            </w:r>
          </w:p>
        </w:tc>
        <w:tc>
          <w:tcPr>
            <w:tcW w:type="dxa" w:w="2587"/>
            <w:tcMar>
              <w:top w:w="80" w:type="dxa"/>
              <w:start w:w="120" w:type="dxa"/>
              <w:bottom w:w="80" w:type="dxa"/>
              <w:end w:w="120" w:type="dxa"/>
            </w:tcMar>
            <w:vAlign w:val="center"/>
          </w:tcPr>
          <w:p>
            <w:pPr>
              <w:jc w:val="center"/>
            </w:pPr>
            <w:r>
              <w:rPr>
                <w:rFonts w:ascii="Arial" w:hAnsi="Arial" w:eastAsia="Arial"/>
                <w:b w:val="0"/>
                <w:i w:val="0"/>
                <w:color w:val="111111"/>
                <w:sz w:val="17"/>
              </w:rPr>
              <w:t>0.9994</w:t>
            </w:r>
          </w:p>
        </w:tc>
        <w:tc>
          <w:tcPr>
            <w:tcW w:type="dxa" w:w="2586"/>
            <w:tcMar>
              <w:top w:w="80" w:type="dxa"/>
              <w:start w:w="120" w:type="dxa"/>
              <w:bottom w:w="80" w:type="dxa"/>
              <w:end w:w="120" w:type="dxa"/>
            </w:tcMar>
            <w:vAlign w:val="center"/>
          </w:tcPr>
          <w:p>
            <w:pPr>
              <w:jc w:val="center"/>
            </w:pPr>
            <w:r>
              <w:rPr>
                <w:rFonts w:ascii="Arial" w:hAnsi="Arial" w:eastAsia="Arial"/>
                <w:b w:val="0"/>
                <w:i w:val="0"/>
                <w:color w:val="111111"/>
                <w:sz w:val="17"/>
              </w:rPr>
              <w:t>0.9900</w:t>
            </w:r>
          </w:p>
        </w:tc>
      </w:tr>
    </w:tbl>
    <w:p>
      <w:pPr>
        <w:spacing w:after="20"/>
      </w:pPr>
    </w:p>
    <w:p>
      <w:pPr>
        <w:jc w:val="both"/>
      </w:pPr>
      <w:r>
        <w:rPr>
          <w:rFonts w:ascii="Arial" w:hAnsi="Arial" w:eastAsia="Arial"/>
          <w:b w:val="0"/>
          <w:i w:val="0"/>
          <w:color w:val="111111"/>
          <w:sz w:val="20"/>
        </w:rPr>
        <w:t>These values are not a fit to kinesin kinetics. They show how redundancy broadens the survival range as the boundary becomes harsher. In WRRA terms, extra contacts are not automatically waste; they are a cost paid for robustness under degraded conditions.</w:t>
      </w:r>
    </w:p>
    <w:p>
      <w:pPr>
        <w:pStyle w:val="Heading2"/>
      </w:pPr>
      <w:r>
        <w:t>3.3 Ideal energy-load bound</w:t>
      </w:r>
    </w:p>
    <w:p>
      <w:pPr>
        <w:spacing w:before="100" w:after="140"/>
        <w:jc w:val="center"/>
      </w:pPr>
      <w:r>
        <w:rPr>
          <w:rFonts w:ascii="Cambria Math" w:hAnsi="Cambria Math" w:eastAsia="Cambria Math"/>
          <w:b w:val="0"/>
          <w:i w:val="0"/>
          <w:color w:val="16324F"/>
          <w:sz w:val="23"/>
        </w:rPr>
        <w:t>F d &lt; Delta mu,     Fmax,ideal = Delta mu / d</w:t>
      </w:r>
    </w:p>
    <w:p>
      <w:pPr>
        <w:jc w:val="both"/>
      </w:pPr>
      <w:r>
        <w:rPr>
          <w:rFonts w:ascii="Arial" w:hAnsi="Arial" w:eastAsia="Arial"/>
          <w:b w:val="0"/>
          <w:i w:val="0"/>
          <w:color w:val="111111"/>
          <w:sz w:val="20"/>
        </w:rPr>
        <w:t>Using approximately 20 kBT per ATP at 310 K and an 8-nm step gives an ideal lossless upper bound of about 10.7 pN. This is not a prediction of H2 stall force. It is a thermodynamic ceiling under the stated energy accounting.</w:t>
      </w:r>
    </w:p>
    <w:p>
      <w:pPr>
        <w:pStyle w:val="Heading1"/>
      </w:pPr>
      <w:r>
        <w:t>4. Post Hoc Comparison with Natural Kinesin</w:t>
      </w:r>
    </w:p>
    <w:p>
      <w:pPr>
        <w:jc w:val="both"/>
      </w:pPr>
      <w:r>
        <w:rPr>
          <w:rFonts w:ascii="Arial" w:hAnsi="Arial" w:eastAsia="Arial"/>
          <w:b w:val="0"/>
          <w:i w:val="0"/>
          <w:color w:val="111111"/>
          <w:sz w:val="20"/>
        </w:rPr>
        <w:t>After fixing the WRRA minimum, comparison with kinesin-1 reveals a direct functional correspondence. The two motor heads provide alternating contacts. The ATPase cycle provides non-equilibrium drive. The microtubule supplies track polarity. Nucleotide occupancy and neck-linker strain encode the present state. Mechanical coupling between the heads biases the order of binding and release.</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3300"/>
        <w:gridCol w:w="3560"/>
      </w:tblGrid>
      <w:tr>
        <w:trPr>
          <w:tblHeader w:val="true"/>
          <w:cantSplit w:val="true"/>
        </w:trPr>
        <w:tc>
          <w:tcPr>
            <w:tcW w:type="dxa" w:w="2500"/>
            <w:shd w:fill="E8EEF5"/>
            <w:tcMar>
              <w:top w:w="80" w:type="dxa"/>
              <w:start w:w="120" w:type="dxa"/>
              <w:bottom w:w="80" w:type="dxa"/>
              <w:end w:w="120" w:type="dxa"/>
            </w:tcMar>
            <w:vAlign w:val="center"/>
          </w:tcPr>
          <w:p>
            <w:pPr>
              <w:jc w:val="center"/>
            </w:pPr>
            <w:r>
              <w:rPr>
                <w:rFonts w:ascii="Arial" w:hAnsi="Arial" w:eastAsia="Arial"/>
                <w:b/>
                <w:i w:val="0"/>
                <w:color w:val="16324F"/>
                <w:sz w:val="17"/>
              </w:rPr>
              <w:t>WRRA requirement</w:t>
            </w:r>
          </w:p>
        </w:tc>
        <w:tc>
          <w:tcPr>
            <w:tcW w:type="dxa" w:w="3300"/>
            <w:shd w:fill="E8EEF5"/>
            <w:tcMar>
              <w:top w:w="80" w:type="dxa"/>
              <w:start w:w="120" w:type="dxa"/>
              <w:bottom w:w="80" w:type="dxa"/>
              <w:end w:w="120" w:type="dxa"/>
            </w:tcMar>
            <w:vAlign w:val="center"/>
          </w:tcPr>
          <w:p>
            <w:pPr>
              <w:jc w:val="center"/>
            </w:pPr>
            <w:r>
              <w:rPr>
                <w:rFonts w:ascii="Arial" w:hAnsi="Arial" w:eastAsia="Arial"/>
                <w:b/>
                <w:i w:val="0"/>
                <w:color w:val="16324F"/>
                <w:sz w:val="17"/>
              </w:rPr>
              <w:t>Natural kinesin analogue</w:t>
            </w:r>
          </w:p>
        </w:tc>
        <w:tc>
          <w:tcPr>
            <w:tcW w:type="dxa" w:w="3560"/>
            <w:shd w:fill="E8EEF5"/>
            <w:tcMar>
              <w:top w:w="80" w:type="dxa"/>
              <w:start w:w="120" w:type="dxa"/>
              <w:bottom w:w="80" w:type="dxa"/>
              <w:end w:w="120" w:type="dxa"/>
            </w:tcMar>
            <w:vAlign w:val="center"/>
          </w:tcPr>
          <w:p>
            <w:pPr>
              <w:jc w:val="center"/>
            </w:pPr>
            <w:r>
              <w:rPr>
                <w:rFonts w:ascii="Arial" w:hAnsi="Arial" w:eastAsia="Arial"/>
                <w:b/>
                <w:i w:val="0"/>
                <w:color w:val="16324F"/>
                <w:sz w:val="17"/>
              </w:rPr>
              <w:t>H2 implementation</w:t>
            </w:r>
          </w:p>
        </w:tc>
      </w:tr>
      <w:tr>
        <w:trPr>
          <w:cantSplit w:val="true"/>
        </w:trPr>
        <w:tc>
          <w:tcPr>
            <w:tcW w:type="dxa" w:w="2500"/>
            <w:tcMar>
              <w:top w:w="80" w:type="dxa"/>
              <w:start w:w="120" w:type="dxa"/>
              <w:bottom w:w="80" w:type="dxa"/>
              <w:end w:w="120" w:type="dxa"/>
            </w:tcMar>
            <w:vAlign w:val="center"/>
          </w:tcPr>
          <w:p>
            <w:pPr>
              <w:jc w:val="left"/>
            </w:pPr>
            <w:r>
              <w:rPr>
                <w:rFonts w:ascii="Arial" w:hAnsi="Arial" w:eastAsia="Arial"/>
                <w:b w:val="0"/>
                <w:i w:val="0"/>
                <w:color w:val="111111"/>
                <w:sz w:val="17"/>
              </w:rPr>
              <w:t>Two contacts</w:t>
            </w:r>
          </w:p>
        </w:tc>
        <w:tc>
          <w:tcPr>
            <w:tcW w:type="dxa" w:w="3300"/>
            <w:tcMar>
              <w:top w:w="80" w:type="dxa"/>
              <w:start w:w="120" w:type="dxa"/>
              <w:bottom w:w="80" w:type="dxa"/>
              <w:end w:w="120" w:type="dxa"/>
            </w:tcMar>
            <w:vAlign w:val="center"/>
          </w:tcPr>
          <w:p>
            <w:pPr>
              <w:jc w:val="left"/>
            </w:pPr>
            <w:r>
              <w:rPr>
                <w:rFonts w:ascii="Arial" w:hAnsi="Arial" w:eastAsia="Arial"/>
                <w:b w:val="0"/>
                <w:i w:val="0"/>
                <w:color w:val="111111"/>
                <w:sz w:val="17"/>
              </w:rPr>
              <w:t>Two kinesin motor heads</w:t>
            </w:r>
          </w:p>
        </w:tc>
        <w:tc>
          <w:tcPr>
            <w:tcW w:type="dxa" w:w="3560"/>
            <w:tcMar>
              <w:top w:w="80" w:type="dxa"/>
              <w:start w:w="120" w:type="dxa"/>
              <w:bottom w:w="80" w:type="dxa"/>
              <w:end w:w="120" w:type="dxa"/>
            </w:tcMar>
            <w:vAlign w:val="center"/>
          </w:tcPr>
          <w:p>
            <w:pPr>
              <w:jc w:val="left"/>
            </w:pPr>
            <w:r>
              <w:rPr>
                <w:rFonts w:ascii="Arial" w:hAnsi="Arial" w:eastAsia="Arial"/>
                <w:b w:val="0"/>
                <w:i w:val="0"/>
                <w:color w:val="111111"/>
                <w:sz w:val="17"/>
              </w:rPr>
              <w:t>Two copies of KIF5B 1-353</w:t>
            </w:r>
          </w:p>
        </w:tc>
      </w:tr>
      <w:tr>
        <w:trPr>
          <w:cantSplit w:val="true"/>
        </w:trPr>
        <w:tc>
          <w:tcPr>
            <w:tcW w:type="dxa" w:w="2500"/>
            <w:tcMar>
              <w:top w:w="80" w:type="dxa"/>
              <w:start w:w="120" w:type="dxa"/>
              <w:bottom w:w="80" w:type="dxa"/>
              <w:end w:w="120" w:type="dxa"/>
            </w:tcMar>
            <w:vAlign w:val="center"/>
          </w:tcPr>
          <w:p>
            <w:pPr>
              <w:jc w:val="left"/>
            </w:pPr>
            <w:r>
              <w:rPr>
                <w:rFonts w:ascii="Arial" w:hAnsi="Arial" w:eastAsia="Arial"/>
                <w:b w:val="0"/>
                <w:i w:val="0"/>
                <w:color w:val="111111"/>
                <w:sz w:val="17"/>
              </w:rPr>
              <w:t>Energy drive</w:t>
            </w:r>
          </w:p>
        </w:tc>
        <w:tc>
          <w:tcPr>
            <w:tcW w:type="dxa" w:w="3300"/>
            <w:tcMar>
              <w:top w:w="80" w:type="dxa"/>
              <w:start w:w="120" w:type="dxa"/>
              <w:bottom w:w="80" w:type="dxa"/>
              <w:end w:w="120" w:type="dxa"/>
            </w:tcMar>
            <w:vAlign w:val="center"/>
          </w:tcPr>
          <w:p>
            <w:pPr>
              <w:jc w:val="left"/>
            </w:pPr>
            <w:r>
              <w:rPr>
                <w:rFonts w:ascii="Arial" w:hAnsi="Arial" w:eastAsia="Arial"/>
                <w:b w:val="0"/>
                <w:i w:val="0"/>
                <w:color w:val="111111"/>
                <w:sz w:val="17"/>
              </w:rPr>
              <w:t>ATP hydrolysis cycle</w:t>
            </w:r>
          </w:p>
        </w:tc>
        <w:tc>
          <w:tcPr>
            <w:tcW w:type="dxa" w:w="3560"/>
            <w:tcMar>
              <w:top w:w="80" w:type="dxa"/>
              <w:start w:w="120" w:type="dxa"/>
              <w:bottom w:w="80" w:type="dxa"/>
              <w:end w:w="120" w:type="dxa"/>
            </w:tcMar>
            <w:vAlign w:val="center"/>
          </w:tcPr>
          <w:p>
            <w:pPr>
              <w:jc w:val="left"/>
            </w:pPr>
            <w:r>
              <w:rPr>
                <w:rFonts w:ascii="Arial" w:hAnsi="Arial" w:eastAsia="Arial"/>
                <w:b w:val="0"/>
                <w:i w:val="0"/>
                <w:color w:val="111111"/>
                <w:sz w:val="17"/>
              </w:rPr>
              <w:t>Inherited motor-domain chemistry</w:t>
            </w:r>
          </w:p>
        </w:tc>
      </w:tr>
      <w:tr>
        <w:trPr>
          <w:cantSplit w:val="true"/>
        </w:trPr>
        <w:tc>
          <w:tcPr>
            <w:tcW w:type="dxa" w:w="2500"/>
            <w:tcMar>
              <w:top w:w="80" w:type="dxa"/>
              <w:start w:w="120" w:type="dxa"/>
              <w:bottom w:w="80" w:type="dxa"/>
              <w:end w:w="120" w:type="dxa"/>
            </w:tcMar>
            <w:vAlign w:val="center"/>
          </w:tcPr>
          <w:p>
            <w:pPr>
              <w:jc w:val="left"/>
            </w:pPr>
            <w:r>
              <w:rPr>
                <w:rFonts w:ascii="Arial" w:hAnsi="Arial" w:eastAsia="Arial"/>
                <w:b w:val="0"/>
                <w:i w:val="0"/>
                <w:color w:val="111111"/>
                <w:sz w:val="17"/>
              </w:rPr>
              <w:t>Polar track</w:t>
            </w:r>
          </w:p>
        </w:tc>
        <w:tc>
          <w:tcPr>
            <w:tcW w:type="dxa" w:w="3300"/>
            <w:tcMar>
              <w:top w:w="80" w:type="dxa"/>
              <w:start w:w="120" w:type="dxa"/>
              <w:bottom w:w="80" w:type="dxa"/>
              <w:end w:w="120" w:type="dxa"/>
            </w:tcMar>
            <w:vAlign w:val="center"/>
          </w:tcPr>
          <w:p>
            <w:pPr>
              <w:jc w:val="left"/>
            </w:pPr>
            <w:r>
              <w:rPr>
                <w:rFonts w:ascii="Arial" w:hAnsi="Arial" w:eastAsia="Arial"/>
                <w:b w:val="0"/>
                <w:i w:val="0"/>
                <w:color w:val="111111"/>
                <w:sz w:val="17"/>
              </w:rPr>
              <w:t>Microtubule lattice</w:t>
            </w:r>
          </w:p>
        </w:tc>
        <w:tc>
          <w:tcPr>
            <w:tcW w:type="dxa" w:w="3560"/>
            <w:tcMar>
              <w:top w:w="80" w:type="dxa"/>
              <w:start w:w="120" w:type="dxa"/>
              <w:bottom w:w="80" w:type="dxa"/>
              <w:end w:w="120" w:type="dxa"/>
            </w:tcMar>
            <w:vAlign w:val="center"/>
          </w:tcPr>
          <w:p>
            <w:pPr>
              <w:jc w:val="left"/>
            </w:pPr>
            <w:r>
              <w:rPr>
                <w:rFonts w:ascii="Arial" w:hAnsi="Arial" w:eastAsia="Arial"/>
                <w:b w:val="0"/>
                <w:i w:val="0"/>
                <w:color w:val="111111"/>
                <w:sz w:val="17"/>
              </w:rPr>
              <w:t>Inherited binding interface</w:t>
            </w:r>
          </w:p>
        </w:tc>
      </w:tr>
      <w:tr>
        <w:trPr>
          <w:cantSplit w:val="true"/>
        </w:trPr>
        <w:tc>
          <w:tcPr>
            <w:tcW w:type="dxa" w:w="2500"/>
            <w:tcMar>
              <w:top w:w="80" w:type="dxa"/>
              <w:start w:w="120" w:type="dxa"/>
              <w:bottom w:w="80" w:type="dxa"/>
              <w:end w:w="120" w:type="dxa"/>
            </w:tcMar>
            <w:vAlign w:val="center"/>
          </w:tcPr>
          <w:p>
            <w:pPr>
              <w:jc w:val="left"/>
            </w:pPr>
            <w:r>
              <w:rPr>
                <w:rFonts w:ascii="Arial" w:hAnsi="Arial" w:eastAsia="Arial"/>
                <w:b w:val="0"/>
                <w:i w:val="0"/>
                <w:color w:val="111111"/>
                <w:sz w:val="17"/>
              </w:rPr>
              <w:t>Present-state record</w:t>
            </w:r>
          </w:p>
        </w:tc>
        <w:tc>
          <w:tcPr>
            <w:tcW w:type="dxa" w:w="3300"/>
            <w:tcMar>
              <w:top w:w="80" w:type="dxa"/>
              <w:start w:w="120" w:type="dxa"/>
              <w:bottom w:w="80" w:type="dxa"/>
              <w:end w:w="120" w:type="dxa"/>
            </w:tcMar>
            <w:vAlign w:val="center"/>
          </w:tcPr>
          <w:p>
            <w:pPr>
              <w:jc w:val="left"/>
            </w:pPr>
            <w:r>
              <w:rPr>
                <w:rFonts w:ascii="Arial" w:hAnsi="Arial" w:eastAsia="Arial"/>
                <w:b w:val="0"/>
                <w:i w:val="0"/>
                <w:color w:val="111111"/>
                <w:sz w:val="17"/>
              </w:rPr>
              <w:t>Nucleotide state and strain</w:t>
            </w:r>
          </w:p>
        </w:tc>
        <w:tc>
          <w:tcPr>
            <w:tcW w:type="dxa" w:w="3560"/>
            <w:tcMar>
              <w:top w:w="80" w:type="dxa"/>
              <w:start w:w="120" w:type="dxa"/>
              <w:bottom w:w="80" w:type="dxa"/>
              <w:end w:w="120" w:type="dxa"/>
            </w:tcMar>
            <w:vAlign w:val="center"/>
          </w:tcPr>
          <w:p>
            <w:pPr>
              <w:jc w:val="left"/>
            </w:pPr>
            <w:r>
              <w:rPr>
                <w:rFonts w:ascii="Arial" w:hAnsi="Arial" w:eastAsia="Arial"/>
                <w:b w:val="0"/>
                <w:i w:val="0"/>
                <w:color w:val="111111"/>
                <w:sz w:val="17"/>
              </w:rPr>
              <w:t>Inherited core plus designed gate hypothesis</w:t>
            </w:r>
          </w:p>
        </w:tc>
      </w:tr>
      <w:tr>
        <w:trPr>
          <w:cantSplit w:val="true"/>
        </w:trPr>
        <w:tc>
          <w:tcPr>
            <w:tcW w:type="dxa" w:w="2500"/>
            <w:tcMar>
              <w:top w:w="80" w:type="dxa"/>
              <w:start w:w="120" w:type="dxa"/>
              <w:bottom w:w="80" w:type="dxa"/>
              <w:end w:w="120" w:type="dxa"/>
            </w:tcMar>
            <w:vAlign w:val="center"/>
          </w:tcPr>
          <w:p>
            <w:pPr>
              <w:jc w:val="left"/>
            </w:pPr>
            <w:r>
              <w:rPr>
                <w:rFonts w:ascii="Arial" w:hAnsi="Arial" w:eastAsia="Arial"/>
                <w:b w:val="0"/>
                <w:i w:val="0"/>
                <w:color w:val="111111"/>
                <w:sz w:val="17"/>
              </w:rPr>
              <w:t>Coordination</w:t>
            </w:r>
          </w:p>
        </w:tc>
        <w:tc>
          <w:tcPr>
            <w:tcW w:type="dxa" w:w="3300"/>
            <w:tcMar>
              <w:top w:w="80" w:type="dxa"/>
              <w:start w:w="120" w:type="dxa"/>
              <w:bottom w:w="80" w:type="dxa"/>
              <w:end w:w="120" w:type="dxa"/>
            </w:tcMar>
            <w:vAlign w:val="center"/>
          </w:tcPr>
          <w:p>
            <w:pPr>
              <w:jc w:val="left"/>
            </w:pPr>
            <w:r>
              <w:rPr>
                <w:rFonts w:ascii="Arial" w:hAnsi="Arial" w:eastAsia="Arial"/>
                <w:b w:val="0"/>
                <w:i w:val="0"/>
                <w:color w:val="111111"/>
                <w:sz w:val="17"/>
              </w:rPr>
              <w:t>Head-head gating</w:t>
            </w:r>
          </w:p>
        </w:tc>
        <w:tc>
          <w:tcPr>
            <w:tcW w:type="dxa" w:w="3560"/>
            <w:tcMar>
              <w:top w:w="80" w:type="dxa"/>
              <w:start w:w="120" w:type="dxa"/>
              <w:bottom w:w="80" w:type="dxa"/>
              <w:end w:w="120" w:type="dxa"/>
            </w:tcMar>
            <w:vAlign w:val="center"/>
          </w:tcPr>
          <w:p>
            <w:pPr>
              <w:jc w:val="left"/>
            </w:pPr>
            <w:r>
              <w:rPr>
                <w:rFonts w:ascii="Arial" w:hAnsi="Arial" w:eastAsia="Arial"/>
                <w:b w:val="0"/>
                <w:i w:val="0"/>
                <w:color w:val="111111"/>
                <w:sz w:val="17"/>
              </w:rPr>
              <w:t>Gate intended to transmit and constrain strain</w:t>
            </w:r>
          </w:p>
        </w:tc>
      </w:tr>
    </w:tbl>
    <w:p>
      <w:pPr>
        <w:spacing w:after="20"/>
      </w:pPr>
    </w:p>
    <w:tbl>
      <w:tblPr>
        <w:tblW w:type="dxa" w:w="936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9360"/>
      </w:tblGrid>
      <w:tr>
        <w:tc>
          <w:tcPr>
            <w:tcW w:type="dxa" w:w="9360"/>
            <w:shd w:fill="F4F6F9"/>
            <w:tcMar>
              <w:top w:w="80" w:type="dxa"/>
              <w:start w:w="120" w:type="dxa"/>
              <w:bottom w:w="80" w:type="dxa"/>
              <w:end w:w="120" w:type="dxa"/>
            </w:tcMar>
            <w:vAlign w:val="center"/>
          </w:tcPr>
          <w:p>
            <w:r>
              <w:rPr>
                <w:rFonts w:ascii="Arial" w:hAnsi="Arial" w:eastAsia="Arial"/>
                <w:b/>
                <w:i w:val="0"/>
                <w:color w:val="16324F"/>
                <w:sz w:val="20"/>
              </w:rPr>
              <w:t xml:space="preserve">Interpretation boundary  </w:t>
            </w:r>
            <w:r>
              <w:rPr>
                <w:rFonts w:ascii="Arial" w:hAnsi="Arial" w:eastAsia="Arial"/>
                <w:b w:val="0"/>
                <w:i w:val="0"/>
                <w:color w:val="111111"/>
                <w:sz w:val="20"/>
              </w:rPr>
              <w:t>This correspondence does not prove that WRRA independently rediscovered every kinesin mechanism or that the H2 gate implements natural head-head gating. It identifies a coherent mapping between the abstract contract and a known physical motor.</w:t>
            </w:r>
          </w:p>
        </w:tc>
      </w:tr>
    </w:tbl>
    <w:p>
      <w:pPr>
        <w:spacing w:after="20"/>
      </w:pPr>
    </w:p>
    <w:p>
      <w:pPr>
        <w:pStyle w:val="Heading1"/>
      </w:pPr>
      <w:r>
        <w:t>5. Candidate Lineage and Design Strategy</w:t>
      </w:r>
    </w:p>
    <w:p>
      <w:pPr>
        <w:pStyle w:val="Heading2"/>
      </w:pPr>
      <w:r>
        <w:t>5.1 Role of H1</w:t>
      </w:r>
    </w:p>
    <w:p>
      <w:pPr>
        <w:jc w:val="both"/>
      </w:pPr>
      <w:r>
        <w:rPr>
          <w:rFonts w:ascii="Arial" w:hAnsi="Arial" w:eastAsia="Arial"/>
          <w:b w:val="0"/>
          <w:i w:val="0"/>
          <w:color w:val="111111"/>
          <w:sz w:val="20"/>
        </w:rPr>
        <w:t>H1 was a calibration construct based on KIF5B 1-353 plus a known GCN4-type dimerization segment. It established that the renderer could preserve an inherited motor core, append a dimerization region, label ownership, and close the sequence and DNA bookkeeping. H1 was not the differentiated WRRA design.</w:t>
      </w:r>
    </w:p>
    <w:p>
      <w:pPr>
        <w:pStyle w:val="Heading2"/>
      </w:pPr>
      <w:r>
        <w:t>5.2 Why H2 was selected</w:t>
      </w:r>
    </w:p>
    <w:p>
      <w:pPr>
        <w:jc w:val="both"/>
      </w:pPr>
      <w:r>
        <w:rPr>
          <w:rFonts w:ascii="Arial" w:hAnsi="Arial" w:eastAsia="Arial"/>
          <w:b w:val="0"/>
          <w:i w:val="0"/>
          <w:color w:val="111111"/>
          <w:sz w:val="20"/>
        </w:rPr>
        <w:t>H2 preserves the same 353-aa KIF5B core and replaces the calibration tail with a designed 32-aa gate: VQNIEQKIANLKEEGAAALQQVEQKIQNLKAE. The gate was selected by a constrained renderer for coiled-coil-compatible periodicity, charge pattern, length, and absence of obvious sequence-level forbidden motifs. Only 8.31% of the 385-aa chain is newly designed; 91.69% is inherited.</w:t>
      </w:r>
    </w:p>
    <w:p>
      <w:pPr>
        <w:pStyle w:val="Heading2"/>
      </w:pPr>
      <w:r>
        <w:t>5.3 Why N1 was not emitted</w:t>
      </w:r>
    </w:p>
    <w:p>
      <w:pPr>
        <w:jc w:val="both"/>
      </w:pPr>
      <w:r>
        <w:rPr>
          <w:rFonts w:ascii="Arial" w:hAnsi="Arial" w:eastAsia="Arial"/>
          <w:b w:val="0"/>
          <w:i w:val="0"/>
          <w:color w:val="111111"/>
          <w:sz w:val="20"/>
        </w:rPr>
        <w:t>A fully de novo autonomous motor N1 would require a validated renderer capable of jointly predicting an ATPase fold, microtubule interface, mechanically coupled multistate cycle, dimer topology, and negative-design landscape. That validator does not exist in the present work. WRRA therefore applies fail-closed behavior: it does not emit a plausible-looking but unsupported N1 sequence.</w:t>
      </w:r>
    </w:p>
    <w:p>
      <w:pPr>
        <w:pStyle w:val="Heading1"/>
      </w:pPr>
      <w:r>
        <w:t>6. Protein Renderer 0.3</w:t>
      </w:r>
    </w:p>
    <w:p>
      <w:pPr>
        <w:jc w:val="both"/>
      </w:pPr>
      <w:r>
        <w:rPr>
          <w:rFonts w:ascii="Arial" w:hAnsi="Arial" w:eastAsia="Arial"/>
          <w:b w:val="0"/>
          <w:i w:val="0"/>
          <w:color w:val="111111"/>
          <w:sz w:val="20"/>
        </w:rPr>
        <w:t>Protein Renderer 0.3 is a constraint-and-provenance engine, not a general protein foundation model. It accepts inherited segments, a gate design space, topology assumptions, sequence constraints, and explicit failure conditions. Candidate ranking uses a heuristic score to order survivors; it does not estimate the probability that a protein will walk.</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1800"/>
        <w:gridCol w:w="4860"/>
      </w:tblGrid>
      <w:tr>
        <w:trPr>
          <w:tblHeader w:val="true"/>
          <w:cantSplit w:val="true"/>
        </w:trPr>
        <w:tc>
          <w:tcPr>
            <w:tcW w:type="dxa" w:w="2700"/>
            <w:shd w:fill="E8EEF5"/>
            <w:tcMar>
              <w:top w:w="80" w:type="dxa"/>
              <w:start w:w="120" w:type="dxa"/>
              <w:bottom w:w="80" w:type="dxa"/>
              <w:end w:w="120" w:type="dxa"/>
            </w:tcMar>
            <w:vAlign w:val="center"/>
          </w:tcPr>
          <w:p>
            <w:pPr>
              <w:jc w:val="center"/>
            </w:pPr>
            <w:r>
              <w:rPr>
                <w:rFonts w:ascii="Arial" w:hAnsi="Arial" w:eastAsia="Arial"/>
                <w:b/>
                <w:i w:val="0"/>
                <w:color w:val="16324F"/>
                <w:sz w:val="17"/>
              </w:rPr>
              <w:t>Renderer check</w:t>
            </w:r>
          </w:p>
        </w:tc>
        <w:tc>
          <w:tcPr>
            <w:tcW w:type="dxa" w:w="1800"/>
            <w:shd w:fill="E8EEF5"/>
            <w:tcMar>
              <w:top w:w="80" w:type="dxa"/>
              <w:start w:w="120" w:type="dxa"/>
              <w:bottom w:w="80" w:type="dxa"/>
              <w:end w:w="120" w:type="dxa"/>
            </w:tcMar>
            <w:vAlign w:val="center"/>
          </w:tcPr>
          <w:p>
            <w:pPr>
              <w:jc w:val="center"/>
            </w:pPr>
            <w:r>
              <w:rPr>
                <w:rFonts w:ascii="Arial" w:hAnsi="Arial" w:eastAsia="Arial"/>
                <w:b/>
                <w:i w:val="0"/>
                <w:color w:val="16324F"/>
                <w:sz w:val="17"/>
              </w:rPr>
              <w:t>H2 result</w:t>
            </w:r>
          </w:p>
        </w:tc>
        <w:tc>
          <w:tcPr>
            <w:tcW w:type="dxa" w:w="4860"/>
            <w:shd w:fill="E8EEF5"/>
            <w:tcMar>
              <w:top w:w="80" w:type="dxa"/>
              <w:start w:w="120" w:type="dxa"/>
              <w:bottom w:w="80" w:type="dxa"/>
              <w:end w:w="120" w:type="dxa"/>
            </w:tcMar>
            <w:vAlign w:val="center"/>
          </w:tcPr>
          <w:p>
            <w:pPr>
              <w:jc w:val="center"/>
            </w:pPr>
            <w:r>
              <w:rPr>
                <w:rFonts w:ascii="Arial" w:hAnsi="Arial" w:eastAsia="Arial"/>
                <w:b/>
                <w:i w:val="0"/>
                <w:color w:val="16324F"/>
                <w:sz w:val="17"/>
              </w:rPr>
              <w:t>Meaning</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Total chain length</w:t>
            </w:r>
          </w:p>
        </w:tc>
        <w:tc>
          <w:tcPr>
            <w:tcW w:type="dxa" w:w="1800"/>
            <w:tcMar>
              <w:top w:w="80" w:type="dxa"/>
              <w:start w:w="120" w:type="dxa"/>
              <w:bottom w:w="80" w:type="dxa"/>
              <w:end w:w="120" w:type="dxa"/>
            </w:tcMar>
            <w:vAlign w:val="center"/>
          </w:tcPr>
          <w:p>
            <w:pPr>
              <w:jc w:val="left"/>
            </w:pPr>
            <w:r>
              <w:rPr>
                <w:rFonts w:ascii="Arial" w:hAnsi="Arial" w:eastAsia="Arial"/>
                <w:b w:val="0"/>
                <w:i w:val="0"/>
                <w:color w:val="111111"/>
                <w:sz w:val="17"/>
              </w:rPr>
              <w:t>385 aa</w:t>
            </w:r>
          </w:p>
        </w:tc>
        <w:tc>
          <w:tcPr>
            <w:tcW w:type="dxa" w:w="4860"/>
            <w:tcMar>
              <w:top w:w="80" w:type="dxa"/>
              <w:start w:w="120" w:type="dxa"/>
              <w:bottom w:w="80" w:type="dxa"/>
              <w:end w:w="120" w:type="dxa"/>
            </w:tcMar>
            <w:vAlign w:val="center"/>
          </w:tcPr>
          <w:p>
            <w:pPr>
              <w:jc w:val="left"/>
            </w:pPr>
            <w:r>
              <w:rPr>
                <w:rFonts w:ascii="Arial" w:hAnsi="Arial" w:eastAsia="Arial"/>
                <w:b w:val="0"/>
                <w:i w:val="0"/>
                <w:color w:val="111111"/>
                <w:sz w:val="17"/>
              </w:rPr>
              <w:t>Within declared construction range</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Inherited fraction</w:t>
            </w:r>
          </w:p>
        </w:tc>
        <w:tc>
          <w:tcPr>
            <w:tcW w:type="dxa" w:w="1800"/>
            <w:tcMar>
              <w:top w:w="80" w:type="dxa"/>
              <w:start w:w="120" w:type="dxa"/>
              <w:bottom w:w="80" w:type="dxa"/>
              <w:end w:w="120" w:type="dxa"/>
            </w:tcMar>
            <w:vAlign w:val="center"/>
          </w:tcPr>
          <w:p>
            <w:pPr>
              <w:jc w:val="left"/>
            </w:pPr>
            <w:r>
              <w:rPr>
                <w:rFonts w:ascii="Arial" w:hAnsi="Arial" w:eastAsia="Arial"/>
                <w:b w:val="0"/>
                <w:i w:val="0"/>
                <w:color w:val="111111"/>
                <w:sz w:val="17"/>
              </w:rPr>
              <w:t>91.69%</w:t>
            </w:r>
          </w:p>
        </w:tc>
        <w:tc>
          <w:tcPr>
            <w:tcW w:type="dxa" w:w="4860"/>
            <w:tcMar>
              <w:top w:w="80" w:type="dxa"/>
              <w:start w:w="120" w:type="dxa"/>
              <w:bottom w:w="80" w:type="dxa"/>
              <w:end w:w="120" w:type="dxa"/>
            </w:tcMar>
            <w:vAlign w:val="center"/>
          </w:tcPr>
          <w:p>
            <w:pPr>
              <w:jc w:val="left"/>
            </w:pPr>
            <w:r>
              <w:rPr>
                <w:rFonts w:ascii="Arial" w:hAnsi="Arial" w:eastAsia="Arial"/>
                <w:b w:val="0"/>
                <w:i w:val="0"/>
                <w:color w:val="111111"/>
                <w:sz w:val="17"/>
              </w:rPr>
              <w:t>Known motor core retained</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Designed fraction</w:t>
            </w:r>
          </w:p>
        </w:tc>
        <w:tc>
          <w:tcPr>
            <w:tcW w:type="dxa" w:w="1800"/>
            <w:tcMar>
              <w:top w:w="80" w:type="dxa"/>
              <w:start w:w="120" w:type="dxa"/>
              <w:bottom w:w="80" w:type="dxa"/>
              <w:end w:w="120" w:type="dxa"/>
            </w:tcMar>
            <w:vAlign w:val="center"/>
          </w:tcPr>
          <w:p>
            <w:pPr>
              <w:jc w:val="left"/>
            </w:pPr>
            <w:r>
              <w:rPr>
                <w:rFonts w:ascii="Arial" w:hAnsi="Arial" w:eastAsia="Arial"/>
                <w:b w:val="0"/>
                <w:i w:val="0"/>
                <w:color w:val="111111"/>
                <w:sz w:val="17"/>
              </w:rPr>
              <w:t>8.31%</w:t>
            </w:r>
          </w:p>
        </w:tc>
        <w:tc>
          <w:tcPr>
            <w:tcW w:type="dxa" w:w="4860"/>
            <w:tcMar>
              <w:top w:w="80" w:type="dxa"/>
              <w:start w:w="120" w:type="dxa"/>
              <w:bottom w:w="80" w:type="dxa"/>
              <w:end w:w="120" w:type="dxa"/>
            </w:tcMar>
            <w:vAlign w:val="center"/>
          </w:tcPr>
          <w:p>
            <w:pPr>
              <w:jc w:val="left"/>
            </w:pPr>
            <w:r>
              <w:rPr>
                <w:rFonts w:ascii="Arial" w:hAnsi="Arial" w:eastAsia="Arial"/>
                <w:b w:val="0"/>
                <w:i w:val="0"/>
                <w:color w:val="111111"/>
                <w:sz w:val="17"/>
              </w:rPr>
              <w:t>Novelty limited to gate</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Gate syntax</w:t>
            </w:r>
          </w:p>
        </w:tc>
        <w:tc>
          <w:tcPr>
            <w:tcW w:type="dxa" w:w="1800"/>
            <w:tcMar>
              <w:top w:w="80" w:type="dxa"/>
              <w:start w:w="120" w:type="dxa"/>
              <w:bottom w:w="80" w:type="dxa"/>
              <w:end w:w="120" w:type="dxa"/>
            </w:tcMar>
            <w:vAlign w:val="center"/>
          </w:tcPr>
          <w:p>
            <w:pPr>
              <w:jc w:val="left"/>
            </w:pPr>
            <w:r>
              <w:rPr>
                <w:rFonts w:ascii="Arial" w:hAnsi="Arial" w:eastAsia="Arial"/>
                <w:b w:val="0"/>
                <w:i w:val="0"/>
                <w:color w:val="111111"/>
                <w:sz w:val="17"/>
              </w:rPr>
              <w:t>Pass</w:t>
            </w:r>
          </w:p>
        </w:tc>
        <w:tc>
          <w:tcPr>
            <w:tcW w:type="dxa" w:w="4860"/>
            <w:tcMar>
              <w:top w:w="80" w:type="dxa"/>
              <w:start w:w="120" w:type="dxa"/>
              <w:bottom w:w="80" w:type="dxa"/>
              <w:end w:w="120" w:type="dxa"/>
            </w:tcMar>
            <w:vAlign w:val="center"/>
          </w:tcPr>
          <w:p>
            <w:pPr>
              <w:jc w:val="left"/>
            </w:pPr>
            <w:r>
              <w:rPr>
                <w:rFonts w:ascii="Arial" w:hAnsi="Arial" w:eastAsia="Arial"/>
                <w:b w:val="0"/>
                <w:i w:val="0"/>
                <w:color w:val="111111"/>
                <w:sz w:val="17"/>
              </w:rPr>
              <w:t>Periodic and charge-pattern constraints satisfied</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Switch proxy</w:t>
            </w:r>
          </w:p>
        </w:tc>
        <w:tc>
          <w:tcPr>
            <w:tcW w:type="dxa" w:w="1800"/>
            <w:tcMar>
              <w:top w:w="80" w:type="dxa"/>
              <w:start w:w="120" w:type="dxa"/>
              <w:bottom w:w="80" w:type="dxa"/>
              <w:end w:w="120" w:type="dxa"/>
            </w:tcMar>
            <w:vAlign w:val="center"/>
          </w:tcPr>
          <w:p>
            <w:pPr>
              <w:jc w:val="left"/>
            </w:pPr>
            <w:r>
              <w:rPr>
                <w:rFonts w:ascii="Arial" w:hAnsi="Arial" w:eastAsia="Arial"/>
                <w:b w:val="0"/>
                <w:i w:val="0"/>
                <w:color w:val="111111"/>
                <w:sz w:val="17"/>
              </w:rPr>
              <w:t>1.000</w:t>
            </w:r>
          </w:p>
        </w:tc>
        <w:tc>
          <w:tcPr>
            <w:tcW w:type="dxa" w:w="4860"/>
            <w:tcMar>
              <w:top w:w="80" w:type="dxa"/>
              <w:start w:w="120" w:type="dxa"/>
              <w:bottom w:w="80" w:type="dxa"/>
              <w:end w:w="120" w:type="dxa"/>
            </w:tcMar>
            <w:vAlign w:val="center"/>
          </w:tcPr>
          <w:p>
            <w:pPr>
              <w:jc w:val="left"/>
            </w:pPr>
            <w:r>
              <w:rPr>
                <w:rFonts w:ascii="Arial" w:hAnsi="Arial" w:eastAsia="Arial"/>
                <w:b w:val="0"/>
                <w:i w:val="0"/>
                <w:color w:val="111111"/>
                <w:sz w:val="17"/>
              </w:rPr>
              <w:t>Sequence-level proxy only; not kinetics</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Rank score</w:t>
            </w:r>
          </w:p>
        </w:tc>
        <w:tc>
          <w:tcPr>
            <w:tcW w:type="dxa" w:w="1800"/>
            <w:tcMar>
              <w:top w:w="80" w:type="dxa"/>
              <w:start w:w="120" w:type="dxa"/>
              <w:bottom w:w="80" w:type="dxa"/>
              <w:end w:w="120" w:type="dxa"/>
            </w:tcMar>
            <w:vAlign w:val="center"/>
          </w:tcPr>
          <w:p>
            <w:pPr>
              <w:jc w:val="left"/>
            </w:pPr>
            <w:r>
              <w:rPr>
                <w:rFonts w:ascii="Arial" w:hAnsi="Arial" w:eastAsia="Arial"/>
                <w:b w:val="0"/>
                <w:i w:val="0"/>
                <w:color w:val="111111"/>
                <w:sz w:val="17"/>
              </w:rPr>
              <w:t>5.0806</w:t>
            </w:r>
          </w:p>
        </w:tc>
        <w:tc>
          <w:tcPr>
            <w:tcW w:type="dxa" w:w="4860"/>
            <w:tcMar>
              <w:top w:w="80" w:type="dxa"/>
              <w:start w:w="120" w:type="dxa"/>
              <w:bottom w:w="80" w:type="dxa"/>
              <w:end w:w="120" w:type="dxa"/>
            </w:tcMar>
            <w:vAlign w:val="center"/>
          </w:tcPr>
          <w:p>
            <w:pPr>
              <w:jc w:val="left"/>
            </w:pPr>
            <w:r>
              <w:rPr>
                <w:rFonts w:ascii="Arial" w:hAnsi="Arial" w:eastAsia="Arial"/>
                <w:b w:val="0"/>
                <w:i w:val="0"/>
                <w:color w:val="111111"/>
                <w:sz w:val="17"/>
              </w:rPr>
              <w:t>Heuristic constraint score; not success probability</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Structure coordinates</w:t>
            </w:r>
          </w:p>
        </w:tc>
        <w:tc>
          <w:tcPr>
            <w:tcW w:type="dxa" w:w="1800"/>
            <w:tcMar>
              <w:top w:w="80" w:type="dxa"/>
              <w:start w:w="120" w:type="dxa"/>
              <w:bottom w:w="80" w:type="dxa"/>
              <w:end w:w="120" w:type="dxa"/>
            </w:tcMar>
            <w:vAlign w:val="center"/>
          </w:tcPr>
          <w:p>
            <w:pPr>
              <w:jc w:val="left"/>
            </w:pPr>
            <w:r>
              <w:rPr>
                <w:rFonts w:ascii="Arial" w:hAnsi="Arial" w:eastAsia="Arial"/>
                <w:b w:val="0"/>
                <w:i w:val="0"/>
                <w:color w:val="111111"/>
                <w:sz w:val="17"/>
              </w:rPr>
              <w:t>Not generated</w:t>
            </w:r>
          </w:p>
        </w:tc>
        <w:tc>
          <w:tcPr>
            <w:tcW w:type="dxa" w:w="4860"/>
            <w:tcMar>
              <w:top w:w="80" w:type="dxa"/>
              <w:start w:w="120" w:type="dxa"/>
              <w:bottom w:w="80" w:type="dxa"/>
              <w:end w:w="120" w:type="dxa"/>
            </w:tcMar>
            <w:vAlign w:val="center"/>
          </w:tcPr>
          <w:p>
            <w:pPr>
              <w:jc w:val="left"/>
            </w:pPr>
            <w:r>
              <w:rPr>
                <w:rFonts w:ascii="Arial" w:hAnsi="Arial" w:eastAsia="Arial"/>
                <w:b w:val="0"/>
                <w:i w:val="0"/>
                <w:color w:val="111111"/>
                <w:sz w:val="17"/>
              </w:rPr>
              <w:t>OPEN_NOT_PREDICTED</w:t>
            </w:r>
          </w:p>
        </w:tc>
      </w:tr>
    </w:tbl>
    <w:p>
      <w:pPr>
        <w:spacing w:after="20"/>
      </w:pPr>
    </w:p>
    <w:p>
      <w:pPr>
        <w:pStyle w:val="Heading1"/>
      </w:pPr>
      <w:r>
        <w:t>7. Detailed Architecture of H2-b2f820d18e</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2200"/>
        <w:gridCol w:w="3600"/>
        <w:gridCol w:w="2060"/>
      </w:tblGrid>
      <w:tr>
        <w:trPr>
          <w:tblHeader w:val="true"/>
          <w:cantSplit w:val="true"/>
        </w:trPr>
        <w:tc>
          <w:tcPr>
            <w:tcW w:type="dxa" w:w="1500"/>
            <w:shd w:fill="E8EEF5"/>
            <w:tcMar>
              <w:top w:w="80" w:type="dxa"/>
              <w:start w:w="120" w:type="dxa"/>
              <w:bottom w:w="80" w:type="dxa"/>
              <w:end w:w="120" w:type="dxa"/>
            </w:tcMar>
            <w:vAlign w:val="center"/>
          </w:tcPr>
          <w:p>
            <w:pPr>
              <w:jc w:val="center"/>
            </w:pPr>
            <w:r>
              <w:rPr>
                <w:rFonts w:ascii="Arial" w:hAnsi="Arial" w:eastAsia="Arial"/>
                <w:b/>
                <w:i w:val="0"/>
                <w:color w:val="16324F"/>
                <w:sz w:val="17"/>
              </w:rPr>
              <w:t>Residues</w:t>
            </w:r>
          </w:p>
        </w:tc>
        <w:tc>
          <w:tcPr>
            <w:tcW w:type="dxa" w:w="2200"/>
            <w:shd w:fill="E8EEF5"/>
            <w:tcMar>
              <w:top w:w="80" w:type="dxa"/>
              <w:start w:w="120" w:type="dxa"/>
              <w:bottom w:w="80" w:type="dxa"/>
              <w:end w:w="120" w:type="dxa"/>
            </w:tcMar>
            <w:vAlign w:val="center"/>
          </w:tcPr>
          <w:p>
            <w:pPr>
              <w:jc w:val="center"/>
            </w:pPr>
            <w:r>
              <w:rPr>
                <w:rFonts w:ascii="Arial" w:hAnsi="Arial" w:eastAsia="Arial"/>
                <w:b/>
                <w:i w:val="0"/>
                <w:color w:val="16324F"/>
                <w:sz w:val="17"/>
              </w:rPr>
              <w:t>Ownership</w:t>
            </w:r>
          </w:p>
        </w:tc>
        <w:tc>
          <w:tcPr>
            <w:tcW w:type="dxa" w:w="3600"/>
            <w:shd w:fill="E8EEF5"/>
            <w:tcMar>
              <w:top w:w="80" w:type="dxa"/>
              <w:start w:w="120" w:type="dxa"/>
              <w:bottom w:w="80" w:type="dxa"/>
              <w:end w:w="120" w:type="dxa"/>
            </w:tcMar>
            <w:vAlign w:val="center"/>
          </w:tcPr>
          <w:p>
            <w:pPr>
              <w:jc w:val="center"/>
            </w:pPr>
            <w:r>
              <w:rPr>
                <w:rFonts w:ascii="Arial" w:hAnsi="Arial" w:eastAsia="Arial"/>
                <w:b/>
                <w:i w:val="0"/>
                <w:color w:val="16324F"/>
                <w:sz w:val="17"/>
              </w:rPr>
              <w:t>Assigned role</w:t>
            </w:r>
          </w:p>
        </w:tc>
        <w:tc>
          <w:tcPr>
            <w:tcW w:type="dxa" w:w="2060"/>
            <w:shd w:fill="E8EEF5"/>
            <w:tcMar>
              <w:top w:w="80" w:type="dxa"/>
              <w:start w:w="120" w:type="dxa"/>
              <w:bottom w:w="80" w:type="dxa"/>
              <w:end w:w="120" w:type="dxa"/>
            </w:tcMar>
            <w:vAlign w:val="center"/>
          </w:tcPr>
          <w:p>
            <w:pPr>
              <w:jc w:val="center"/>
            </w:pPr>
            <w:r>
              <w:rPr>
                <w:rFonts w:ascii="Arial" w:hAnsi="Arial" w:eastAsia="Arial"/>
                <w:b/>
                <w:i w:val="0"/>
                <w:color w:val="16324F"/>
                <w:sz w:val="17"/>
              </w:rPr>
              <w:t>Evidence boundary</w:t>
            </w:r>
          </w:p>
        </w:tc>
      </w:tr>
      <w:tr>
        <w:trPr>
          <w:cantSplit w:val="true"/>
        </w:trPr>
        <w:tc>
          <w:tcPr>
            <w:tcW w:type="dxa" w:w="1500"/>
            <w:tcMar>
              <w:top w:w="80" w:type="dxa"/>
              <w:start w:w="120" w:type="dxa"/>
              <w:bottom w:w="80" w:type="dxa"/>
              <w:end w:w="120" w:type="dxa"/>
            </w:tcMar>
            <w:vAlign w:val="center"/>
          </w:tcPr>
          <w:p>
            <w:pPr>
              <w:jc w:val="left"/>
            </w:pPr>
            <w:r>
              <w:rPr>
                <w:rFonts w:ascii="Arial" w:hAnsi="Arial" w:eastAsia="Arial"/>
                <w:b w:val="0"/>
                <w:i w:val="0"/>
                <w:color w:val="111111"/>
                <w:sz w:val="17"/>
              </w:rPr>
              <w:t>1-353</w:t>
            </w:r>
          </w:p>
        </w:tc>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INHERITED_KIF5B</w:t>
            </w:r>
          </w:p>
        </w:tc>
        <w:tc>
          <w:tcPr>
            <w:tcW w:type="dxa" w:w="3600"/>
            <w:tcMar>
              <w:top w:w="80" w:type="dxa"/>
              <w:start w:w="120" w:type="dxa"/>
              <w:bottom w:w="80" w:type="dxa"/>
              <w:end w:w="120" w:type="dxa"/>
            </w:tcMar>
            <w:vAlign w:val="center"/>
          </w:tcPr>
          <w:p>
            <w:pPr>
              <w:jc w:val="left"/>
            </w:pPr>
            <w:r>
              <w:rPr>
                <w:rFonts w:ascii="Arial" w:hAnsi="Arial" w:eastAsia="Arial"/>
                <w:b w:val="0"/>
                <w:i w:val="0"/>
                <w:color w:val="111111"/>
                <w:sz w:val="17"/>
              </w:rPr>
              <w:t>ATP motor core, microtubule interface, neck-linker region</w:t>
            </w:r>
          </w:p>
        </w:tc>
        <w:tc>
          <w:tcPr>
            <w:tcW w:type="dxa" w:w="2060"/>
            <w:tcMar>
              <w:top w:w="80" w:type="dxa"/>
              <w:start w:w="120" w:type="dxa"/>
              <w:bottom w:w="80" w:type="dxa"/>
              <w:end w:w="120" w:type="dxa"/>
            </w:tcMar>
            <w:vAlign w:val="center"/>
          </w:tcPr>
          <w:p>
            <w:pPr>
              <w:jc w:val="left"/>
            </w:pPr>
            <w:r>
              <w:rPr>
                <w:rFonts w:ascii="Arial" w:hAnsi="Arial" w:eastAsia="Arial"/>
                <w:b w:val="0"/>
                <w:i w:val="0"/>
                <w:color w:val="111111"/>
                <w:sz w:val="17"/>
              </w:rPr>
              <w:t>Known source segment; function in this truncation still must be tested</w:t>
            </w:r>
          </w:p>
        </w:tc>
      </w:tr>
      <w:tr>
        <w:trPr>
          <w:cantSplit w:val="true"/>
        </w:trPr>
        <w:tc>
          <w:tcPr>
            <w:tcW w:type="dxa" w:w="1500"/>
            <w:tcMar>
              <w:top w:w="80" w:type="dxa"/>
              <w:start w:w="120" w:type="dxa"/>
              <w:bottom w:w="80" w:type="dxa"/>
              <w:end w:w="120" w:type="dxa"/>
            </w:tcMar>
            <w:vAlign w:val="center"/>
          </w:tcPr>
          <w:p>
            <w:pPr>
              <w:jc w:val="left"/>
            </w:pPr>
            <w:r>
              <w:rPr>
                <w:rFonts w:ascii="Arial" w:hAnsi="Arial" w:eastAsia="Arial"/>
                <w:b w:val="0"/>
                <w:i w:val="0"/>
                <w:color w:val="111111"/>
                <w:sz w:val="17"/>
              </w:rPr>
              <w:t>354-385</w:t>
            </w:r>
          </w:p>
        </w:tc>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DESIGNED_GATE</w:t>
            </w:r>
          </w:p>
        </w:tc>
        <w:tc>
          <w:tcPr>
            <w:tcW w:type="dxa" w:w="3600"/>
            <w:tcMar>
              <w:top w:w="80" w:type="dxa"/>
              <w:start w:w="120" w:type="dxa"/>
              <w:bottom w:w="80" w:type="dxa"/>
              <w:end w:w="120" w:type="dxa"/>
            </w:tcMar>
            <w:vAlign w:val="center"/>
          </w:tcPr>
          <w:p>
            <w:pPr>
              <w:jc w:val="left"/>
            </w:pPr>
            <w:r>
              <w:rPr>
                <w:rFonts w:ascii="Arial" w:hAnsi="Arial" w:eastAsia="Arial"/>
                <w:b w:val="0"/>
                <w:i w:val="0"/>
                <w:color w:val="111111"/>
                <w:sz w:val="17"/>
              </w:rPr>
              <w:t>Parallel association and state/strain coupling hypothesis</w:t>
            </w:r>
          </w:p>
        </w:tc>
        <w:tc>
          <w:tcPr>
            <w:tcW w:type="dxa" w:w="2060"/>
            <w:tcMar>
              <w:top w:w="80" w:type="dxa"/>
              <w:start w:w="120" w:type="dxa"/>
              <w:bottom w:w="80" w:type="dxa"/>
              <w:end w:w="120" w:type="dxa"/>
            </w:tcMar>
            <w:vAlign w:val="center"/>
          </w:tcPr>
          <w:p>
            <w:pPr>
              <w:jc w:val="left"/>
            </w:pPr>
            <w:r>
              <w:rPr>
                <w:rFonts w:ascii="Arial" w:hAnsi="Arial" w:eastAsia="Arial"/>
                <w:b w:val="0"/>
                <w:i w:val="0"/>
                <w:color w:val="111111"/>
                <w:sz w:val="17"/>
              </w:rPr>
              <w:t>Sequence constraints passed; physical role unverified</w:t>
            </w:r>
          </w:p>
        </w:tc>
      </w:tr>
      <w:tr>
        <w:trPr>
          <w:cantSplit w:val="true"/>
        </w:trPr>
        <w:tc>
          <w:tcPr>
            <w:tcW w:type="dxa" w:w="1500"/>
            <w:tcMar>
              <w:top w:w="80" w:type="dxa"/>
              <w:start w:w="120" w:type="dxa"/>
              <w:bottom w:w="80" w:type="dxa"/>
              <w:end w:w="120" w:type="dxa"/>
            </w:tcMar>
            <w:vAlign w:val="center"/>
          </w:tcPr>
          <w:p>
            <w:pPr>
              <w:jc w:val="left"/>
            </w:pPr>
            <w:r>
              <w:rPr>
                <w:rFonts w:ascii="Arial" w:hAnsi="Arial" w:eastAsia="Arial"/>
                <w:b w:val="0"/>
                <w:i w:val="0"/>
                <w:color w:val="111111"/>
                <w:sz w:val="17"/>
              </w:rPr>
              <w:t>Two chains</w:t>
            </w:r>
          </w:p>
        </w:tc>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PREDICTED_TOPOLOGY</w:t>
            </w:r>
          </w:p>
        </w:tc>
        <w:tc>
          <w:tcPr>
            <w:tcW w:type="dxa" w:w="3600"/>
            <w:tcMar>
              <w:top w:w="80" w:type="dxa"/>
              <w:start w:w="120" w:type="dxa"/>
              <w:bottom w:w="80" w:type="dxa"/>
              <w:end w:w="120" w:type="dxa"/>
            </w:tcMar>
            <w:vAlign w:val="center"/>
          </w:tcPr>
          <w:p>
            <w:pPr>
              <w:jc w:val="left"/>
            </w:pPr>
            <w:r>
              <w:rPr>
                <w:rFonts w:ascii="Arial" w:hAnsi="Arial" w:eastAsia="Arial"/>
                <w:b w:val="0"/>
                <w:i w:val="0"/>
                <w:color w:val="111111"/>
                <w:sz w:val="17"/>
              </w:rPr>
              <w:t>Parallel homodimer</w:t>
            </w:r>
          </w:p>
        </w:tc>
        <w:tc>
          <w:tcPr>
            <w:tcW w:type="dxa" w:w="2060"/>
            <w:tcMar>
              <w:top w:w="80" w:type="dxa"/>
              <w:start w:w="120" w:type="dxa"/>
              <w:bottom w:w="80" w:type="dxa"/>
              <w:end w:w="120" w:type="dxa"/>
            </w:tcMar>
            <w:vAlign w:val="center"/>
          </w:tcPr>
          <w:p>
            <w:pPr>
              <w:jc w:val="left"/>
            </w:pPr>
            <w:r>
              <w:rPr>
                <w:rFonts w:ascii="Arial" w:hAnsi="Arial" w:eastAsia="Arial"/>
                <w:b w:val="0"/>
                <w:i w:val="0"/>
                <w:color w:val="111111"/>
                <w:sz w:val="17"/>
              </w:rPr>
              <w:t>No atomic model or oligomer measurement</w:t>
            </w:r>
          </w:p>
        </w:tc>
      </w:tr>
    </w:tbl>
    <w:p>
      <w:pPr>
        <w:spacing w:after="20"/>
      </w:pPr>
    </w:p>
    <w:p>
      <w:pPr>
        <w:jc w:val="both"/>
      </w:pPr>
      <w:r>
        <w:rPr>
          <w:rFonts w:ascii="Arial" w:hAnsi="Arial" w:eastAsia="Arial"/>
          <w:b w:val="0"/>
          <w:i w:val="0"/>
          <w:color w:val="111111"/>
          <w:sz w:val="20"/>
        </w:rPr>
        <w:t>A key risk is the 1-353 boundary. A natural or commonly used active kinesin construct may include additional stalk or engineered dimerization sequence. The designed gate may fail to replace GCN4-like stabilization while preserving the neck-linker strain geometry needed for processive stepping. Thus, preserving the motor-domain amino acids is not equivalent to preserving the full mechanochemical cycle.</w:t>
      </w:r>
    </w:p>
    <w:p>
      <w:pPr>
        <w:pStyle w:val="Heading1"/>
      </w:pPr>
      <w:r>
        <w:t>8. DNA Renderer Result</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600"/>
        <w:gridCol w:w="5760"/>
      </w:tblGrid>
      <w:tr>
        <w:trPr>
          <w:tblHeader w:val="true"/>
          <w:cantSplit w:val="true"/>
        </w:trPr>
        <w:tc>
          <w:tcPr>
            <w:tcW w:type="dxa" w:w="3600"/>
            <w:shd w:fill="E8EEF5"/>
            <w:tcMar>
              <w:top w:w="80" w:type="dxa"/>
              <w:start w:w="120" w:type="dxa"/>
              <w:bottom w:w="80" w:type="dxa"/>
              <w:end w:w="120" w:type="dxa"/>
            </w:tcMar>
            <w:vAlign w:val="center"/>
          </w:tcPr>
          <w:p>
            <w:pPr>
              <w:jc w:val="center"/>
            </w:pPr>
            <w:r>
              <w:rPr>
                <w:rFonts w:ascii="Arial" w:hAnsi="Arial" w:eastAsia="Arial"/>
                <w:b/>
                <w:i w:val="0"/>
                <w:color w:val="16324F"/>
                <w:sz w:val="17"/>
              </w:rPr>
              <w:t>Property</w:t>
            </w:r>
          </w:p>
        </w:tc>
        <w:tc>
          <w:tcPr>
            <w:tcW w:type="dxa" w:w="5760"/>
            <w:shd w:fill="E8EEF5"/>
            <w:tcMar>
              <w:top w:w="80" w:type="dxa"/>
              <w:start w:w="120" w:type="dxa"/>
              <w:bottom w:w="80" w:type="dxa"/>
              <w:end w:w="120" w:type="dxa"/>
            </w:tcMar>
            <w:vAlign w:val="center"/>
          </w:tcPr>
          <w:p>
            <w:pPr>
              <w:jc w:val="center"/>
            </w:pPr>
            <w:r>
              <w:rPr>
                <w:rFonts w:ascii="Arial" w:hAnsi="Arial" w:eastAsia="Arial"/>
                <w:b/>
                <w:i w:val="0"/>
                <w:color w:val="16324F"/>
                <w:sz w:val="17"/>
              </w:rPr>
              <w:t>Value</w:t>
            </w:r>
          </w:p>
        </w:tc>
      </w:tr>
      <w:tr>
        <w:trPr>
          <w:cantSplit w:val="true"/>
        </w:trPr>
        <w:tc>
          <w:tcPr>
            <w:tcW w:type="dxa" w:w="3600"/>
            <w:tcMar>
              <w:top w:w="80" w:type="dxa"/>
              <w:start w:w="120" w:type="dxa"/>
              <w:bottom w:w="80" w:type="dxa"/>
              <w:end w:w="120" w:type="dxa"/>
            </w:tcMar>
            <w:vAlign w:val="center"/>
          </w:tcPr>
          <w:p>
            <w:pPr>
              <w:jc w:val="left"/>
            </w:pPr>
            <w:r>
              <w:rPr>
                <w:rFonts w:ascii="Arial" w:hAnsi="Arial" w:eastAsia="Arial"/>
                <w:b w:val="0"/>
                <w:i w:val="0"/>
                <w:color w:val="111111"/>
                <w:sz w:val="17"/>
              </w:rPr>
              <w:t>Protein length</w:t>
            </w:r>
          </w:p>
        </w:tc>
        <w:tc>
          <w:tcPr>
            <w:tcW w:type="dxa" w:w="5760"/>
            <w:tcMar>
              <w:top w:w="80" w:type="dxa"/>
              <w:start w:w="120" w:type="dxa"/>
              <w:bottom w:w="80" w:type="dxa"/>
              <w:end w:w="120" w:type="dxa"/>
            </w:tcMar>
            <w:vAlign w:val="center"/>
          </w:tcPr>
          <w:p>
            <w:pPr>
              <w:jc w:val="left"/>
            </w:pPr>
            <w:r>
              <w:rPr>
                <w:rFonts w:ascii="Arial" w:hAnsi="Arial" w:eastAsia="Arial"/>
                <w:b w:val="0"/>
                <w:i w:val="0"/>
                <w:color w:val="111111"/>
                <w:sz w:val="17"/>
              </w:rPr>
              <w:t>385 aa</w:t>
            </w:r>
          </w:p>
        </w:tc>
      </w:tr>
      <w:tr>
        <w:trPr>
          <w:cantSplit w:val="true"/>
        </w:trPr>
        <w:tc>
          <w:tcPr>
            <w:tcW w:type="dxa" w:w="3600"/>
            <w:tcMar>
              <w:top w:w="80" w:type="dxa"/>
              <w:start w:w="120" w:type="dxa"/>
              <w:bottom w:w="80" w:type="dxa"/>
              <w:end w:w="120" w:type="dxa"/>
            </w:tcMar>
            <w:vAlign w:val="center"/>
          </w:tcPr>
          <w:p>
            <w:pPr>
              <w:jc w:val="left"/>
            </w:pPr>
            <w:r>
              <w:rPr>
                <w:rFonts w:ascii="Arial" w:hAnsi="Arial" w:eastAsia="Arial"/>
                <w:b w:val="0"/>
                <w:i w:val="0"/>
                <w:color w:val="111111"/>
                <w:sz w:val="17"/>
              </w:rPr>
              <w:t>CDS length including stop</w:t>
            </w:r>
          </w:p>
        </w:tc>
        <w:tc>
          <w:tcPr>
            <w:tcW w:type="dxa" w:w="5760"/>
            <w:tcMar>
              <w:top w:w="80" w:type="dxa"/>
              <w:start w:w="120" w:type="dxa"/>
              <w:bottom w:w="80" w:type="dxa"/>
              <w:end w:w="120" w:type="dxa"/>
            </w:tcMar>
            <w:vAlign w:val="center"/>
          </w:tcPr>
          <w:p>
            <w:pPr>
              <w:jc w:val="left"/>
            </w:pPr>
            <w:r>
              <w:rPr>
                <w:rFonts w:ascii="Arial" w:hAnsi="Arial" w:eastAsia="Arial"/>
                <w:b w:val="0"/>
                <w:i w:val="0"/>
                <w:color w:val="111111"/>
                <w:sz w:val="17"/>
              </w:rPr>
              <w:t>1,158 nt</w:t>
            </w:r>
          </w:p>
        </w:tc>
      </w:tr>
      <w:tr>
        <w:trPr>
          <w:cantSplit w:val="true"/>
        </w:trPr>
        <w:tc>
          <w:tcPr>
            <w:tcW w:type="dxa" w:w="3600"/>
            <w:tcMar>
              <w:top w:w="80" w:type="dxa"/>
              <w:start w:w="120" w:type="dxa"/>
              <w:bottom w:w="80" w:type="dxa"/>
              <w:end w:w="120" w:type="dxa"/>
            </w:tcMar>
            <w:vAlign w:val="center"/>
          </w:tcPr>
          <w:p>
            <w:pPr>
              <w:jc w:val="left"/>
            </w:pPr>
            <w:r>
              <w:rPr>
                <w:rFonts w:ascii="Arial" w:hAnsi="Arial" w:eastAsia="Arial"/>
                <w:b w:val="0"/>
                <w:i w:val="0"/>
                <w:color w:val="111111"/>
                <w:sz w:val="17"/>
              </w:rPr>
              <w:t>Coding bases excluding stop</w:t>
            </w:r>
          </w:p>
        </w:tc>
        <w:tc>
          <w:tcPr>
            <w:tcW w:type="dxa" w:w="5760"/>
            <w:tcMar>
              <w:top w:w="80" w:type="dxa"/>
              <w:start w:w="120" w:type="dxa"/>
              <w:bottom w:w="80" w:type="dxa"/>
              <w:end w:w="120" w:type="dxa"/>
            </w:tcMar>
            <w:vAlign w:val="center"/>
          </w:tcPr>
          <w:p>
            <w:pPr>
              <w:jc w:val="left"/>
            </w:pPr>
            <w:r>
              <w:rPr>
                <w:rFonts w:ascii="Arial" w:hAnsi="Arial" w:eastAsia="Arial"/>
                <w:b w:val="0"/>
                <w:i w:val="0"/>
                <w:color w:val="111111"/>
                <w:sz w:val="17"/>
              </w:rPr>
              <w:t>1,155 nt</w:t>
            </w:r>
          </w:p>
        </w:tc>
      </w:tr>
      <w:tr>
        <w:trPr>
          <w:cantSplit w:val="true"/>
        </w:trPr>
        <w:tc>
          <w:tcPr>
            <w:tcW w:type="dxa" w:w="3600"/>
            <w:tcMar>
              <w:top w:w="80" w:type="dxa"/>
              <w:start w:w="120" w:type="dxa"/>
              <w:bottom w:w="80" w:type="dxa"/>
              <w:end w:w="120" w:type="dxa"/>
            </w:tcMar>
            <w:vAlign w:val="center"/>
          </w:tcPr>
          <w:p>
            <w:pPr>
              <w:jc w:val="left"/>
            </w:pPr>
            <w:r>
              <w:rPr>
                <w:rFonts w:ascii="Arial" w:hAnsi="Arial" w:eastAsia="Arial"/>
                <w:b w:val="0"/>
                <w:i w:val="0"/>
                <w:color w:val="111111"/>
                <w:sz w:val="17"/>
              </w:rPr>
              <w:t>GC content</w:t>
            </w:r>
          </w:p>
        </w:tc>
        <w:tc>
          <w:tcPr>
            <w:tcW w:type="dxa" w:w="5760"/>
            <w:tcMar>
              <w:top w:w="80" w:type="dxa"/>
              <w:start w:w="120" w:type="dxa"/>
              <w:bottom w:w="80" w:type="dxa"/>
              <w:end w:w="120" w:type="dxa"/>
            </w:tcMar>
            <w:vAlign w:val="center"/>
          </w:tcPr>
          <w:p>
            <w:pPr>
              <w:jc w:val="left"/>
            </w:pPr>
            <w:r>
              <w:rPr>
                <w:rFonts w:ascii="Arial" w:hAnsi="Arial" w:eastAsia="Arial"/>
                <w:b w:val="0"/>
                <w:i w:val="0"/>
                <w:color w:val="111111"/>
                <w:sz w:val="17"/>
              </w:rPr>
              <w:t>57.69%</w:t>
            </w:r>
          </w:p>
        </w:tc>
      </w:tr>
      <w:tr>
        <w:trPr>
          <w:cantSplit w:val="true"/>
        </w:trPr>
        <w:tc>
          <w:tcPr>
            <w:tcW w:type="dxa" w:w="3600"/>
            <w:tcMar>
              <w:top w:w="80" w:type="dxa"/>
              <w:start w:w="120" w:type="dxa"/>
              <w:bottom w:w="80" w:type="dxa"/>
              <w:end w:w="120" w:type="dxa"/>
            </w:tcMar>
            <w:vAlign w:val="center"/>
          </w:tcPr>
          <w:p>
            <w:pPr>
              <w:jc w:val="left"/>
            </w:pPr>
            <w:r>
              <w:rPr>
                <w:rFonts w:ascii="Arial" w:hAnsi="Arial" w:eastAsia="Arial"/>
                <w:b w:val="0"/>
                <w:i w:val="0"/>
                <w:color w:val="111111"/>
                <w:sz w:val="17"/>
              </w:rPr>
              <w:t>Translation check</w:t>
            </w:r>
          </w:p>
        </w:tc>
        <w:tc>
          <w:tcPr>
            <w:tcW w:type="dxa" w:w="5760"/>
            <w:tcMar>
              <w:top w:w="80" w:type="dxa"/>
              <w:start w:w="120" w:type="dxa"/>
              <w:bottom w:w="80" w:type="dxa"/>
              <w:end w:w="120" w:type="dxa"/>
            </w:tcMar>
            <w:vAlign w:val="center"/>
          </w:tcPr>
          <w:p>
            <w:pPr>
              <w:jc w:val="left"/>
            </w:pPr>
            <w:r>
              <w:rPr>
                <w:rFonts w:ascii="Arial" w:hAnsi="Arial" w:eastAsia="Arial"/>
                <w:b w:val="0"/>
                <w:i w:val="0"/>
                <w:color w:val="111111"/>
                <w:sz w:val="17"/>
              </w:rPr>
              <w:t>Exact match to candidate protein</w:t>
            </w:r>
          </w:p>
        </w:tc>
      </w:tr>
      <w:tr>
        <w:trPr>
          <w:cantSplit w:val="true"/>
        </w:trPr>
        <w:tc>
          <w:tcPr>
            <w:tcW w:type="dxa" w:w="3600"/>
            <w:tcMar>
              <w:top w:w="80" w:type="dxa"/>
              <w:start w:w="120" w:type="dxa"/>
              <w:bottom w:w="80" w:type="dxa"/>
              <w:end w:w="120" w:type="dxa"/>
            </w:tcMar>
            <w:vAlign w:val="center"/>
          </w:tcPr>
          <w:p>
            <w:pPr>
              <w:jc w:val="left"/>
            </w:pPr>
            <w:r>
              <w:rPr>
                <w:rFonts w:ascii="Arial" w:hAnsi="Arial" w:eastAsia="Arial"/>
                <w:b w:val="0"/>
                <w:i w:val="0"/>
                <w:color w:val="111111"/>
                <w:sz w:val="17"/>
              </w:rPr>
              <w:t>Status</w:t>
            </w:r>
          </w:p>
        </w:tc>
        <w:tc>
          <w:tcPr>
            <w:tcW w:type="dxa" w:w="5760"/>
            <w:tcMar>
              <w:top w:w="80" w:type="dxa"/>
              <w:start w:w="120" w:type="dxa"/>
              <w:bottom w:w="80" w:type="dxa"/>
              <w:end w:w="120" w:type="dxa"/>
            </w:tcMar>
            <w:vAlign w:val="center"/>
          </w:tcPr>
          <w:p>
            <w:pPr>
              <w:jc w:val="left"/>
            </w:pPr>
            <w:r>
              <w:rPr>
                <w:rFonts w:ascii="Arial" w:hAnsi="Arial" w:eastAsia="Arial"/>
                <w:b w:val="0"/>
                <w:i w:val="0"/>
                <w:color w:val="111111"/>
                <w:sz w:val="17"/>
              </w:rPr>
              <w:t>PREDICTED_NOT_SYNTHESIS_READY</w:t>
            </w:r>
          </w:p>
        </w:tc>
      </w:tr>
    </w:tbl>
    <w:p>
      <w:pPr>
        <w:spacing w:after="20"/>
      </w:pPr>
    </w:p>
    <w:p>
      <w:pPr>
        <w:jc w:val="both"/>
      </w:pPr>
      <w:r>
        <w:rPr>
          <w:rFonts w:ascii="Arial" w:hAnsi="Arial" w:eastAsia="Arial"/>
          <w:b w:val="0"/>
          <w:i w:val="0"/>
          <w:color w:val="111111"/>
          <w:sz w:val="20"/>
        </w:rPr>
        <w:t>The DNA is a generic human-cell reverse translation of the candidate protein. It is not a complete expression cassette. No promoter, Kozak context, untranslated regions, intron design, polyadenylation signal, vector backbone, selectable marker, purification tag, localization signal, cargo-binding domain, or biosafety containment strategy is specified.</w:t>
      </w:r>
    </w:p>
    <w:tbl>
      <w:tblPr>
        <w:tblW w:type="dxa" w:w="936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9360"/>
      </w:tblGrid>
      <w:tr>
        <w:tc>
          <w:tcPr>
            <w:tcW w:type="dxa" w:w="9360"/>
            <w:shd w:fill="F4F6F9"/>
            <w:tcMar>
              <w:top w:w="80" w:type="dxa"/>
              <w:start w:w="120" w:type="dxa"/>
              <w:bottom w:w="80" w:type="dxa"/>
              <w:end w:w="120" w:type="dxa"/>
            </w:tcMar>
            <w:vAlign w:val="center"/>
          </w:tcPr>
          <w:p>
            <w:r>
              <w:rPr>
                <w:rFonts w:ascii="Arial" w:hAnsi="Arial" w:eastAsia="Arial"/>
                <w:b/>
                <w:i w:val="0"/>
                <w:color w:val="7A5A00"/>
                <w:sz w:val="20"/>
              </w:rPr>
              <w:t xml:space="preserve">Length accounting  </w:t>
            </w:r>
            <w:r>
              <w:rPr>
                <w:rFonts w:ascii="Arial" w:hAnsi="Arial" w:eastAsia="Arial"/>
                <w:b w:val="0"/>
                <w:i w:val="0"/>
                <w:color w:val="111111"/>
                <w:sz w:val="20"/>
              </w:rPr>
              <w:t>385 amino acids require 385 codons = 1,155 coding nucleotides. Adding one 3-nt stop codon gives a 1,158-nt CDS. Regulatory and vector elements would make the full construct substantially longer.</w:t>
            </w:r>
          </w:p>
        </w:tc>
      </w:tr>
    </w:tbl>
    <w:p>
      <w:pPr>
        <w:spacing w:after="20"/>
      </w:pPr>
    </w:p>
    <w:p>
      <w:pPr>
        <w:pStyle w:val="Heading1"/>
      </w:pPr>
      <w:r>
        <w:t>9. Predicted Walking Cycle</w:t>
      </w:r>
    </w:p>
    <w:p>
      <w:pPr>
        <w:jc w:val="both"/>
      </w:pPr>
      <w:r>
        <w:rPr>
          <w:rFonts w:ascii="Arial" w:hAnsi="Arial" w:eastAsia="Arial"/>
          <w:b w:val="0"/>
          <w:i w:val="0"/>
          <w:color w:val="111111"/>
          <w:sz w:val="20"/>
        </w:rPr>
        <w:t>The animation and figure are a visualization of a state machine. They are not molecular dynamics, single-molecule tracking, or evidence that H2 physically moves.</w:t>
      </w:r>
    </w:p>
    <w:p>
      <w:pPr>
        <w:jc w:val="center"/>
      </w:pPr>
      <w:r>
        <w:drawing>
          <wp:inline xmlns:a="http://schemas.openxmlformats.org/drawingml/2006/main" xmlns:pic="http://schemas.openxmlformats.org/drawingml/2006/picture">
            <wp:extent cx="6035040" cy="3394710"/>
            <wp:docPr id="1" name="Picture 1" descr="Predicted WRRA-Motor H2 state-machine schematic showing two motor heads on a microtubule, a designed gate, cargo, and plus-end direction."/>
            <wp:cNvGraphicFramePr>
              <a:graphicFrameLocks noChangeAspect="1"/>
            </wp:cNvGraphicFramePr>
            <a:graphic>
              <a:graphicData uri="http://schemas.openxmlformats.org/drawingml/2006/picture">
                <pic:pic>
                  <pic:nvPicPr>
                    <pic:cNvPr id="0" name="WRRA_Motor_H2_Movement_Poster_EN.png"/>
                    <pic:cNvPicPr/>
                  </pic:nvPicPr>
                  <pic:blipFill>
                    <a:blip r:embed="rId11"/>
                    <a:stretch>
                      <a:fillRect/>
                    </a:stretch>
                  </pic:blipFill>
                  <pic:spPr>
                    <a:xfrm>
                      <a:off x="0" y="0"/>
                      <a:ext cx="6035040" cy="3394710"/>
                    </a:xfrm>
                    <a:prstGeom prst="rect"/>
                  </pic:spPr>
                </pic:pic>
              </a:graphicData>
            </a:graphic>
          </wp:inline>
        </w:drawing>
      </w:r>
    </w:p>
    <w:p>
      <w:pPr>
        <w:jc w:val="center"/>
      </w:pPr>
      <w:r>
        <w:rPr>
          <w:rFonts w:ascii="Arial" w:hAnsi="Arial" w:eastAsia="Arial"/>
          <w:b w:val="0"/>
          <w:i/>
          <w:color w:val="5F6B76"/>
          <w:sz w:val="17"/>
        </w:rPr>
        <w:t>Figure 1. Predicted H2 walking cycle. Schematic only; not an experimental trajectory or molecular-dynamics simulation.</w:t>
      </w:r>
    </w:p>
    <w:p>
      <w:pPr>
        <w:pStyle w:val="Heading2"/>
      </w:pPr>
      <w:r>
        <w:t>9.1 State vector</w:t>
      </w:r>
    </w:p>
    <w:p>
      <w:pPr>
        <w:spacing w:before="100" w:after="140"/>
        <w:jc w:val="center"/>
      </w:pPr>
      <w:r>
        <w:rPr>
          <w:rFonts w:ascii="Cambria Math" w:hAnsi="Cambria Math" w:eastAsia="Cambria Math"/>
          <w:b w:val="0"/>
          <w:i w:val="0"/>
          <w:color w:val="16324F"/>
          <w:sz w:val="23"/>
        </w:rPr>
        <w:t>S = (xA, xB, bA, bB, nA, nB, epsilon)</w:t>
      </w:r>
    </w:p>
    <w:p>
      <w:pPr>
        <w:jc w:val="both"/>
      </w:pPr>
      <w:r>
        <w:rPr>
          <w:rFonts w:ascii="Arial" w:hAnsi="Arial" w:eastAsia="Arial"/>
          <w:b w:val="0"/>
          <w:i w:val="0"/>
          <w:color w:val="111111"/>
          <w:sz w:val="20"/>
        </w:rPr>
        <w:t>The state records the two head positions x, binding states b, nucleotide states n, and an effective strain or gating variable epsilon. The designed gate is hypothesized to influence epsilon and the allowed transition order; no physical parameterization has yet been calculated.</w:t>
      </w:r>
    </w:p>
    <w:p>
      <w:pPr>
        <w:pStyle w:val="Heading2"/>
      </w:pPr>
      <w:r>
        <w:t>9.2 S0 - both contacts bound</w:t>
      </w:r>
    </w:p>
    <w:p>
      <w:pPr>
        <w:jc w:val="both"/>
      </w:pPr>
      <w:r>
        <w:rPr>
          <w:rFonts w:ascii="Arial" w:hAnsi="Arial" w:eastAsia="Arial"/>
          <w:b w:val="0"/>
          <w:i w:val="0"/>
          <w:color w:val="111111"/>
          <w:sz w:val="20"/>
        </w:rPr>
        <w:t>Both heads occupy adjacent microtubule binding sites. One is designated rear and the other front. The two-chain structure supplies the anchor-and-explorer geometry required by the strict contract.</w:t>
      </w:r>
    </w:p>
    <w:p>
      <w:pPr>
        <w:pStyle w:val="Heading2"/>
      </w:pPr>
      <w:r>
        <w:t>9.3 S1 - ATP input and rear-head movement</w:t>
      </w:r>
    </w:p>
    <w:p>
      <w:pPr>
        <w:jc w:val="both"/>
      </w:pPr>
      <w:r>
        <w:rPr>
          <w:rFonts w:ascii="Arial" w:hAnsi="Arial" w:eastAsia="Arial"/>
          <w:b w:val="0"/>
          <w:i w:val="0"/>
          <w:color w:val="111111"/>
          <w:sz w:val="20"/>
        </w:rPr>
        <w:t>ATP-coupled conformational change is assumed to bias release of the rear head while the front head remains attached. The released head diffuses through a constrained forward search. The gate is intended to reduce simultaneous detachment, maintain asymmetric strain, and suppress transitions that violate the cycle. These roles remain design intentions, not measured properties.</w:t>
      </w:r>
    </w:p>
    <w:p>
      <w:pPr>
        <w:pStyle w:val="Heading2"/>
      </w:pPr>
      <w:r>
        <w:t>9.4 S2 - forward rebinding and role exchange</w:t>
      </w:r>
    </w:p>
    <w:p>
      <w:pPr>
        <w:jc w:val="both"/>
      </w:pPr>
      <w:r>
        <w:rPr>
          <w:rFonts w:ascii="Arial" w:hAnsi="Arial" w:eastAsia="Arial"/>
          <w:b w:val="0"/>
          <w:i w:val="0"/>
          <w:color w:val="111111"/>
          <w:sz w:val="20"/>
        </w:rPr>
        <w:t>The moving head binds the next site. Two-contact attachment is restored and the head roles exchange. The internal state returns to an equivalent form translated by one microtubule repeat.</w:t>
      </w:r>
    </w:p>
    <w:p>
      <w:pPr>
        <w:spacing w:before="100" w:after="140"/>
        <w:jc w:val="center"/>
      </w:pPr>
      <w:r>
        <w:rPr>
          <w:rFonts w:ascii="Cambria Math" w:hAnsi="Cambria Math" w:eastAsia="Cambria Math"/>
          <w:b w:val="0"/>
          <w:i w:val="0"/>
          <w:color w:val="16324F"/>
          <w:sz w:val="23"/>
        </w:rPr>
        <w:t>S2(A,B) equivalent to S0(B,A) + 8 nm</w:t>
      </w:r>
    </w:p>
    <w:p>
      <w:pPr>
        <w:spacing w:before="100" w:after="140"/>
        <w:jc w:val="center"/>
      </w:pPr>
      <w:r>
        <w:rPr>
          <w:rFonts w:ascii="Cambria Math" w:hAnsi="Cambria Math" w:eastAsia="Cambria Math"/>
          <w:b w:val="0"/>
          <w:i w:val="0"/>
          <w:color w:val="16324F"/>
          <w:sz w:val="23"/>
        </w:rPr>
        <w:t>xn = x0 + 8n nm</w:t>
      </w:r>
    </w:p>
    <w:p>
      <w:pPr>
        <w:pStyle w:val="Heading1"/>
      </w:pPr>
      <w:r>
        <w:t>10. Differentiating Features of the Research</w:t>
      </w:r>
    </w:p>
    <w:p>
      <w:pPr>
        <w:pStyle w:val="Heading2"/>
      </w:pPr>
      <w:r>
        <w:t>10.1 The design logic precedes the sequence</w:t>
      </w:r>
    </w:p>
    <w:p>
      <w:pPr>
        <w:jc w:val="both"/>
      </w:pPr>
      <w:r>
        <w:rPr>
          <w:rFonts w:ascii="Arial" w:hAnsi="Arial" w:eastAsia="Arial"/>
          <w:b w:val="0"/>
          <w:i w:val="0"/>
          <w:color w:val="111111"/>
          <w:sz w:val="20"/>
        </w:rPr>
        <w:t>WRRA-Motor first defines the state cycle and survival contract, converts each transition into physical requirements, then maps those requirements into topology, amino-acid sequence, and DNA. The differentiator is therefore the traceable derivation, not merely the existence of another kinesin fusion sequence.</w:t>
      </w:r>
    </w:p>
    <w:p>
      <w:pPr>
        <w:spacing w:before="100" w:after="140"/>
        <w:jc w:val="center"/>
      </w:pPr>
      <w:r>
        <w:rPr>
          <w:rFonts w:ascii="Cambria Math" w:hAnsi="Cambria Math" w:eastAsia="Cambria Math"/>
          <w:b w:val="0"/>
          <w:i w:val="0"/>
          <w:color w:val="16324F"/>
          <w:sz w:val="23"/>
        </w:rPr>
        <w:t>State cycle -&gt; physical conditions -&gt; minimal architecture -&gt; protein topology -&gt; amino acids -&gt; DNA</w:t>
      </w:r>
    </w:p>
    <w:p>
      <w:pPr>
        <w:pStyle w:val="Heading2"/>
      </w:pPr>
      <w:r>
        <w:t>10.2 Preserve validated function and minimize change</w:t>
      </w:r>
    </w:p>
    <w:p>
      <w:pPr>
        <w:jc w:val="both"/>
      </w:pPr>
      <w:r>
        <w:rPr>
          <w:rFonts w:ascii="Arial" w:hAnsi="Arial" w:eastAsia="Arial"/>
          <w:b w:val="0"/>
          <w:i w:val="0"/>
          <w:color w:val="111111"/>
          <w:sz w:val="20"/>
        </w:rPr>
        <w:t>The ATP motor and microtubule-binding surface are not reinvented. They are inherited from KIF5B. The designed region is limited to the 32-aa gate. This operationalizes the WRRA principle of preserving stable present structure and changing only what is required by the missing transition.</w:t>
      </w:r>
    </w:p>
    <w:p>
      <w:pPr>
        <w:pStyle w:val="Heading2"/>
      </w:pPr>
      <w:r>
        <w:t>10.3 An auditable line from abstraction to synthesis</w:t>
      </w:r>
    </w:p>
    <w:p>
      <w:pPr>
        <w:jc w:val="both"/>
      </w:pPr>
      <w:r>
        <w:rPr>
          <w:rFonts w:ascii="Arial" w:hAnsi="Arial" w:eastAsia="Arial"/>
          <w:b w:val="0"/>
          <w:i w:val="0"/>
          <w:color w:val="111111"/>
          <w:sz w:val="20"/>
        </w:rPr>
        <w:t>The work connects WRRA principles, a state machine, a mechanistic hypothesis, protein topology, a 385-aa candidate, and a 1,158-nt CDS in one provenance ledger. Every segment and conclusion is marked INHERITED, DESIGNED, PREDICTED, OPEN, or FAIL-CLOSED.</w:t>
      </w:r>
    </w:p>
    <w:p>
      <w:pPr>
        <w:pStyle w:val="Heading2"/>
      </w:pPr>
      <w:r>
        <w:t>10.4 Condition for a genuine differentiated claim</w:t>
      </w:r>
    </w:p>
    <w:tbl>
      <w:tblPr>
        <w:tblW w:type="dxa" w:w="936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9360"/>
      </w:tblGrid>
      <w:tr>
        <w:tc>
          <w:tcPr>
            <w:tcW w:type="dxa" w:w="9360"/>
            <w:shd w:fill="F4F6F9"/>
            <w:tcMar>
              <w:top w:w="80" w:type="dxa"/>
              <w:start w:w="120" w:type="dxa"/>
              <w:bottom w:w="80" w:type="dxa"/>
              <w:end w:w="120" w:type="dxa"/>
            </w:tcMar>
            <w:vAlign w:val="center"/>
          </w:tcPr>
          <w:p>
            <w:r>
              <w:rPr>
                <w:rFonts w:ascii="Arial" w:hAnsi="Arial" w:eastAsia="Arial"/>
                <w:b/>
                <w:i w:val="0"/>
                <w:color w:val="16324F"/>
                <w:sz w:val="20"/>
              </w:rPr>
              <w:t xml:space="preserve">Critical test  </w:t>
            </w:r>
            <w:r>
              <w:rPr>
                <w:rFonts w:ascii="Arial" w:hAnsi="Arial" w:eastAsia="Arial"/>
                <w:b w:val="0"/>
                <w:i w:val="0"/>
                <w:color w:val="111111"/>
                <w:sz w:val="20"/>
              </w:rPr>
              <w:t>WRRA-specific differentiation becomes supportable only if H2 produces a reproducible measurable behavior that is superior to or distinct from a length-matched generic coiled coil, a composition-preserving scrambled gate, and established kinesin controls.</w:t>
            </w:r>
          </w:p>
        </w:tc>
      </w:tr>
    </w:tbl>
    <w:p>
      <w:pPr>
        <w:spacing w:after="20"/>
      </w:pPr>
    </w:p>
    <w:p>
      <w:pPr>
        <w:pStyle w:val="Heading1"/>
      </w:pPr>
      <w:r>
        <w:t>11. How Difficult Is This Level of Protein Design?</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800"/>
        <w:gridCol w:w="2200"/>
        <w:gridCol w:w="3360"/>
      </w:tblGrid>
      <w:tr>
        <w:trPr>
          <w:tblHeader w:val="true"/>
          <w:cantSplit w:val="true"/>
        </w:trPr>
        <w:tc>
          <w:tcPr>
            <w:tcW w:type="dxa" w:w="3800"/>
            <w:shd w:fill="E8EEF5"/>
            <w:tcMar>
              <w:top w:w="80" w:type="dxa"/>
              <w:start w:w="120" w:type="dxa"/>
              <w:bottom w:w="80" w:type="dxa"/>
              <w:end w:w="120" w:type="dxa"/>
            </w:tcMar>
            <w:vAlign w:val="center"/>
          </w:tcPr>
          <w:p>
            <w:pPr>
              <w:jc w:val="center"/>
            </w:pPr>
            <w:r>
              <w:rPr>
                <w:rFonts w:ascii="Arial" w:hAnsi="Arial" w:eastAsia="Arial"/>
                <w:b/>
                <w:i w:val="0"/>
                <w:color w:val="16324F"/>
                <w:sz w:val="17"/>
              </w:rPr>
              <w:t>Stage</w:t>
            </w:r>
          </w:p>
        </w:tc>
        <w:tc>
          <w:tcPr>
            <w:tcW w:type="dxa" w:w="2200"/>
            <w:shd w:fill="E8EEF5"/>
            <w:tcMar>
              <w:top w:w="80" w:type="dxa"/>
              <w:start w:w="120" w:type="dxa"/>
              <w:bottom w:w="80" w:type="dxa"/>
              <w:end w:w="120" w:type="dxa"/>
            </w:tcMar>
            <w:vAlign w:val="center"/>
          </w:tcPr>
          <w:p>
            <w:pPr>
              <w:jc w:val="center"/>
            </w:pPr>
            <w:r>
              <w:rPr>
                <w:rFonts w:ascii="Arial" w:hAnsi="Arial" w:eastAsia="Arial"/>
                <w:b/>
                <w:i w:val="0"/>
                <w:color w:val="16324F"/>
                <w:sz w:val="17"/>
              </w:rPr>
              <w:t>Difficulty</w:t>
            </w:r>
          </w:p>
        </w:tc>
        <w:tc>
          <w:tcPr>
            <w:tcW w:type="dxa" w:w="3360"/>
            <w:shd w:fill="E8EEF5"/>
            <w:tcMar>
              <w:top w:w="80" w:type="dxa"/>
              <w:start w:w="120" w:type="dxa"/>
              <w:bottom w:w="80" w:type="dxa"/>
              <w:end w:w="120" w:type="dxa"/>
            </w:tcMar>
            <w:vAlign w:val="center"/>
          </w:tcPr>
          <w:p>
            <w:pPr>
              <w:jc w:val="center"/>
            </w:pPr>
            <w:r>
              <w:rPr>
                <w:rFonts w:ascii="Arial" w:hAnsi="Arial" w:eastAsia="Arial"/>
                <w:b/>
                <w:i w:val="0"/>
                <w:color w:val="16324F"/>
                <w:sz w:val="17"/>
              </w:rPr>
              <w:t>H2 status</w:t>
            </w:r>
          </w:p>
        </w:tc>
      </w:tr>
      <w:tr>
        <w:trPr>
          <w:cantSplit w:val="true"/>
        </w:trPr>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Write amino-acid and DNA candidates</w:t>
            </w:r>
          </w:p>
        </w:tc>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Relatively easy</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Completed</w:t>
            </w:r>
          </w:p>
        </w:tc>
      </w:tr>
      <w:tr>
        <w:trPr>
          <w:cantSplit w:val="true"/>
        </w:trPr>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Codon and forbidden-motif checks</w:t>
            </w:r>
          </w:p>
        </w:tc>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Relatively easy</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Completed</w:t>
            </w:r>
          </w:p>
        </w:tc>
      </w:tr>
      <w:tr>
        <w:trPr>
          <w:cantSplit w:val="true"/>
        </w:trPr>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Static structure prediction</w:t>
            </w:r>
          </w:p>
        </w:tc>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Moderate</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Not run</w:t>
            </w:r>
          </w:p>
        </w:tc>
      </w:tr>
      <w:tr>
        <w:trPr>
          <w:cantSplit w:val="true"/>
        </w:trPr>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Dimer + nucleotide + microtubule complex</w:t>
            </w:r>
          </w:p>
        </w:tc>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Hard</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Not run</w:t>
            </w:r>
          </w:p>
        </w:tc>
      </w:tr>
      <w:tr>
        <w:trPr>
          <w:cantSplit w:val="true"/>
        </w:trPr>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Multistate mechanochemical dynamics</w:t>
            </w:r>
          </w:p>
        </w:tc>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Very hard</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Not run</w:t>
            </w:r>
          </w:p>
        </w:tc>
      </w:tr>
      <w:tr>
        <w:trPr>
          <w:cantSplit w:val="true"/>
        </w:trPr>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Processive single-molecule walking</w:t>
            </w:r>
          </w:p>
        </w:tc>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Specialized experiment</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OPEN</w:t>
            </w:r>
          </w:p>
        </w:tc>
      </w:tr>
      <w:tr>
        <w:trPr>
          <w:cantSplit w:val="true"/>
        </w:trPr>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Selective intracellular cargo transport</w:t>
            </w:r>
          </w:p>
        </w:tc>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Very hard</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Design incomplete</w:t>
            </w:r>
          </w:p>
        </w:tc>
      </w:tr>
      <w:tr>
        <w:trPr>
          <w:cantSplit w:val="true"/>
        </w:trPr>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Fully de novo autonomous motor</w:t>
            </w:r>
          </w:p>
        </w:tc>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Research frontier</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N1 fail-closed</w:t>
            </w:r>
          </w:p>
        </w:tc>
      </w:tr>
    </w:tbl>
    <w:p>
      <w:pPr>
        <w:spacing w:after="20"/>
      </w:pPr>
    </w:p>
    <w:p>
      <w:pPr>
        <w:jc w:val="both"/>
      </w:pPr>
      <w:r>
        <w:rPr>
          <w:rFonts w:ascii="Arial" w:hAnsi="Arial" w:eastAsia="Arial"/>
          <w:b w:val="0"/>
          <w:i w:val="0"/>
          <w:color w:val="111111"/>
          <w:sz w:val="20"/>
        </w:rPr>
        <w:t>It is now comparatively easy to draft a sequence, reverse-translate it, and run syntax-level screens. It remains difficult to establish that the sequence folds, couples ATP hydrolysis to directional stepping, stays processive under load, and functions safely in a cell. H2 is more tractable than a fully de novo motor because it reuses a natural core, but the gate can still disrupt rather than improve function.</w:t>
      </w:r>
    </w:p>
    <w:p>
      <w:pPr>
        <w:pStyle w:val="Heading1"/>
      </w:pPr>
      <w:r>
        <w:t>12. What Can Be Proved Without Experiments?</w:t>
      </w:r>
    </w:p>
    <w:p>
      <w:pPr>
        <w:pStyle w:val="Heading2"/>
      </w:pPr>
      <w:r>
        <w:t>12.1 Formal result: a conditional state-machine theorem</w:t>
      </w:r>
    </w:p>
    <w:p>
      <w:pPr>
        <w:jc w:val="both"/>
      </w:pPr>
      <w:r>
        <w:rPr>
          <w:rFonts w:ascii="Arial" w:hAnsi="Arial" w:eastAsia="Arial"/>
          <w:b w:val="0"/>
          <w:i w:val="0"/>
          <w:color w:val="111111"/>
          <w:sz w:val="20"/>
        </w:rPr>
        <w:t>If every normal cycle implements S0(x) -&gt; S0(x+8 nm) and backward cycles are excluded by definition, then induction proves xn=x0+8n nm after n cycles. This proves directional accumulation inside the declared transition system.</w:t>
      </w:r>
    </w:p>
    <w:p>
      <w:pPr>
        <w:spacing w:before="100" w:after="140"/>
        <w:jc w:val="center"/>
      </w:pPr>
      <w:r>
        <w:rPr>
          <w:rFonts w:ascii="Cambria Math" w:hAnsi="Cambria Math" w:eastAsia="Cambria Math"/>
          <w:b w:val="0"/>
          <w:i w:val="0"/>
          <w:color w:val="16324F"/>
          <w:sz w:val="23"/>
        </w:rPr>
        <w:t>S0(x) -&gt; S1(x) -&gt; S2(x+8 nm) -&gt; S0(x+8 nm)</w:t>
      </w:r>
    </w:p>
    <w:tbl>
      <w:tblPr>
        <w:tblW w:type="dxa" w:w="936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9360"/>
      </w:tblGrid>
      <w:tr>
        <w:tc>
          <w:tcPr>
            <w:tcW w:type="dxa" w:w="9360"/>
            <w:shd w:fill="F4F6F9"/>
            <w:tcMar>
              <w:top w:w="80" w:type="dxa"/>
              <w:start w:w="120" w:type="dxa"/>
              <w:bottom w:w="80" w:type="dxa"/>
              <w:end w:w="120" w:type="dxa"/>
            </w:tcMar>
            <w:vAlign w:val="center"/>
          </w:tcPr>
          <w:p>
            <w:r>
              <w:rPr>
                <w:rFonts w:ascii="Arial" w:hAnsi="Arial" w:eastAsia="Arial"/>
                <w:b/>
                <w:i w:val="0"/>
                <w:color w:val="7A5A00"/>
                <w:sz w:val="20"/>
              </w:rPr>
              <w:t xml:space="preserve">Exact meaning of the proof  </w:t>
            </w:r>
            <w:r>
              <w:rPr>
                <w:rFonts w:ascii="Arial" w:hAnsi="Arial" w:eastAsia="Arial"/>
                <w:b w:val="0"/>
                <w:i w:val="0"/>
                <w:color w:val="111111"/>
                <w:sz w:val="20"/>
              </w:rPr>
              <w:t>If the WRRA transition conditions are physically implemented, the state machine advances. The proof does not establish that this particular 385-aa sequence implements those conditions.</w:t>
            </w:r>
          </w:p>
        </w:tc>
      </w:tr>
    </w:tbl>
    <w:p>
      <w:pPr>
        <w:spacing w:after="20"/>
      </w:pPr>
    </w:p>
    <w:p>
      <w:pPr>
        <w:pStyle w:val="Heading2"/>
      </w:pPr>
      <w:r>
        <w:t>12.2 Evidence that computation can strengthen</w:t>
      </w:r>
    </w:p>
    <w:p>
      <w:pPr>
        <w:jc w:val="both"/>
      </w:pPr>
      <w:r>
        <w:rPr>
          <w:rFonts w:ascii="Arial" w:hAnsi="Arial" w:eastAsia="Arial"/>
          <w:b w:val="0"/>
          <w:i w:val="0"/>
          <w:color w:val="111111"/>
          <w:sz w:val="20"/>
        </w:rPr>
        <w:t>Pre-experimental computation can test whether H2 plausibly folds, forms a parallel homodimer, preserves the ATP pocket and microtubule interface, retains nucleotide-dependent structural differences, transmits strain through the neck-linker/gate junction, and avoids dominant aggregation or off-target states. Such results remain conditional on the predictor, force field, initial conditions, and sampling depth.</w:t>
      </w:r>
    </w:p>
    <w:p>
      <w:pPr>
        <w:spacing w:before="100" w:after="140"/>
        <w:jc w:val="center"/>
      </w:pPr>
      <w:r>
        <w:rPr>
          <w:rFonts w:ascii="Cambria Math" w:hAnsi="Cambria Math" w:eastAsia="Cambria Math"/>
          <w:b w:val="0"/>
          <w:i w:val="0"/>
          <w:color w:val="16324F"/>
          <w:sz w:val="23"/>
        </w:rPr>
        <w:t>Computational evidence = P(function | model, force field, initial conditions, sampling)</w:t>
      </w:r>
    </w:p>
    <w:p>
      <w:pPr>
        <w:pStyle w:val="Heading2"/>
      </w:pPr>
      <w:r>
        <w:t>12.3 Claims that still require experiments</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00"/>
        <w:gridCol w:w="2860"/>
      </w:tblGrid>
      <w:tr>
        <w:trPr>
          <w:tblHeader w:val="true"/>
          <w:cantSplit w:val="true"/>
        </w:trPr>
        <w:tc>
          <w:tcPr>
            <w:tcW w:type="dxa" w:w="6500"/>
            <w:shd w:fill="E8EEF5"/>
            <w:tcMar>
              <w:top w:w="80" w:type="dxa"/>
              <w:start w:w="120" w:type="dxa"/>
              <w:bottom w:w="80" w:type="dxa"/>
              <w:end w:w="120" w:type="dxa"/>
            </w:tcMar>
            <w:vAlign w:val="center"/>
          </w:tcPr>
          <w:p>
            <w:pPr>
              <w:jc w:val="center"/>
            </w:pPr>
            <w:r>
              <w:rPr>
                <w:rFonts w:ascii="Arial" w:hAnsi="Arial" w:eastAsia="Arial"/>
                <w:b/>
                <w:i w:val="0"/>
                <w:color w:val="16324F"/>
                <w:sz w:val="17"/>
              </w:rPr>
              <w:t>Claim</w:t>
            </w:r>
          </w:p>
        </w:tc>
        <w:tc>
          <w:tcPr>
            <w:tcW w:type="dxa" w:w="2860"/>
            <w:shd w:fill="E8EEF5"/>
            <w:tcMar>
              <w:top w:w="80" w:type="dxa"/>
              <w:start w:w="120" w:type="dxa"/>
              <w:bottom w:w="80" w:type="dxa"/>
              <w:end w:w="120" w:type="dxa"/>
            </w:tcMar>
            <w:vAlign w:val="center"/>
          </w:tcPr>
          <w:p>
            <w:pPr>
              <w:jc w:val="center"/>
            </w:pPr>
            <w:r>
              <w:rPr>
                <w:rFonts w:ascii="Arial" w:hAnsi="Arial" w:eastAsia="Arial"/>
                <w:b/>
                <w:i w:val="0"/>
                <w:color w:val="16324F"/>
                <w:sz w:val="17"/>
              </w:rPr>
              <w:t>Required evidence</w:t>
            </w:r>
          </w:p>
        </w:tc>
      </w:tr>
      <w:tr>
        <w:trPr>
          <w:cantSplit w:val="true"/>
        </w:trPr>
        <w:tc>
          <w:tcPr>
            <w:tcW w:type="dxa" w:w="6500"/>
            <w:tcMar>
              <w:top w:w="80" w:type="dxa"/>
              <w:start w:w="120" w:type="dxa"/>
              <w:bottom w:w="80" w:type="dxa"/>
              <w:end w:w="120" w:type="dxa"/>
            </w:tcMar>
            <w:vAlign w:val="center"/>
          </w:tcPr>
          <w:p>
            <w:pPr>
              <w:jc w:val="left"/>
            </w:pPr>
            <w:r>
              <w:rPr>
                <w:rFonts w:ascii="Arial" w:hAnsi="Arial" w:eastAsia="Arial"/>
                <w:b w:val="0"/>
                <w:i w:val="0"/>
                <w:color w:val="111111"/>
                <w:sz w:val="17"/>
              </w:rPr>
              <w:t>H2 is expressed and soluble in cells or in vitro</w:t>
            </w:r>
          </w:p>
        </w:tc>
        <w:tc>
          <w:tcPr>
            <w:tcW w:type="dxa" w:w="2860"/>
            <w:tcMar>
              <w:top w:w="80" w:type="dxa"/>
              <w:start w:w="120" w:type="dxa"/>
              <w:bottom w:w="80" w:type="dxa"/>
              <w:end w:w="120" w:type="dxa"/>
            </w:tcMar>
            <w:vAlign w:val="center"/>
          </w:tcPr>
          <w:p>
            <w:pPr>
              <w:jc w:val="left"/>
            </w:pPr>
            <w:r>
              <w:rPr>
                <w:rFonts w:ascii="Arial" w:hAnsi="Arial" w:eastAsia="Arial"/>
                <w:b w:val="0"/>
                <w:i w:val="0"/>
                <w:color w:val="111111"/>
                <w:sz w:val="17"/>
              </w:rPr>
              <w:t>Expression and biochemical measurements</w:t>
            </w:r>
          </w:p>
        </w:tc>
      </w:tr>
      <w:tr>
        <w:trPr>
          <w:cantSplit w:val="true"/>
        </w:trPr>
        <w:tc>
          <w:tcPr>
            <w:tcW w:type="dxa" w:w="6500"/>
            <w:tcMar>
              <w:top w:w="80" w:type="dxa"/>
              <w:start w:w="120" w:type="dxa"/>
              <w:bottom w:w="80" w:type="dxa"/>
              <w:end w:w="120" w:type="dxa"/>
            </w:tcMar>
            <w:vAlign w:val="center"/>
          </w:tcPr>
          <w:p>
            <w:pPr>
              <w:jc w:val="left"/>
            </w:pPr>
            <w:r>
              <w:rPr>
                <w:rFonts w:ascii="Arial" w:hAnsi="Arial" w:eastAsia="Arial"/>
                <w:b w:val="0"/>
                <w:i w:val="0"/>
                <w:color w:val="111111"/>
                <w:sz w:val="17"/>
              </w:rPr>
              <w:t>Two 385-aa chains form the intended dimer</w:t>
            </w:r>
          </w:p>
        </w:tc>
        <w:tc>
          <w:tcPr>
            <w:tcW w:type="dxa" w:w="2860"/>
            <w:tcMar>
              <w:top w:w="80" w:type="dxa"/>
              <w:start w:w="120" w:type="dxa"/>
              <w:bottom w:w="80" w:type="dxa"/>
              <w:end w:w="120" w:type="dxa"/>
            </w:tcMar>
            <w:vAlign w:val="center"/>
          </w:tcPr>
          <w:p>
            <w:pPr>
              <w:jc w:val="left"/>
            </w:pPr>
            <w:r>
              <w:rPr>
                <w:rFonts w:ascii="Arial" w:hAnsi="Arial" w:eastAsia="Arial"/>
                <w:b w:val="0"/>
                <w:i w:val="0"/>
                <w:color w:val="111111"/>
                <w:sz w:val="17"/>
              </w:rPr>
              <w:t>Oligomer-state measurement</w:t>
            </w:r>
          </w:p>
        </w:tc>
      </w:tr>
      <w:tr>
        <w:trPr>
          <w:cantSplit w:val="true"/>
        </w:trPr>
        <w:tc>
          <w:tcPr>
            <w:tcW w:type="dxa" w:w="6500"/>
            <w:tcMar>
              <w:top w:w="80" w:type="dxa"/>
              <w:start w:w="120" w:type="dxa"/>
              <w:bottom w:w="80" w:type="dxa"/>
              <w:end w:w="120" w:type="dxa"/>
            </w:tcMar>
            <w:vAlign w:val="center"/>
          </w:tcPr>
          <w:p>
            <w:pPr>
              <w:jc w:val="left"/>
            </w:pPr>
            <w:r>
              <w:rPr>
                <w:rFonts w:ascii="Arial" w:hAnsi="Arial" w:eastAsia="Arial"/>
                <w:b w:val="0"/>
                <w:i w:val="0"/>
                <w:color w:val="111111"/>
                <w:sz w:val="17"/>
              </w:rPr>
              <w:t>ATPase activity is retained</w:t>
            </w:r>
          </w:p>
        </w:tc>
        <w:tc>
          <w:tcPr>
            <w:tcW w:type="dxa" w:w="2860"/>
            <w:tcMar>
              <w:top w:w="80" w:type="dxa"/>
              <w:start w:w="120" w:type="dxa"/>
              <w:bottom w:w="80" w:type="dxa"/>
              <w:end w:w="120" w:type="dxa"/>
            </w:tcMar>
            <w:vAlign w:val="center"/>
          </w:tcPr>
          <w:p>
            <w:pPr>
              <w:jc w:val="left"/>
            </w:pPr>
            <w:r>
              <w:rPr>
                <w:rFonts w:ascii="Arial" w:hAnsi="Arial" w:eastAsia="Arial"/>
                <w:b w:val="0"/>
                <w:i w:val="0"/>
                <w:color w:val="111111"/>
                <w:sz w:val="17"/>
              </w:rPr>
              <w:t>Enzymatic assay</w:t>
            </w:r>
          </w:p>
        </w:tc>
      </w:tr>
      <w:tr>
        <w:trPr>
          <w:cantSplit w:val="true"/>
        </w:trPr>
        <w:tc>
          <w:tcPr>
            <w:tcW w:type="dxa" w:w="6500"/>
            <w:tcMar>
              <w:top w:w="80" w:type="dxa"/>
              <w:start w:w="120" w:type="dxa"/>
              <w:bottom w:w="80" w:type="dxa"/>
              <w:end w:w="120" w:type="dxa"/>
            </w:tcMar>
            <w:vAlign w:val="center"/>
          </w:tcPr>
          <w:p>
            <w:pPr>
              <w:jc w:val="left"/>
            </w:pPr>
            <w:r>
              <w:rPr>
                <w:rFonts w:ascii="Arial" w:hAnsi="Arial" w:eastAsia="Arial"/>
                <w:b w:val="0"/>
                <w:i w:val="0"/>
                <w:color w:val="111111"/>
                <w:sz w:val="17"/>
              </w:rPr>
              <w:t>The motor walks toward the microtubule plus end</w:t>
            </w:r>
          </w:p>
        </w:tc>
        <w:tc>
          <w:tcPr>
            <w:tcW w:type="dxa" w:w="2860"/>
            <w:tcMar>
              <w:top w:w="80" w:type="dxa"/>
              <w:start w:w="120" w:type="dxa"/>
              <w:bottom w:w="80" w:type="dxa"/>
              <w:end w:w="120" w:type="dxa"/>
            </w:tcMar>
            <w:vAlign w:val="center"/>
          </w:tcPr>
          <w:p>
            <w:pPr>
              <w:jc w:val="left"/>
            </w:pPr>
            <w:r>
              <w:rPr>
                <w:rFonts w:ascii="Arial" w:hAnsi="Arial" w:eastAsia="Arial"/>
                <w:b w:val="0"/>
                <w:i w:val="0"/>
                <w:color w:val="111111"/>
                <w:sz w:val="17"/>
              </w:rPr>
              <w:t>Single-molecule motility assay</w:t>
            </w:r>
          </w:p>
        </w:tc>
      </w:tr>
      <w:tr>
        <w:trPr>
          <w:cantSplit w:val="true"/>
        </w:trPr>
        <w:tc>
          <w:tcPr>
            <w:tcW w:type="dxa" w:w="6500"/>
            <w:tcMar>
              <w:top w:w="80" w:type="dxa"/>
              <w:start w:w="120" w:type="dxa"/>
              <w:bottom w:w="80" w:type="dxa"/>
              <w:end w:w="120" w:type="dxa"/>
            </w:tcMar>
            <w:vAlign w:val="center"/>
          </w:tcPr>
          <w:p>
            <w:pPr>
              <w:jc w:val="left"/>
            </w:pPr>
            <w:r>
              <w:rPr>
                <w:rFonts w:ascii="Arial" w:hAnsi="Arial" w:eastAsia="Arial"/>
                <w:b w:val="0"/>
                <w:i w:val="0"/>
                <w:color w:val="111111"/>
                <w:sz w:val="17"/>
              </w:rPr>
              <w:t>The gate improves coordination over generic coiled coil</w:t>
            </w:r>
          </w:p>
        </w:tc>
        <w:tc>
          <w:tcPr>
            <w:tcW w:type="dxa" w:w="2860"/>
            <w:tcMar>
              <w:top w:w="80" w:type="dxa"/>
              <w:start w:w="120" w:type="dxa"/>
              <w:bottom w:w="80" w:type="dxa"/>
              <w:end w:w="120" w:type="dxa"/>
            </w:tcMar>
            <w:vAlign w:val="center"/>
          </w:tcPr>
          <w:p>
            <w:pPr>
              <w:jc w:val="left"/>
            </w:pPr>
            <w:r>
              <w:rPr>
                <w:rFonts w:ascii="Arial" w:hAnsi="Arial" w:eastAsia="Arial"/>
                <w:b w:val="0"/>
                <w:i w:val="0"/>
                <w:color w:val="111111"/>
                <w:sz w:val="17"/>
              </w:rPr>
              <w:t>Controlled comparison</w:t>
            </w:r>
          </w:p>
        </w:tc>
      </w:tr>
      <w:tr>
        <w:trPr>
          <w:cantSplit w:val="true"/>
        </w:trPr>
        <w:tc>
          <w:tcPr>
            <w:tcW w:type="dxa" w:w="6500"/>
            <w:tcMar>
              <w:top w:w="80" w:type="dxa"/>
              <w:start w:w="120" w:type="dxa"/>
              <w:bottom w:w="80" w:type="dxa"/>
              <w:end w:w="120" w:type="dxa"/>
            </w:tcMar>
            <w:vAlign w:val="center"/>
          </w:tcPr>
          <w:p>
            <w:pPr>
              <w:jc w:val="left"/>
            </w:pPr>
            <w:r>
              <w:rPr>
                <w:rFonts w:ascii="Arial" w:hAnsi="Arial" w:eastAsia="Arial"/>
                <w:b w:val="0"/>
                <w:i w:val="0"/>
                <w:color w:val="111111"/>
                <w:sz w:val="17"/>
              </w:rPr>
              <w:t>The construct transports a selected intracellular cargo</w:t>
            </w:r>
          </w:p>
        </w:tc>
        <w:tc>
          <w:tcPr>
            <w:tcW w:type="dxa" w:w="2860"/>
            <w:tcMar>
              <w:top w:w="80" w:type="dxa"/>
              <w:start w:w="120" w:type="dxa"/>
              <w:bottom w:w="80" w:type="dxa"/>
              <w:end w:w="120" w:type="dxa"/>
            </w:tcMar>
            <w:vAlign w:val="center"/>
          </w:tcPr>
          <w:p>
            <w:pPr>
              <w:jc w:val="left"/>
            </w:pPr>
            <w:r>
              <w:rPr>
                <w:rFonts w:ascii="Arial" w:hAnsi="Arial" w:eastAsia="Arial"/>
                <w:b w:val="0"/>
                <w:i w:val="0"/>
                <w:color w:val="111111"/>
                <w:sz w:val="17"/>
              </w:rPr>
              <w:t>Additional cargo design and cell experiment</w:t>
            </w:r>
          </w:p>
        </w:tc>
      </w:tr>
    </w:tbl>
    <w:p>
      <w:pPr>
        <w:spacing w:after="20"/>
      </w:pPr>
    </w:p>
    <w:p>
      <w:pPr>
        <w:pStyle w:val="Heading1"/>
      </w:pPr>
      <w:r>
        <w:t>13. Validation Roadmap</w:t>
      </w:r>
    </w:p>
    <w:p>
      <w:pPr>
        <w:pStyle w:val="Heading2"/>
      </w:pPr>
      <w:r>
        <w:t>13.1 Computational validation</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00"/>
        <w:gridCol w:w="3800"/>
        <w:gridCol w:w="3660"/>
      </w:tblGrid>
      <w:tr>
        <w:trPr>
          <w:tblHeader w:val="true"/>
          <w:cantSplit w:val="true"/>
        </w:trPr>
        <w:tc>
          <w:tcPr>
            <w:tcW w:type="dxa" w:w="1900"/>
            <w:shd w:fill="E8EEF5"/>
            <w:tcMar>
              <w:top w:w="80" w:type="dxa"/>
              <w:start w:w="120" w:type="dxa"/>
              <w:bottom w:w="80" w:type="dxa"/>
              <w:end w:w="120" w:type="dxa"/>
            </w:tcMar>
            <w:vAlign w:val="center"/>
          </w:tcPr>
          <w:p>
            <w:pPr>
              <w:jc w:val="center"/>
            </w:pPr>
            <w:r>
              <w:rPr>
                <w:rFonts w:ascii="Arial" w:hAnsi="Arial" w:eastAsia="Arial"/>
                <w:b/>
                <w:i w:val="0"/>
                <w:color w:val="16324F"/>
                <w:sz w:val="17"/>
              </w:rPr>
              <w:t>Stage</w:t>
            </w:r>
          </w:p>
        </w:tc>
        <w:tc>
          <w:tcPr>
            <w:tcW w:type="dxa" w:w="3800"/>
            <w:shd w:fill="E8EEF5"/>
            <w:tcMar>
              <w:top w:w="80" w:type="dxa"/>
              <w:start w:w="120" w:type="dxa"/>
              <w:bottom w:w="80" w:type="dxa"/>
              <w:end w:w="120" w:type="dxa"/>
            </w:tcMar>
            <w:vAlign w:val="center"/>
          </w:tcPr>
          <w:p>
            <w:pPr>
              <w:jc w:val="center"/>
            </w:pPr>
            <w:r>
              <w:rPr>
                <w:rFonts w:ascii="Arial" w:hAnsi="Arial" w:eastAsia="Arial"/>
                <w:b/>
                <w:i w:val="0"/>
                <w:color w:val="16324F"/>
                <w:sz w:val="17"/>
              </w:rPr>
              <w:t>Question</w:t>
            </w:r>
          </w:p>
        </w:tc>
        <w:tc>
          <w:tcPr>
            <w:tcW w:type="dxa" w:w="3660"/>
            <w:shd w:fill="E8EEF5"/>
            <w:tcMar>
              <w:top w:w="80" w:type="dxa"/>
              <w:start w:w="120" w:type="dxa"/>
              <w:bottom w:w="80" w:type="dxa"/>
              <w:end w:w="120" w:type="dxa"/>
            </w:tcMar>
            <w:vAlign w:val="center"/>
          </w:tcPr>
          <w:p>
            <w:pPr>
              <w:jc w:val="center"/>
            </w:pPr>
            <w:r>
              <w:rPr>
                <w:rFonts w:ascii="Arial" w:hAnsi="Arial" w:eastAsia="Arial"/>
                <w:b/>
                <w:i w:val="0"/>
                <w:color w:val="16324F"/>
                <w:sz w:val="17"/>
              </w:rPr>
              <w:t>Example pass criterion</w:t>
            </w:r>
          </w:p>
        </w:tc>
      </w:tr>
      <w:tr>
        <w:trPr>
          <w:cantSplit w:val="true"/>
        </w:trPr>
        <w:tc>
          <w:tcPr>
            <w:tcW w:type="dxa" w:w="1900"/>
            <w:tcMar>
              <w:top w:w="80" w:type="dxa"/>
              <w:start w:w="120" w:type="dxa"/>
              <w:bottom w:w="80" w:type="dxa"/>
              <w:end w:w="120" w:type="dxa"/>
            </w:tcMar>
            <w:vAlign w:val="center"/>
          </w:tcPr>
          <w:p>
            <w:pPr>
              <w:jc w:val="left"/>
            </w:pPr>
            <w:r>
              <w:rPr>
                <w:rFonts w:ascii="Arial" w:hAnsi="Arial" w:eastAsia="Arial"/>
                <w:b w:val="0"/>
                <w:i w:val="0"/>
                <w:color w:val="111111"/>
                <w:sz w:val="17"/>
              </w:rPr>
              <w:t>A. Monomer</w:t>
            </w:r>
          </w:p>
        </w:tc>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Are the KIF5B core and ATP pocket preserved?</w:t>
            </w:r>
          </w:p>
        </w:tc>
        <w:tc>
          <w:tcPr>
            <w:tcW w:type="dxa" w:w="3660"/>
            <w:tcMar>
              <w:top w:w="80" w:type="dxa"/>
              <w:start w:w="120" w:type="dxa"/>
              <w:bottom w:w="80" w:type="dxa"/>
              <w:end w:w="120" w:type="dxa"/>
            </w:tcMar>
            <w:vAlign w:val="center"/>
          </w:tcPr>
          <w:p>
            <w:pPr>
              <w:jc w:val="left"/>
            </w:pPr>
            <w:r>
              <w:rPr>
                <w:rFonts w:ascii="Arial" w:hAnsi="Arial" w:eastAsia="Arial"/>
                <w:b w:val="0"/>
                <w:i w:val="0"/>
                <w:color w:val="111111"/>
                <w:sz w:val="17"/>
              </w:rPr>
              <w:t>High-confidence core; no junction clash</w:t>
            </w:r>
          </w:p>
        </w:tc>
      </w:tr>
      <w:tr>
        <w:trPr>
          <w:cantSplit w:val="true"/>
        </w:trPr>
        <w:tc>
          <w:tcPr>
            <w:tcW w:type="dxa" w:w="1900"/>
            <w:tcMar>
              <w:top w:w="80" w:type="dxa"/>
              <w:start w:w="120" w:type="dxa"/>
              <w:bottom w:w="80" w:type="dxa"/>
              <w:end w:w="120" w:type="dxa"/>
            </w:tcMar>
            <w:vAlign w:val="center"/>
          </w:tcPr>
          <w:p>
            <w:pPr>
              <w:jc w:val="left"/>
            </w:pPr>
            <w:r>
              <w:rPr>
                <w:rFonts w:ascii="Arial" w:hAnsi="Arial" w:eastAsia="Arial"/>
                <w:b w:val="0"/>
                <w:i w:val="0"/>
                <w:color w:val="111111"/>
                <w:sz w:val="17"/>
              </w:rPr>
              <w:t>B. Dimer</w:t>
            </w:r>
          </w:p>
        </w:tc>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Does the gate form a parallel homodimer?</w:t>
            </w:r>
          </w:p>
        </w:tc>
        <w:tc>
          <w:tcPr>
            <w:tcW w:type="dxa" w:w="3660"/>
            <w:tcMar>
              <w:top w:w="80" w:type="dxa"/>
              <w:start w:w="120" w:type="dxa"/>
              <w:bottom w:w="80" w:type="dxa"/>
              <w:end w:w="120" w:type="dxa"/>
            </w:tcMar>
            <w:vAlign w:val="center"/>
          </w:tcPr>
          <w:p>
            <w:pPr>
              <w:jc w:val="left"/>
            </w:pPr>
            <w:r>
              <w:rPr>
                <w:rFonts w:ascii="Arial" w:hAnsi="Arial" w:eastAsia="Arial"/>
                <w:b w:val="0"/>
                <w:i w:val="0"/>
                <w:color w:val="111111"/>
                <w:sz w:val="17"/>
              </w:rPr>
              <w:t>Consistent two-chain interface</w:t>
            </w:r>
          </w:p>
        </w:tc>
      </w:tr>
      <w:tr>
        <w:trPr>
          <w:cantSplit w:val="true"/>
        </w:trPr>
        <w:tc>
          <w:tcPr>
            <w:tcW w:type="dxa" w:w="1900"/>
            <w:tcMar>
              <w:top w:w="80" w:type="dxa"/>
              <w:start w:w="120" w:type="dxa"/>
              <w:bottom w:w="80" w:type="dxa"/>
              <w:end w:w="120" w:type="dxa"/>
            </w:tcMar>
            <w:vAlign w:val="center"/>
          </w:tcPr>
          <w:p>
            <w:pPr>
              <w:jc w:val="left"/>
            </w:pPr>
            <w:r>
              <w:rPr>
                <w:rFonts w:ascii="Arial" w:hAnsi="Arial" w:eastAsia="Arial"/>
                <w:b w:val="0"/>
                <w:i w:val="0"/>
                <w:color w:val="111111"/>
                <w:sz w:val="17"/>
              </w:rPr>
              <w:t>C. Multistate</w:t>
            </w:r>
          </w:p>
        </w:tc>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Are ATP, ADP, and apo states distinguishable?</w:t>
            </w:r>
          </w:p>
        </w:tc>
        <w:tc>
          <w:tcPr>
            <w:tcW w:type="dxa" w:w="3660"/>
            <w:tcMar>
              <w:top w:w="80" w:type="dxa"/>
              <w:start w:w="120" w:type="dxa"/>
              <w:bottom w:w="80" w:type="dxa"/>
              <w:end w:w="120" w:type="dxa"/>
            </w:tcMar>
            <w:vAlign w:val="center"/>
          </w:tcPr>
          <w:p>
            <w:pPr>
              <w:jc w:val="left"/>
            </w:pPr>
            <w:r>
              <w:rPr>
                <w:rFonts w:ascii="Arial" w:hAnsi="Arial" w:eastAsia="Arial"/>
                <w:b w:val="0"/>
                <w:i w:val="0"/>
                <w:color w:val="111111"/>
                <w:sz w:val="17"/>
              </w:rPr>
              <w:t>Neck-linker state differences retained</w:t>
            </w:r>
          </w:p>
        </w:tc>
      </w:tr>
      <w:tr>
        <w:trPr>
          <w:cantSplit w:val="true"/>
        </w:trPr>
        <w:tc>
          <w:tcPr>
            <w:tcW w:type="dxa" w:w="1900"/>
            <w:tcMar>
              <w:top w:w="80" w:type="dxa"/>
              <w:start w:w="120" w:type="dxa"/>
              <w:bottom w:w="80" w:type="dxa"/>
              <w:end w:w="120" w:type="dxa"/>
            </w:tcMar>
            <w:vAlign w:val="center"/>
          </w:tcPr>
          <w:p>
            <w:pPr>
              <w:jc w:val="left"/>
            </w:pPr>
            <w:r>
              <w:rPr>
                <w:rFonts w:ascii="Arial" w:hAnsi="Arial" w:eastAsia="Arial"/>
                <w:b w:val="0"/>
                <w:i w:val="0"/>
                <w:color w:val="111111"/>
                <w:sz w:val="17"/>
              </w:rPr>
              <w:t>D. Complex</w:t>
            </w:r>
          </w:p>
        </w:tc>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Is the microtubule interface preserved?</w:t>
            </w:r>
          </w:p>
        </w:tc>
        <w:tc>
          <w:tcPr>
            <w:tcW w:type="dxa" w:w="3660"/>
            <w:tcMar>
              <w:top w:w="80" w:type="dxa"/>
              <w:start w:w="120" w:type="dxa"/>
              <w:bottom w:w="80" w:type="dxa"/>
              <w:end w:w="120" w:type="dxa"/>
            </w:tcMar>
            <w:vAlign w:val="center"/>
          </w:tcPr>
          <w:p>
            <w:pPr>
              <w:jc w:val="left"/>
            </w:pPr>
            <w:r>
              <w:rPr>
                <w:rFonts w:ascii="Arial" w:hAnsi="Arial" w:eastAsia="Arial"/>
                <w:b w:val="0"/>
                <w:i w:val="0"/>
                <w:color w:val="111111"/>
                <w:sz w:val="17"/>
              </w:rPr>
              <w:t>Known binding surface and polarity retained</w:t>
            </w:r>
          </w:p>
        </w:tc>
      </w:tr>
      <w:tr>
        <w:trPr>
          <w:cantSplit w:val="true"/>
        </w:trPr>
        <w:tc>
          <w:tcPr>
            <w:tcW w:type="dxa" w:w="1900"/>
            <w:tcMar>
              <w:top w:w="80" w:type="dxa"/>
              <w:start w:w="120" w:type="dxa"/>
              <w:bottom w:w="80" w:type="dxa"/>
              <w:end w:w="120" w:type="dxa"/>
            </w:tcMar>
            <w:vAlign w:val="center"/>
          </w:tcPr>
          <w:p>
            <w:pPr>
              <w:jc w:val="left"/>
            </w:pPr>
            <w:r>
              <w:rPr>
                <w:rFonts w:ascii="Arial" w:hAnsi="Arial" w:eastAsia="Arial"/>
                <w:b w:val="0"/>
                <w:i w:val="0"/>
                <w:color w:val="111111"/>
                <w:sz w:val="17"/>
              </w:rPr>
              <w:t>E. Dynamics</w:t>
            </w:r>
          </w:p>
        </w:tc>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Does the gate transmit strain without collapse?</w:t>
            </w:r>
          </w:p>
        </w:tc>
        <w:tc>
          <w:tcPr>
            <w:tcW w:type="dxa" w:w="3660"/>
            <w:tcMar>
              <w:top w:w="80" w:type="dxa"/>
              <w:start w:w="120" w:type="dxa"/>
              <w:bottom w:w="80" w:type="dxa"/>
              <w:end w:w="120" w:type="dxa"/>
            </w:tcMar>
            <w:vAlign w:val="center"/>
          </w:tcPr>
          <w:p>
            <w:pPr>
              <w:jc w:val="left"/>
            </w:pPr>
            <w:r>
              <w:rPr>
                <w:rFonts w:ascii="Arial" w:hAnsi="Arial" w:eastAsia="Arial"/>
                <w:b w:val="0"/>
                <w:i w:val="0"/>
                <w:color w:val="111111"/>
                <w:sz w:val="17"/>
              </w:rPr>
              <w:t>Stability across repeated samples</w:t>
            </w:r>
          </w:p>
        </w:tc>
      </w:tr>
      <w:tr>
        <w:trPr>
          <w:cantSplit w:val="true"/>
        </w:trPr>
        <w:tc>
          <w:tcPr>
            <w:tcW w:type="dxa" w:w="1900"/>
            <w:tcMar>
              <w:top w:w="80" w:type="dxa"/>
              <w:start w:w="120" w:type="dxa"/>
              <w:bottom w:w="80" w:type="dxa"/>
              <w:end w:w="120" w:type="dxa"/>
            </w:tcMar>
            <w:vAlign w:val="center"/>
          </w:tcPr>
          <w:p>
            <w:pPr>
              <w:jc w:val="left"/>
            </w:pPr>
            <w:r>
              <w:rPr>
                <w:rFonts w:ascii="Arial" w:hAnsi="Arial" w:eastAsia="Arial"/>
                <w:b w:val="0"/>
                <w:i w:val="0"/>
                <w:color w:val="111111"/>
                <w:sz w:val="17"/>
              </w:rPr>
              <w:t>F. Negative design</w:t>
            </w:r>
          </w:p>
        </w:tc>
        <w:tc>
          <w:tcPr>
            <w:tcW w:type="dxa" w:w="3800"/>
            <w:tcMar>
              <w:top w:w="80" w:type="dxa"/>
              <w:start w:w="120" w:type="dxa"/>
              <w:bottom w:w="80" w:type="dxa"/>
              <w:end w:w="120" w:type="dxa"/>
            </w:tcMar>
            <w:vAlign w:val="center"/>
          </w:tcPr>
          <w:p>
            <w:pPr>
              <w:jc w:val="left"/>
            </w:pPr>
            <w:r>
              <w:rPr>
                <w:rFonts w:ascii="Arial" w:hAnsi="Arial" w:eastAsia="Arial"/>
                <w:b w:val="0"/>
                <w:i w:val="0"/>
                <w:color w:val="111111"/>
                <w:sz w:val="17"/>
              </w:rPr>
              <w:t>Do aggregation or dead states dominate?</w:t>
            </w:r>
          </w:p>
        </w:tc>
        <w:tc>
          <w:tcPr>
            <w:tcW w:type="dxa" w:w="3660"/>
            <w:tcMar>
              <w:top w:w="80" w:type="dxa"/>
              <w:start w:w="120" w:type="dxa"/>
              <w:bottom w:w="80" w:type="dxa"/>
              <w:end w:w="120" w:type="dxa"/>
            </w:tcMar>
            <w:vAlign w:val="center"/>
          </w:tcPr>
          <w:p>
            <w:pPr>
              <w:jc w:val="left"/>
            </w:pPr>
            <w:r>
              <w:rPr>
                <w:rFonts w:ascii="Arial" w:hAnsi="Arial" w:eastAsia="Arial"/>
                <w:b w:val="0"/>
                <w:i w:val="0"/>
                <w:color w:val="111111"/>
                <w:sz w:val="17"/>
              </w:rPr>
              <w:t>High-risk candidates eliminated</w:t>
            </w:r>
          </w:p>
        </w:tc>
      </w:tr>
    </w:tbl>
    <w:p>
      <w:pPr>
        <w:spacing w:after="20"/>
      </w:pPr>
    </w:p>
    <w:p>
      <w:pPr>
        <w:pStyle w:val="Heading2"/>
      </w:pPr>
      <w:r>
        <w:t>13.2 Experimental comparison set</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300"/>
        <w:gridCol w:w="4100"/>
        <w:gridCol w:w="3960"/>
      </w:tblGrid>
      <w:tr>
        <w:trPr>
          <w:tblHeader w:val="true"/>
          <w:cantSplit w:val="true"/>
        </w:trPr>
        <w:tc>
          <w:tcPr>
            <w:tcW w:type="dxa" w:w="1300"/>
            <w:shd w:fill="E8EEF5"/>
            <w:tcMar>
              <w:top w:w="80" w:type="dxa"/>
              <w:start w:w="120" w:type="dxa"/>
              <w:bottom w:w="80" w:type="dxa"/>
              <w:end w:w="120" w:type="dxa"/>
            </w:tcMar>
            <w:vAlign w:val="center"/>
          </w:tcPr>
          <w:p>
            <w:pPr>
              <w:jc w:val="center"/>
            </w:pPr>
            <w:r>
              <w:rPr>
                <w:rFonts w:ascii="Arial" w:hAnsi="Arial" w:eastAsia="Arial"/>
                <w:b/>
                <w:i w:val="0"/>
                <w:color w:val="16324F"/>
                <w:sz w:val="17"/>
              </w:rPr>
              <w:t>Group</w:t>
            </w:r>
          </w:p>
        </w:tc>
        <w:tc>
          <w:tcPr>
            <w:tcW w:type="dxa" w:w="4100"/>
            <w:shd w:fill="E8EEF5"/>
            <w:tcMar>
              <w:top w:w="80" w:type="dxa"/>
              <w:start w:w="120" w:type="dxa"/>
              <w:bottom w:w="80" w:type="dxa"/>
              <w:end w:w="120" w:type="dxa"/>
            </w:tcMar>
            <w:vAlign w:val="center"/>
          </w:tcPr>
          <w:p>
            <w:pPr>
              <w:jc w:val="center"/>
            </w:pPr>
            <w:r>
              <w:rPr>
                <w:rFonts w:ascii="Arial" w:hAnsi="Arial" w:eastAsia="Arial"/>
                <w:b/>
                <w:i w:val="0"/>
                <w:color w:val="16324F"/>
                <w:sz w:val="17"/>
              </w:rPr>
              <w:t>Construct</w:t>
            </w:r>
          </w:p>
        </w:tc>
        <w:tc>
          <w:tcPr>
            <w:tcW w:type="dxa" w:w="3960"/>
            <w:shd w:fill="E8EEF5"/>
            <w:tcMar>
              <w:top w:w="80" w:type="dxa"/>
              <w:start w:w="120" w:type="dxa"/>
              <w:bottom w:w="80" w:type="dxa"/>
              <w:end w:w="120" w:type="dxa"/>
            </w:tcMar>
            <w:vAlign w:val="center"/>
          </w:tcPr>
          <w:p>
            <w:pPr>
              <w:jc w:val="center"/>
            </w:pPr>
            <w:r>
              <w:rPr>
                <w:rFonts w:ascii="Arial" w:hAnsi="Arial" w:eastAsia="Arial"/>
                <w:b/>
                <w:i w:val="0"/>
                <w:color w:val="16324F"/>
                <w:sz w:val="17"/>
              </w:rPr>
              <w:t>Purpose</w:t>
            </w:r>
          </w:p>
        </w:tc>
      </w:tr>
      <w:tr>
        <w:trPr>
          <w:cantSplit w:val="true"/>
        </w:trPr>
        <w:tc>
          <w:tcPr>
            <w:tcW w:type="dxa" w:w="1300"/>
            <w:tcMar>
              <w:top w:w="80" w:type="dxa"/>
              <w:start w:w="120" w:type="dxa"/>
              <w:bottom w:w="80" w:type="dxa"/>
              <w:end w:w="120" w:type="dxa"/>
            </w:tcMar>
            <w:vAlign w:val="center"/>
          </w:tcPr>
          <w:p>
            <w:pPr>
              <w:jc w:val="left"/>
            </w:pPr>
            <w:r>
              <w:rPr>
                <w:rFonts w:ascii="Arial" w:hAnsi="Arial" w:eastAsia="Arial"/>
                <w:b w:val="0"/>
                <w:i w:val="0"/>
                <w:color w:val="111111"/>
                <w:sz w:val="17"/>
              </w:rPr>
              <w:t>P0</w:t>
            </w:r>
          </w:p>
        </w:tc>
        <w:tc>
          <w:tcPr>
            <w:tcW w:type="dxa" w:w="4100"/>
            <w:tcMar>
              <w:top w:w="80" w:type="dxa"/>
              <w:start w:w="120" w:type="dxa"/>
              <w:bottom w:w="80" w:type="dxa"/>
              <w:end w:w="120" w:type="dxa"/>
            </w:tcMar>
            <w:vAlign w:val="center"/>
          </w:tcPr>
          <w:p>
            <w:pPr>
              <w:jc w:val="left"/>
            </w:pPr>
            <w:r>
              <w:rPr>
                <w:rFonts w:ascii="Arial" w:hAnsi="Arial" w:eastAsia="Arial"/>
                <w:b w:val="0"/>
                <w:i w:val="0"/>
                <w:color w:val="111111"/>
                <w:sz w:val="17"/>
              </w:rPr>
              <w:t>Active KIF5B 1-420 or 1-560 class motor</w:t>
            </w:r>
          </w:p>
        </w:tc>
        <w:tc>
          <w:tcPr>
            <w:tcW w:type="dxa" w:w="3960"/>
            <w:tcMar>
              <w:top w:w="80" w:type="dxa"/>
              <w:start w:w="120" w:type="dxa"/>
              <w:bottom w:w="80" w:type="dxa"/>
              <w:end w:w="120" w:type="dxa"/>
            </w:tcMar>
            <w:vAlign w:val="center"/>
          </w:tcPr>
          <w:p>
            <w:pPr>
              <w:jc w:val="left"/>
            </w:pPr>
            <w:r>
              <w:rPr>
                <w:rFonts w:ascii="Arial" w:hAnsi="Arial" w:eastAsia="Arial"/>
                <w:b w:val="0"/>
                <w:i w:val="0"/>
                <w:color w:val="111111"/>
                <w:sz w:val="17"/>
              </w:rPr>
              <w:t>Positive assay control</w:t>
            </w:r>
          </w:p>
        </w:tc>
      </w:tr>
      <w:tr>
        <w:trPr>
          <w:cantSplit w:val="true"/>
        </w:trPr>
        <w:tc>
          <w:tcPr>
            <w:tcW w:type="dxa" w:w="1300"/>
            <w:tcMar>
              <w:top w:w="80" w:type="dxa"/>
              <w:start w:w="120" w:type="dxa"/>
              <w:bottom w:w="80" w:type="dxa"/>
              <w:end w:w="120" w:type="dxa"/>
            </w:tcMar>
            <w:vAlign w:val="center"/>
          </w:tcPr>
          <w:p>
            <w:pPr>
              <w:jc w:val="left"/>
            </w:pPr>
            <w:r>
              <w:rPr>
                <w:rFonts w:ascii="Arial" w:hAnsi="Arial" w:eastAsia="Arial"/>
                <w:b w:val="0"/>
                <w:i w:val="0"/>
                <w:color w:val="111111"/>
                <w:sz w:val="17"/>
              </w:rPr>
              <w:t>B0</w:t>
            </w:r>
          </w:p>
        </w:tc>
        <w:tc>
          <w:tcPr>
            <w:tcW w:type="dxa" w:w="4100"/>
            <w:tcMar>
              <w:top w:w="80" w:type="dxa"/>
              <w:start w:w="120" w:type="dxa"/>
              <w:bottom w:w="80" w:type="dxa"/>
              <w:end w:w="120" w:type="dxa"/>
            </w:tcMar>
            <w:vAlign w:val="center"/>
          </w:tcPr>
          <w:p>
            <w:pPr>
              <w:jc w:val="left"/>
            </w:pPr>
            <w:r>
              <w:rPr>
                <w:rFonts w:ascii="Arial" w:hAnsi="Arial" w:eastAsia="Arial"/>
                <w:b w:val="0"/>
                <w:i w:val="0"/>
                <w:color w:val="111111"/>
                <w:sz w:val="17"/>
              </w:rPr>
              <w:t>KIF5B 1-353</w:t>
            </w:r>
          </w:p>
        </w:tc>
        <w:tc>
          <w:tcPr>
            <w:tcW w:type="dxa" w:w="3960"/>
            <w:tcMar>
              <w:top w:w="80" w:type="dxa"/>
              <w:start w:w="120" w:type="dxa"/>
              <w:bottom w:w="80" w:type="dxa"/>
              <w:end w:w="120" w:type="dxa"/>
            </w:tcMar>
            <w:vAlign w:val="center"/>
          </w:tcPr>
          <w:p>
            <w:pPr>
              <w:jc w:val="left"/>
            </w:pPr>
            <w:r>
              <w:rPr>
                <w:rFonts w:ascii="Arial" w:hAnsi="Arial" w:eastAsia="Arial"/>
                <w:b w:val="0"/>
                <w:i w:val="0"/>
                <w:color w:val="111111"/>
                <w:sz w:val="17"/>
              </w:rPr>
              <w:t>No-gate baseline</w:t>
            </w:r>
          </w:p>
        </w:tc>
      </w:tr>
      <w:tr>
        <w:trPr>
          <w:cantSplit w:val="true"/>
        </w:trPr>
        <w:tc>
          <w:tcPr>
            <w:tcW w:type="dxa" w:w="1300"/>
            <w:tcMar>
              <w:top w:w="80" w:type="dxa"/>
              <w:start w:w="120" w:type="dxa"/>
              <w:bottom w:w="80" w:type="dxa"/>
              <w:end w:w="120" w:type="dxa"/>
            </w:tcMar>
            <w:vAlign w:val="center"/>
          </w:tcPr>
          <w:p>
            <w:pPr>
              <w:jc w:val="left"/>
            </w:pPr>
            <w:r>
              <w:rPr>
                <w:rFonts w:ascii="Arial" w:hAnsi="Arial" w:eastAsia="Arial"/>
                <w:b w:val="0"/>
                <w:i w:val="0"/>
                <w:color w:val="111111"/>
                <w:sz w:val="17"/>
              </w:rPr>
              <w:t>H1</w:t>
            </w:r>
          </w:p>
        </w:tc>
        <w:tc>
          <w:tcPr>
            <w:tcW w:type="dxa" w:w="4100"/>
            <w:tcMar>
              <w:top w:w="80" w:type="dxa"/>
              <w:start w:w="120" w:type="dxa"/>
              <w:bottom w:w="80" w:type="dxa"/>
              <w:end w:w="120" w:type="dxa"/>
            </w:tcMar>
            <w:vAlign w:val="center"/>
          </w:tcPr>
          <w:p>
            <w:pPr>
              <w:jc w:val="left"/>
            </w:pPr>
            <w:r>
              <w:rPr>
                <w:rFonts w:ascii="Arial" w:hAnsi="Arial" w:eastAsia="Arial"/>
                <w:b w:val="0"/>
                <w:i w:val="0"/>
                <w:color w:val="111111"/>
                <w:sz w:val="17"/>
              </w:rPr>
              <w:t>1-353 + GCN4</w:t>
            </w:r>
          </w:p>
        </w:tc>
        <w:tc>
          <w:tcPr>
            <w:tcW w:type="dxa" w:w="3960"/>
            <w:tcMar>
              <w:top w:w="80" w:type="dxa"/>
              <w:start w:w="120" w:type="dxa"/>
              <w:bottom w:w="80" w:type="dxa"/>
              <w:end w:w="120" w:type="dxa"/>
            </w:tcMar>
            <w:vAlign w:val="center"/>
          </w:tcPr>
          <w:p>
            <w:pPr>
              <w:jc w:val="left"/>
            </w:pPr>
            <w:r>
              <w:rPr>
                <w:rFonts w:ascii="Arial" w:hAnsi="Arial" w:eastAsia="Arial"/>
                <w:b w:val="0"/>
                <w:i w:val="0"/>
                <w:color w:val="111111"/>
                <w:sz w:val="17"/>
              </w:rPr>
              <w:t>Established dimerization calibration</w:t>
            </w:r>
          </w:p>
        </w:tc>
      </w:tr>
      <w:tr>
        <w:trPr>
          <w:cantSplit w:val="true"/>
        </w:trPr>
        <w:tc>
          <w:tcPr>
            <w:tcW w:type="dxa" w:w="1300"/>
            <w:tcMar>
              <w:top w:w="80" w:type="dxa"/>
              <w:start w:w="120" w:type="dxa"/>
              <w:bottom w:w="80" w:type="dxa"/>
              <w:end w:w="120" w:type="dxa"/>
            </w:tcMar>
            <w:vAlign w:val="center"/>
          </w:tcPr>
          <w:p>
            <w:pPr>
              <w:jc w:val="left"/>
            </w:pPr>
            <w:r>
              <w:rPr>
                <w:rFonts w:ascii="Arial" w:hAnsi="Arial" w:eastAsia="Arial"/>
                <w:b w:val="0"/>
                <w:i w:val="0"/>
                <w:color w:val="111111"/>
                <w:sz w:val="17"/>
              </w:rPr>
              <w:t>H2</w:t>
            </w:r>
          </w:p>
        </w:tc>
        <w:tc>
          <w:tcPr>
            <w:tcW w:type="dxa" w:w="4100"/>
            <w:tcMar>
              <w:top w:w="80" w:type="dxa"/>
              <w:start w:w="120" w:type="dxa"/>
              <w:bottom w:w="80" w:type="dxa"/>
              <w:end w:w="120" w:type="dxa"/>
            </w:tcMar>
            <w:vAlign w:val="center"/>
          </w:tcPr>
          <w:p>
            <w:pPr>
              <w:jc w:val="left"/>
            </w:pPr>
            <w:r>
              <w:rPr>
                <w:rFonts w:ascii="Arial" w:hAnsi="Arial" w:eastAsia="Arial"/>
                <w:b w:val="0"/>
                <w:i w:val="0"/>
                <w:color w:val="111111"/>
                <w:sz w:val="17"/>
              </w:rPr>
              <w:t>1-353 + WRRA gate</w:t>
            </w:r>
          </w:p>
        </w:tc>
        <w:tc>
          <w:tcPr>
            <w:tcW w:type="dxa" w:w="3960"/>
            <w:tcMar>
              <w:top w:w="80" w:type="dxa"/>
              <w:start w:w="120" w:type="dxa"/>
              <w:bottom w:w="80" w:type="dxa"/>
              <w:end w:w="120" w:type="dxa"/>
            </w:tcMar>
            <w:vAlign w:val="center"/>
          </w:tcPr>
          <w:p>
            <w:pPr>
              <w:jc w:val="left"/>
            </w:pPr>
            <w:r>
              <w:rPr>
                <w:rFonts w:ascii="Arial" w:hAnsi="Arial" w:eastAsia="Arial"/>
                <w:b w:val="0"/>
                <w:i w:val="0"/>
                <w:color w:val="111111"/>
                <w:sz w:val="17"/>
              </w:rPr>
              <w:t>Primary test candidate</w:t>
            </w:r>
          </w:p>
        </w:tc>
      </w:tr>
      <w:tr>
        <w:trPr>
          <w:cantSplit w:val="true"/>
        </w:trPr>
        <w:tc>
          <w:tcPr>
            <w:tcW w:type="dxa" w:w="1300"/>
            <w:tcMar>
              <w:top w:w="80" w:type="dxa"/>
              <w:start w:w="120" w:type="dxa"/>
              <w:bottom w:w="80" w:type="dxa"/>
              <w:end w:w="120" w:type="dxa"/>
            </w:tcMar>
            <w:vAlign w:val="center"/>
          </w:tcPr>
          <w:p>
            <w:pPr>
              <w:jc w:val="left"/>
            </w:pPr>
            <w:r>
              <w:rPr>
                <w:rFonts w:ascii="Arial" w:hAnsi="Arial" w:eastAsia="Arial"/>
                <w:b w:val="0"/>
                <w:i w:val="0"/>
                <w:color w:val="111111"/>
                <w:sz w:val="17"/>
              </w:rPr>
              <w:t>C1</w:t>
            </w:r>
          </w:p>
        </w:tc>
        <w:tc>
          <w:tcPr>
            <w:tcW w:type="dxa" w:w="4100"/>
            <w:tcMar>
              <w:top w:w="80" w:type="dxa"/>
              <w:start w:w="120" w:type="dxa"/>
              <w:bottom w:w="80" w:type="dxa"/>
              <w:end w:w="120" w:type="dxa"/>
            </w:tcMar>
            <w:vAlign w:val="center"/>
          </w:tcPr>
          <w:p>
            <w:pPr>
              <w:jc w:val="left"/>
            </w:pPr>
            <w:r>
              <w:rPr>
                <w:rFonts w:ascii="Arial" w:hAnsi="Arial" w:eastAsia="Arial"/>
                <w:b w:val="0"/>
                <w:i w:val="0"/>
                <w:color w:val="111111"/>
                <w:sz w:val="17"/>
              </w:rPr>
              <w:t>1-353 + length-matched generic coiled coil</w:t>
            </w:r>
          </w:p>
        </w:tc>
        <w:tc>
          <w:tcPr>
            <w:tcW w:type="dxa" w:w="3960"/>
            <w:tcMar>
              <w:top w:w="80" w:type="dxa"/>
              <w:start w:w="120" w:type="dxa"/>
              <w:bottom w:w="80" w:type="dxa"/>
              <w:end w:w="120" w:type="dxa"/>
            </w:tcMar>
            <w:vAlign w:val="center"/>
          </w:tcPr>
          <w:p>
            <w:pPr>
              <w:jc w:val="left"/>
            </w:pPr>
            <w:r>
              <w:rPr>
                <w:rFonts w:ascii="Arial" w:hAnsi="Arial" w:eastAsia="Arial"/>
                <w:b w:val="0"/>
                <w:i w:val="0"/>
                <w:color w:val="111111"/>
                <w:sz w:val="17"/>
              </w:rPr>
              <w:t>Separate generic dimerization effect</w:t>
            </w:r>
          </w:p>
        </w:tc>
      </w:tr>
      <w:tr>
        <w:trPr>
          <w:cantSplit w:val="true"/>
        </w:trPr>
        <w:tc>
          <w:tcPr>
            <w:tcW w:type="dxa" w:w="1300"/>
            <w:tcMar>
              <w:top w:w="80" w:type="dxa"/>
              <w:start w:w="120" w:type="dxa"/>
              <w:bottom w:w="80" w:type="dxa"/>
              <w:end w:w="120" w:type="dxa"/>
            </w:tcMar>
            <w:vAlign w:val="center"/>
          </w:tcPr>
          <w:p>
            <w:pPr>
              <w:jc w:val="left"/>
            </w:pPr>
            <w:r>
              <w:rPr>
                <w:rFonts w:ascii="Arial" w:hAnsi="Arial" w:eastAsia="Arial"/>
                <w:b w:val="0"/>
                <w:i w:val="0"/>
                <w:color w:val="111111"/>
                <w:sz w:val="17"/>
              </w:rPr>
              <w:t>C2</w:t>
            </w:r>
          </w:p>
        </w:tc>
        <w:tc>
          <w:tcPr>
            <w:tcW w:type="dxa" w:w="4100"/>
            <w:tcMar>
              <w:top w:w="80" w:type="dxa"/>
              <w:start w:w="120" w:type="dxa"/>
              <w:bottom w:w="80" w:type="dxa"/>
              <w:end w:w="120" w:type="dxa"/>
            </w:tcMar>
            <w:vAlign w:val="center"/>
          </w:tcPr>
          <w:p>
            <w:pPr>
              <w:jc w:val="left"/>
            </w:pPr>
            <w:r>
              <w:rPr>
                <w:rFonts w:ascii="Arial" w:hAnsi="Arial" w:eastAsia="Arial"/>
                <w:b w:val="0"/>
                <w:i w:val="0"/>
                <w:color w:val="111111"/>
                <w:sz w:val="17"/>
              </w:rPr>
              <w:t>1-353 + composition-preserving scrambled gate</w:t>
            </w:r>
          </w:p>
        </w:tc>
        <w:tc>
          <w:tcPr>
            <w:tcW w:type="dxa" w:w="3960"/>
            <w:tcMar>
              <w:top w:w="80" w:type="dxa"/>
              <w:start w:w="120" w:type="dxa"/>
              <w:bottom w:w="80" w:type="dxa"/>
              <w:end w:w="120" w:type="dxa"/>
            </w:tcMar>
            <w:vAlign w:val="center"/>
          </w:tcPr>
          <w:p>
            <w:pPr>
              <w:jc w:val="left"/>
            </w:pPr>
            <w:r>
              <w:rPr>
                <w:rFonts w:ascii="Arial" w:hAnsi="Arial" w:eastAsia="Arial"/>
                <w:b w:val="0"/>
                <w:i w:val="0"/>
                <w:color w:val="111111"/>
                <w:sz w:val="17"/>
              </w:rPr>
              <w:t>Test sequence-order specificity</w:t>
            </w:r>
          </w:p>
        </w:tc>
      </w:tr>
    </w:tbl>
    <w:p>
      <w:pPr>
        <w:spacing w:after="20"/>
      </w:pPr>
    </w:p>
    <w:p>
      <w:pPr>
        <w:jc w:val="both"/>
      </w:pPr>
      <w:r>
        <w:rPr>
          <w:rFonts w:ascii="Arial" w:hAnsi="Arial" w:eastAsia="Arial"/>
          <w:b w:val="0"/>
          <w:i w:val="0"/>
          <w:color w:val="111111"/>
          <w:sz w:val="20"/>
        </w:rPr>
        <w:t>Primary observables should include expression and solubility, oligomer state, ATPase rate, microtubule landing rate, velocity, run length, detachment rate, simultaneous-head detachment, and load response. H2 must recover activity relative to B0 and show a reproducible distinction from H1, C1, and C2 before a WRRA-gate-specific contribution can be claimed.</w:t>
      </w:r>
    </w:p>
    <w:p>
      <w:pPr>
        <w:pStyle w:val="Heading1"/>
      </w:pPr>
      <w:r>
        <w:t>14. Claim and Provenance Ledger</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2600"/>
        <w:gridCol w:w="4060"/>
      </w:tblGrid>
      <w:tr>
        <w:trPr>
          <w:tblHeader w:val="true"/>
          <w:cantSplit w:val="true"/>
        </w:trPr>
        <w:tc>
          <w:tcPr>
            <w:tcW w:type="dxa" w:w="2700"/>
            <w:shd w:fill="E8EEF5"/>
            <w:tcMar>
              <w:top w:w="80" w:type="dxa"/>
              <w:start w:w="120" w:type="dxa"/>
              <w:bottom w:w="80" w:type="dxa"/>
              <w:end w:w="120" w:type="dxa"/>
            </w:tcMar>
            <w:vAlign w:val="center"/>
          </w:tcPr>
          <w:p>
            <w:pPr>
              <w:jc w:val="center"/>
            </w:pPr>
            <w:r>
              <w:rPr>
                <w:rFonts w:ascii="Arial" w:hAnsi="Arial" w:eastAsia="Arial"/>
                <w:b/>
                <w:i w:val="0"/>
                <w:color w:val="16324F"/>
                <w:sz w:val="17"/>
              </w:rPr>
              <w:t>Item</w:t>
            </w:r>
          </w:p>
        </w:tc>
        <w:tc>
          <w:tcPr>
            <w:tcW w:type="dxa" w:w="2600"/>
            <w:shd w:fill="E8EEF5"/>
            <w:tcMar>
              <w:top w:w="80" w:type="dxa"/>
              <w:start w:w="120" w:type="dxa"/>
              <w:bottom w:w="80" w:type="dxa"/>
              <w:end w:w="120" w:type="dxa"/>
            </w:tcMar>
            <w:vAlign w:val="center"/>
          </w:tcPr>
          <w:p>
            <w:pPr>
              <w:jc w:val="center"/>
            </w:pPr>
            <w:r>
              <w:rPr>
                <w:rFonts w:ascii="Arial" w:hAnsi="Arial" w:eastAsia="Arial"/>
                <w:b/>
                <w:i w:val="0"/>
                <w:color w:val="16324F"/>
                <w:sz w:val="17"/>
              </w:rPr>
              <w:t>Ownership / grade</w:t>
            </w:r>
          </w:p>
        </w:tc>
        <w:tc>
          <w:tcPr>
            <w:tcW w:type="dxa" w:w="4060"/>
            <w:shd w:fill="E8EEF5"/>
            <w:tcMar>
              <w:top w:w="80" w:type="dxa"/>
              <w:start w:w="120" w:type="dxa"/>
              <w:bottom w:w="80" w:type="dxa"/>
              <w:end w:w="120" w:type="dxa"/>
            </w:tcMar>
            <w:vAlign w:val="center"/>
          </w:tcPr>
          <w:p>
            <w:pPr>
              <w:jc w:val="center"/>
            </w:pPr>
            <w:r>
              <w:rPr>
                <w:rFonts w:ascii="Arial" w:hAnsi="Arial" w:eastAsia="Arial"/>
                <w:b/>
                <w:i w:val="0"/>
                <w:color w:val="16324F"/>
                <w:sz w:val="17"/>
              </w:rPr>
              <w:t>Permitted statement</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WRRA minimum contract</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DERIVED / model-internal</w:t>
            </w:r>
          </w:p>
        </w:tc>
        <w:tc>
          <w:tcPr>
            <w:tcW w:type="dxa" w:w="4060"/>
            <w:tcMar>
              <w:top w:w="80" w:type="dxa"/>
              <w:start w:w="120" w:type="dxa"/>
              <w:bottom w:w="80" w:type="dxa"/>
              <w:end w:w="120" w:type="dxa"/>
            </w:tcMar>
            <w:vAlign w:val="center"/>
          </w:tcPr>
          <w:p>
            <w:pPr>
              <w:jc w:val="left"/>
            </w:pPr>
            <w:r>
              <w:rPr>
                <w:rFonts w:ascii="Arial" w:hAnsi="Arial" w:eastAsia="Arial"/>
                <w:b w:val="0"/>
                <w:i w:val="0"/>
                <w:color w:val="111111"/>
                <w:sz w:val="17"/>
              </w:rPr>
              <w:t>Coordinated two-contact form is Pareto-minimal under the strict contract</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KIF5B 1-353</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INHERITED</w:t>
            </w:r>
          </w:p>
        </w:tc>
        <w:tc>
          <w:tcPr>
            <w:tcW w:type="dxa" w:w="4060"/>
            <w:tcMar>
              <w:top w:w="80" w:type="dxa"/>
              <w:start w:w="120" w:type="dxa"/>
              <w:bottom w:w="80" w:type="dxa"/>
              <w:end w:w="120" w:type="dxa"/>
            </w:tcMar>
            <w:vAlign w:val="center"/>
          </w:tcPr>
          <w:p>
            <w:pPr>
              <w:jc w:val="left"/>
            </w:pPr>
            <w:r>
              <w:rPr>
                <w:rFonts w:ascii="Arial" w:hAnsi="Arial" w:eastAsia="Arial"/>
                <w:b w:val="0"/>
                <w:i w:val="0"/>
                <w:color w:val="111111"/>
                <w:sz w:val="17"/>
              </w:rPr>
              <w:t>An established motor-core sequence is used</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Gate 354-385</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DESIGNED</w:t>
            </w:r>
          </w:p>
        </w:tc>
        <w:tc>
          <w:tcPr>
            <w:tcW w:type="dxa" w:w="4060"/>
            <w:tcMar>
              <w:top w:w="80" w:type="dxa"/>
              <w:start w:w="120" w:type="dxa"/>
              <w:bottom w:w="80" w:type="dxa"/>
              <w:end w:w="120" w:type="dxa"/>
            </w:tcMar>
            <w:vAlign w:val="center"/>
          </w:tcPr>
          <w:p>
            <w:pPr>
              <w:jc w:val="left"/>
            </w:pPr>
            <w:r>
              <w:rPr>
                <w:rFonts w:ascii="Arial" w:hAnsi="Arial" w:eastAsia="Arial"/>
                <w:b w:val="0"/>
                <w:i w:val="0"/>
                <w:color w:val="111111"/>
                <w:sz w:val="17"/>
              </w:rPr>
              <w:t>A candidate satisfying declared sequence grammar</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H2 topology</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HYBRID / PREDICTED</w:t>
            </w:r>
          </w:p>
        </w:tc>
        <w:tc>
          <w:tcPr>
            <w:tcW w:type="dxa" w:w="4060"/>
            <w:tcMar>
              <w:top w:w="80" w:type="dxa"/>
              <w:start w:w="120" w:type="dxa"/>
              <w:bottom w:w="80" w:type="dxa"/>
              <w:end w:w="120" w:type="dxa"/>
            </w:tcMar>
            <w:vAlign w:val="center"/>
          </w:tcPr>
          <w:p>
            <w:pPr>
              <w:jc w:val="left"/>
            </w:pPr>
            <w:r>
              <w:rPr>
                <w:rFonts w:ascii="Arial" w:hAnsi="Arial" w:eastAsia="Arial"/>
                <w:b w:val="0"/>
                <w:i w:val="0"/>
                <w:color w:val="111111"/>
                <w:sz w:val="17"/>
              </w:rPr>
              <w:t>Parallel homodimer hypothesis</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DNA 1,158 nt</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PREDICTED</w:t>
            </w:r>
          </w:p>
        </w:tc>
        <w:tc>
          <w:tcPr>
            <w:tcW w:type="dxa" w:w="4060"/>
            <w:tcMar>
              <w:top w:w="80" w:type="dxa"/>
              <w:start w:w="120" w:type="dxa"/>
              <w:bottom w:w="80" w:type="dxa"/>
              <w:end w:w="120" w:type="dxa"/>
            </w:tcMar>
            <w:vAlign w:val="center"/>
          </w:tcPr>
          <w:p>
            <w:pPr>
              <w:jc w:val="left"/>
            </w:pPr>
            <w:r>
              <w:rPr>
                <w:rFonts w:ascii="Arial" w:hAnsi="Arial" w:eastAsia="Arial"/>
                <w:b w:val="0"/>
                <w:i w:val="0"/>
                <w:color w:val="111111"/>
                <w:sz w:val="17"/>
              </w:rPr>
              <w:t>Generic reverse-translated CDS candidate</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Atomic structure</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OPEN</w:t>
            </w:r>
          </w:p>
        </w:tc>
        <w:tc>
          <w:tcPr>
            <w:tcW w:type="dxa" w:w="4060"/>
            <w:tcMar>
              <w:top w:w="80" w:type="dxa"/>
              <w:start w:w="120" w:type="dxa"/>
              <w:bottom w:w="80" w:type="dxa"/>
              <w:end w:w="120" w:type="dxa"/>
            </w:tcMar>
            <w:vAlign w:val="center"/>
          </w:tcPr>
          <w:p>
            <w:pPr>
              <w:jc w:val="left"/>
            </w:pPr>
            <w:r>
              <w:rPr>
                <w:rFonts w:ascii="Arial" w:hAnsi="Arial" w:eastAsia="Arial"/>
                <w:b w:val="0"/>
                <w:i w:val="0"/>
                <w:color w:val="111111"/>
                <w:sz w:val="17"/>
              </w:rPr>
              <w:t>Coordinates not predicted</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Physical walking</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OPEN</w:t>
            </w:r>
          </w:p>
        </w:tc>
        <w:tc>
          <w:tcPr>
            <w:tcW w:type="dxa" w:w="4060"/>
            <w:tcMar>
              <w:top w:w="80" w:type="dxa"/>
              <w:start w:w="120" w:type="dxa"/>
              <w:bottom w:w="80" w:type="dxa"/>
              <w:end w:w="120" w:type="dxa"/>
            </w:tcMar>
            <w:vAlign w:val="center"/>
          </w:tcPr>
          <w:p>
            <w:pPr>
              <w:jc w:val="left"/>
            </w:pPr>
            <w:r>
              <w:rPr>
                <w:rFonts w:ascii="Arial" w:hAnsi="Arial" w:eastAsia="Arial"/>
                <w:b w:val="0"/>
                <w:i w:val="0"/>
                <w:color w:val="111111"/>
                <w:sz w:val="17"/>
              </w:rPr>
              <w:t>Not experimentally demonstrated</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Animation / figure</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SCHEMATIC</w:t>
            </w:r>
          </w:p>
        </w:tc>
        <w:tc>
          <w:tcPr>
            <w:tcW w:type="dxa" w:w="4060"/>
            <w:tcMar>
              <w:top w:w="80" w:type="dxa"/>
              <w:start w:w="120" w:type="dxa"/>
              <w:bottom w:w="80" w:type="dxa"/>
              <w:end w:w="120" w:type="dxa"/>
            </w:tcMar>
            <w:vAlign w:val="center"/>
          </w:tcPr>
          <w:p>
            <w:pPr>
              <w:jc w:val="left"/>
            </w:pPr>
            <w:r>
              <w:rPr>
                <w:rFonts w:ascii="Arial" w:hAnsi="Arial" w:eastAsia="Arial"/>
                <w:b w:val="0"/>
                <w:i w:val="0"/>
                <w:color w:val="111111"/>
                <w:sz w:val="17"/>
              </w:rPr>
              <w:t>Predicted state-machine visualization</w:t>
            </w:r>
          </w:p>
        </w:tc>
      </w:tr>
      <w:tr>
        <w:trPr>
          <w:cantSplit w:val="true"/>
        </w:trPr>
        <w:tc>
          <w:tcPr>
            <w:tcW w:type="dxa" w:w="2700"/>
            <w:tcMar>
              <w:top w:w="80" w:type="dxa"/>
              <w:start w:w="120" w:type="dxa"/>
              <w:bottom w:w="80" w:type="dxa"/>
              <w:end w:w="120" w:type="dxa"/>
            </w:tcMar>
            <w:vAlign w:val="center"/>
          </w:tcPr>
          <w:p>
            <w:pPr>
              <w:jc w:val="left"/>
            </w:pPr>
            <w:r>
              <w:rPr>
                <w:rFonts w:ascii="Arial" w:hAnsi="Arial" w:eastAsia="Arial"/>
                <w:b w:val="0"/>
                <w:i w:val="0"/>
                <w:color w:val="111111"/>
                <w:sz w:val="17"/>
              </w:rPr>
              <w:t>Fully de novo N1</w:t>
            </w:r>
          </w:p>
        </w:tc>
        <w:tc>
          <w:tcPr>
            <w:tcW w:type="dxa" w:w="2600"/>
            <w:tcMar>
              <w:top w:w="80" w:type="dxa"/>
              <w:start w:w="120" w:type="dxa"/>
              <w:bottom w:w="80" w:type="dxa"/>
              <w:end w:w="120" w:type="dxa"/>
            </w:tcMar>
            <w:vAlign w:val="center"/>
          </w:tcPr>
          <w:p>
            <w:pPr>
              <w:jc w:val="left"/>
            </w:pPr>
            <w:r>
              <w:rPr>
                <w:rFonts w:ascii="Arial" w:hAnsi="Arial" w:eastAsia="Arial"/>
                <w:b w:val="0"/>
                <w:i w:val="0"/>
                <w:color w:val="111111"/>
                <w:sz w:val="17"/>
              </w:rPr>
              <w:t>FAIL-CLOSED</w:t>
            </w:r>
          </w:p>
        </w:tc>
        <w:tc>
          <w:tcPr>
            <w:tcW w:type="dxa" w:w="4060"/>
            <w:tcMar>
              <w:top w:w="80" w:type="dxa"/>
              <w:start w:w="120" w:type="dxa"/>
              <w:bottom w:w="80" w:type="dxa"/>
              <w:end w:w="120" w:type="dxa"/>
            </w:tcMar>
            <w:vAlign w:val="center"/>
          </w:tcPr>
          <w:p>
            <w:pPr>
              <w:jc w:val="left"/>
            </w:pPr>
            <w:r>
              <w:rPr>
                <w:rFonts w:ascii="Arial" w:hAnsi="Arial" w:eastAsia="Arial"/>
                <w:b w:val="0"/>
                <w:i w:val="0"/>
                <w:color w:val="111111"/>
                <w:sz w:val="17"/>
              </w:rPr>
              <w:t>No sequence emitted without a validator</w:t>
            </w:r>
          </w:p>
        </w:tc>
      </w:tr>
    </w:tbl>
    <w:p>
      <w:pPr>
        <w:spacing w:after="20"/>
      </w:pPr>
    </w:p>
    <w:p>
      <w:pPr>
        <w:pStyle w:val="Heading1"/>
      </w:pPr>
      <w:r>
        <w:t>15. Risks and Failure Interpretation</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3500"/>
        <w:gridCol w:w="3360"/>
      </w:tblGrid>
      <w:tr>
        <w:trPr>
          <w:tblHeader w:val="true"/>
          <w:cantSplit w:val="true"/>
        </w:trPr>
        <w:tc>
          <w:tcPr>
            <w:tcW w:type="dxa" w:w="2500"/>
            <w:shd w:fill="E8EEF5"/>
            <w:tcMar>
              <w:top w:w="80" w:type="dxa"/>
              <w:start w:w="120" w:type="dxa"/>
              <w:bottom w:w="80" w:type="dxa"/>
              <w:end w:w="120" w:type="dxa"/>
            </w:tcMar>
            <w:vAlign w:val="center"/>
          </w:tcPr>
          <w:p>
            <w:pPr>
              <w:jc w:val="center"/>
            </w:pPr>
            <w:r>
              <w:rPr>
                <w:rFonts w:ascii="Arial" w:hAnsi="Arial" w:eastAsia="Arial"/>
                <w:b/>
                <w:i w:val="0"/>
                <w:color w:val="16324F"/>
                <w:sz w:val="17"/>
              </w:rPr>
              <w:t>Risk</w:t>
            </w:r>
          </w:p>
        </w:tc>
        <w:tc>
          <w:tcPr>
            <w:tcW w:type="dxa" w:w="3500"/>
            <w:shd w:fill="E8EEF5"/>
            <w:tcMar>
              <w:top w:w="80" w:type="dxa"/>
              <w:start w:w="120" w:type="dxa"/>
              <w:bottom w:w="80" w:type="dxa"/>
              <w:end w:w="120" w:type="dxa"/>
            </w:tcMar>
            <w:vAlign w:val="center"/>
          </w:tcPr>
          <w:p>
            <w:pPr>
              <w:jc w:val="center"/>
            </w:pPr>
            <w:r>
              <w:rPr>
                <w:rFonts w:ascii="Arial" w:hAnsi="Arial" w:eastAsia="Arial"/>
                <w:b/>
                <w:i w:val="0"/>
                <w:color w:val="16324F"/>
                <w:sz w:val="17"/>
              </w:rPr>
              <w:t>Possible outcome</w:t>
            </w:r>
          </w:p>
        </w:tc>
        <w:tc>
          <w:tcPr>
            <w:tcW w:type="dxa" w:w="3360"/>
            <w:shd w:fill="E8EEF5"/>
            <w:tcMar>
              <w:top w:w="80" w:type="dxa"/>
              <w:start w:w="120" w:type="dxa"/>
              <w:bottom w:w="80" w:type="dxa"/>
              <w:end w:w="120" w:type="dxa"/>
            </w:tcMar>
            <w:vAlign w:val="center"/>
          </w:tcPr>
          <w:p>
            <w:pPr>
              <w:jc w:val="center"/>
            </w:pPr>
            <w:r>
              <w:rPr>
                <w:rFonts w:ascii="Arial" w:hAnsi="Arial" w:eastAsia="Arial"/>
                <w:b/>
                <w:i w:val="0"/>
                <w:color w:val="16324F"/>
                <w:sz w:val="17"/>
              </w:rPr>
              <w:t>Interpretation</w:t>
            </w:r>
          </w:p>
        </w:tc>
      </w:tr>
      <w:tr>
        <w:trPr>
          <w:cantSplit w:val="true"/>
        </w:trPr>
        <w:tc>
          <w:tcPr>
            <w:tcW w:type="dxa" w:w="2500"/>
            <w:tcMar>
              <w:top w:w="80" w:type="dxa"/>
              <w:start w:w="120" w:type="dxa"/>
              <w:bottom w:w="80" w:type="dxa"/>
              <w:end w:w="120" w:type="dxa"/>
            </w:tcMar>
            <w:vAlign w:val="center"/>
          </w:tcPr>
          <w:p>
            <w:pPr>
              <w:jc w:val="left"/>
            </w:pPr>
            <w:r>
              <w:rPr>
                <w:rFonts w:ascii="Arial" w:hAnsi="Arial" w:eastAsia="Arial"/>
                <w:b w:val="0"/>
                <w:i w:val="0"/>
                <w:color w:val="111111"/>
                <w:sz w:val="17"/>
              </w:rPr>
              <w:t>Incorrect gate oligomerization</w:t>
            </w:r>
          </w:p>
        </w:tc>
        <w:tc>
          <w:tcPr>
            <w:tcW w:type="dxa" w:w="3500"/>
            <w:tcMar>
              <w:top w:w="80" w:type="dxa"/>
              <w:start w:w="120" w:type="dxa"/>
              <w:bottom w:w="80" w:type="dxa"/>
              <w:end w:w="120" w:type="dxa"/>
            </w:tcMar>
            <w:vAlign w:val="center"/>
          </w:tcPr>
          <w:p>
            <w:pPr>
              <w:jc w:val="left"/>
            </w:pPr>
            <w:r>
              <w:rPr>
                <w:rFonts w:ascii="Arial" w:hAnsi="Arial" w:eastAsia="Arial"/>
                <w:b w:val="0"/>
                <w:i w:val="0"/>
                <w:color w:val="111111"/>
                <w:sz w:val="17"/>
              </w:rPr>
              <w:t>Monomer or higher oligomer instead of parallel dimer</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Sequence grammar passed, topology failed</w:t>
            </w:r>
          </w:p>
        </w:tc>
      </w:tr>
      <w:tr>
        <w:trPr>
          <w:cantSplit w:val="true"/>
        </w:trPr>
        <w:tc>
          <w:tcPr>
            <w:tcW w:type="dxa" w:w="2500"/>
            <w:tcMar>
              <w:top w:w="80" w:type="dxa"/>
              <w:start w:w="120" w:type="dxa"/>
              <w:bottom w:w="80" w:type="dxa"/>
              <w:end w:w="120" w:type="dxa"/>
            </w:tcMar>
            <w:vAlign w:val="center"/>
          </w:tcPr>
          <w:p>
            <w:pPr>
              <w:jc w:val="left"/>
            </w:pPr>
            <w:r>
              <w:rPr>
                <w:rFonts w:ascii="Arial" w:hAnsi="Arial" w:eastAsia="Arial"/>
                <w:b w:val="0"/>
                <w:i w:val="0"/>
                <w:color w:val="111111"/>
                <w:sz w:val="17"/>
              </w:rPr>
              <w:t>Unstable GAAA hinge</w:t>
            </w:r>
          </w:p>
        </w:tc>
        <w:tc>
          <w:tcPr>
            <w:tcW w:type="dxa" w:w="3500"/>
            <w:tcMar>
              <w:top w:w="80" w:type="dxa"/>
              <w:start w:w="120" w:type="dxa"/>
              <w:bottom w:w="80" w:type="dxa"/>
              <w:end w:w="120" w:type="dxa"/>
            </w:tcMar>
            <w:vAlign w:val="center"/>
          </w:tcPr>
          <w:p>
            <w:pPr>
              <w:jc w:val="left"/>
            </w:pPr>
            <w:r>
              <w:rPr>
                <w:rFonts w:ascii="Arial" w:hAnsi="Arial" w:eastAsia="Arial"/>
                <w:b w:val="0"/>
                <w:i w:val="0"/>
                <w:color w:val="111111"/>
                <w:sz w:val="17"/>
              </w:rPr>
              <w:t>Flexible linker or collapse point rather than switch</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Limit of switch proxy</w:t>
            </w:r>
          </w:p>
        </w:tc>
      </w:tr>
      <w:tr>
        <w:trPr>
          <w:cantSplit w:val="true"/>
        </w:trPr>
        <w:tc>
          <w:tcPr>
            <w:tcW w:type="dxa" w:w="2500"/>
            <w:tcMar>
              <w:top w:w="80" w:type="dxa"/>
              <w:start w:w="120" w:type="dxa"/>
              <w:bottom w:w="80" w:type="dxa"/>
              <w:end w:w="120" w:type="dxa"/>
            </w:tcMar>
            <w:vAlign w:val="center"/>
          </w:tcPr>
          <w:p>
            <w:pPr>
              <w:jc w:val="left"/>
            </w:pPr>
            <w:r>
              <w:rPr>
                <w:rFonts w:ascii="Arial" w:hAnsi="Arial" w:eastAsia="Arial"/>
                <w:b w:val="0"/>
                <w:i w:val="0"/>
                <w:color w:val="111111"/>
                <w:sz w:val="17"/>
              </w:rPr>
              <w:t>Junction perturbs strain</w:t>
            </w:r>
          </w:p>
        </w:tc>
        <w:tc>
          <w:tcPr>
            <w:tcW w:type="dxa" w:w="3500"/>
            <w:tcMar>
              <w:top w:w="80" w:type="dxa"/>
              <w:start w:w="120" w:type="dxa"/>
              <w:bottom w:w="80" w:type="dxa"/>
              <w:end w:w="120" w:type="dxa"/>
            </w:tcMar>
            <w:vAlign w:val="center"/>
          </w:tcPr>
          <w:p>
            <w:pPr>
              <w:jc w:val="left"/>
            </w:pPr>
            <w:r>
              <w:rPr>
                <w:rFonts w:ascii="Arial" w:hAnsi="Arial" w:eastAsia="Arial"/>
                <w:b w:val="0"/>
                <w:i w:val="0"/>
                <w:color w:val="111111"/>
                <w:sz w:val="17"/>
              </w:rPr>
              <w:t>ATPase retained but processivity reduced</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Core-gate integration failed</w:t>
            </w:r>
          </w:p>
        </w:tc>
      </w:tr>
      <w:tr>
        <w:trPr>
          <w:cantSplit w:val="true"/>
        </w:trPr>
        <w:tc>
          <w:tcPr>
            <w:tcW w:type="dxa" w:w="2500"/>
            <w:tcMar>
              <w:top w:w="80" w:type="dxa"/>
              <w:start w:w="120" w:type="dxa"/>
              <w:bottom w:w="80" w:type="dxa"/>
              <w:end w:w="120" w:type="dxa"/>
            </w:tcMar>
            <w:vAlign w:val="center"/>
          </w:tcPr>
          <w:p>
            <w:pPr>
              <w:jc w:val="left"/>
            </w:pPr>
            <w:r>
              <w:rPr>
                <w:rFonts w:ascii="Arial" w:hAnsi="Arial" w:eastAsia="Arial"/>
                <w:b w:val="0"/>
                <w:i w:val="0"/>
                <w:color w:val="111111"/>
                <w:sz w:val="17"/>
              </w:rPr>
              <w:t>Head cycles do not coordinate</w:t>
            </w:r>
          </w:p>
        </w:tc>
        <w:tc>
          <w:tcPr>
            <w:tcW w:type="dxa" w:w="3500"/>
            <w:tcMar>
              <w:top w:w="80" w:type="dxa"/>
              <w:start w:w="120" w:type="dxa"/>
              <w:bottom w:w="80" w:type="dxa"/>
              <w:end w:w="120" w:type="dxa"/>
            </w:tcMar>
            <w:vAlign w:val="center"/>
          </w:tcPr>
          <w:p>
            <w:pPr>
              <w:jc w:val="left"/>
            </w:pPr>
            <w:r>
              <w:rPr>
                <w:rFonts w:ascii="Arial" w:hAnsi="Arial" w:eastAsia="Arial"/>
                <w:b w:val="0"/>
                <w:i w:val="0"/>
                <w:color w:val="111111"/>
                <w:sz w:val="17"/>
              </w:rPr>
              <w:t>Both heads bind, detach, or stall together</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State-coupling hypothesis failed</w:t>
            </w:r>
          </w:p>
        </w:tc>
      </w:tr>
      <w:tr>
        <w:trPr>
          <w:cantSplit w:val="true"/>
        </w:trPr>
        <w:tc>
          <w:tcPr>
            <w:tcW w:type="dxa" w:w="2500"/>
            <w:tcMar>
              <w:top w:w="80" w:type="dxa"/>
              <w:start w:w="120" w:type="dxa"/>
              <w:bottom w:w="80" w:type="dxa"/>
              <w:end w:w="120" w:type="dxa"/>
            </w:tcMar>
            <w:vAlign w:val="center"/>
          </w:tcPr>
          <w:p>
            <w:pPr>
              <w:jc w:val="left"/>
            </w:pPr>
            <w:r>
              <w:rPr>
                <w:rFonts w:ascii="Arial" w:hAnsi="Arial" w:eastAsia="Arial"/>
                <w:b w:val="0"/>
                <w:i w:val="0"/>
                <w:color w:val="111111"/>
                <w:sz w:val="17"/>
              </w:rPr>
              <w:t>Excess activity</w:t>
            </w:r>
          </w:p>
        </w:tc>
        <w:tc>
          <w:tcPr>
            <w:tcW w:type="dxa" w:w="3500"/>
            <w:tcMar>
              <w:top w:w="80" w:type="dxa"/>
              <w:start w:w="120" w:type="dxa"/>
              <w:bottom w:w="80" w:type="dxa"/>
              <w:end w:w="120" w:type="dxa"/>
            </w:tcMar>
            <w:vAlign w:val="center"/>
          </w:tcPr>
          <w:p>
            <w:pPr>
              <w:jc w:val="left"/>
            </w:pPr>
            <w:r>
              <w:rPr>
                <w:rFonts w:ascii="Arial" w:hAnsi="Arial" w:eastAsia="Arial"/>
                <w:b w:val="0"/>
                <w:i w:val="0"/>
                <w:color w:val="111111"/>
                <w:sz w:val="17"/>
              </w:rPr>
              <w:t>Transport disruption or toxicity</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Functional success separated from safety</w:t>
            </w:r>
          </w:p>
        </w:tc>
      </w:tr>
      <w:tr>
        <w:trPr>
          <w:cantSplit w:val="true"/>
        </w:trPr>
        <w:tc>
          <w:tcPr>
            <w:tcW w:type="dxa" w:w="2500"/>
            <w:tcMar>
              <w:top w:w="80" w:type="dxa"/>
              <w:start w:w="120" w:type="dxa"/>
              <w:bottom w:w="80" w:type="dxa"/>
              <w:end w:w="120" w:type="dxa"/>
            </w:tcMar>
            <w:vAlign w:val="center"/>
          </w:tcPr>
          <w:p>
            <w:pPr>
              <w:jc w:val="left"/>
            </w:pPr>
            <w:r>
              <w:rPr>
                <w:rFonts w:ascii="Arial" w:hAnsi="Arial" w:eastAsia="Arial"/>
                <w:b w:val="0"/>
                <w:i w:val="0"/>
                <w:color w:val="111111"/>
                <w:sz w:val="17"/>
              </w:rPr>
              <w:t>No difference from controls</w:t>
            </w:r>
          </w:p>
        </w:tc>
        <w:tc>
          <w:tcPr>
            <w:tcW w:type="dxa" w:w="3500"/>
            <w:tcMar>
              <w:top w:w="80" w:type="dxa"/>
              <w:start w:w="120" w:type="dxa"/>
              <w:bottom w:w="80" w:type="dxa"/>
              <w:end w:w="120" w:type="dxa"/>
            </w:tcMar>
            <w:vAlign w:val="center"/>
          </w:tcPr>
          <w:p>
            <w:pPr>
              <w:jc w:val="left"/>
            </w:pPr>
            <w:r>
              <w:rPr>
                <w:rFonts w:ascii="Arial" w:hAnsi="Arial" w:eastAsia="Arial"/>
                <w:b w:val="0"/>
                <w:i w:val="0"/>
                <w:color w:val="111111"/>
                <w:sz w:val="17"/>
              </w:rPr>
              <w:t>Same behavior as generic coiled coil</w:t>
            </w:r>
          </w:p>
        </w:tc>
        <w:tc>
          <w:tcPr>
            <w:tcW w:type="dxa" w:w="3360"/>
            <w:tcMar>
              <w:top w:w="80" w:type="dxa"/>
              <w:start w:w="120" w:type="dxa"/>
              <w:bottom w:w="80" w:type="dxa"/>
              <w:end w:w="120" w:type="dxa"/>
            </w:tcMar>
            <w:vAlign w:val="center"/>
          </w:tcPr>
          <w:p>
            <w:pPr>
              <w:jc w:val="left"/>
            </w:pPr>
            <w:r>
              <w:rPr>
                <w:rFonts w:ascii="Arial" w:hAnsi="Arial" w:eastAsia="Arial"/>
                <w:b w:val="0"/>
                <w:i w:val="0"/>
                <w:color w:val="111111"/>
                <w:sz w:val="17"/>
              </w:rPr>
              <w:t>WRRA-specific contribution unsupported</w:t>
            </w:r>
          </w:p>
        </w:tc>
      </w:tr>
    </w:tbl>
    <w:p>
      <w:pPr>
        <w:spacing w:after="20"/>
      </w:pPr>
    </w:p>
    <w:p>
      <w:pPr>
        <w:pStyle w:val="Heading1"/>
      </w:pPr>
      <w:r>
        <w:t>16. Conclusion</w:t>
      </w:r>
    </w:p>
    <w:p>
      <w:pPr>
        <w:jc w:val="both"/>
      </w:pPr>
      <w:r>
        <w:rPr>
          <w:rFonts w:ascii="Arial" w:hAnsi="Arial" w:eastAsia="Arial"/>
          <w:b w:val="0"/>
          <w:i w:val="0"/>
          <w:color w:val="111111"/>
          <w:sz w:val="20"/>
        </w:rPr>
        <w:t>WRRA-Motor applies a minimum-computation framework to intracellular walking and derives a functional architecture consisting of two contacts, energy drive, polarity, present-state gating, and coordination. It then preserves a KIF5B motor core, introduces only a 32-aa designed gate, and connects the 385-aa hybrid candidate to a 1,158-nt DNA candidate.</w:t>
      </w:r>
    </w:p>
    <w:p>
      <w:pPr>
        <w:jc w:val="both"/>
      </w:pPr>
      <w:r>
        <w:rPr>
          <w:rFonts w:ascii="Arial" w:hAnsi="Arial" w:eastAsia="Arial"/>
          <w:b w:val="0"/>
          <w:i w:val="0"/>
          <w:color w:val="111111"/>
          <w:sz w:val="20"/>
        </w:rPr>
        <w:t>The strongest current result is not proof of a new walking protein. It is a reproducible and auditable design lineage from functional conditions to topology, sequence, DNA, and a falsification plan, combined with fail-closed handling of an unsupported fully de novo motor.</w:t>
      </w:r>
    </w:p>
    <w:p>
      <w:pPr>
        <w:jc w:val="both"/>
      </w:pPr>
      <w:r>
        <w:rPr>
          <w:rFonts w:ascii="Arial" w:hAnsi="Arial" w:eastAsia="Arial"/>
          <w:b w:val="0"/>
          <w:i w:val="0"/>
          <w:color w:val="111111"/>
          <w:sz w:val="20"/>
        </w:rPr>
        <w:t>Without experiments, the work can prove only a conditional theorem about the declared state transitions. Structure prediction and simulation may increase or decrease confidence, but expression, dimerization, ATPase activity, single-molecule motility, and comparison against controls are required to establish physical walking and any genuine WRRA-specific advantage.</w:t>
      </w:r>
    </w:p>
    <w:tbl>
      <w:tblPr>
        <w:tblW w:type="dxa" w:w="9360"/>
        <w:jc w:val="center"/>
        <w:tblLayout w:type="fixed"/>
        <w:tblLook w:firstColumn="1" w:firstRow="1" w:lastColumn="0" w:lastRow="0" w:noHBand="0" w:noVBand="1" w:val="04A0"/>
        <w:tblBorders>
          <w:top w:val="single" w:sz="5" w:space="0" w:color="D8E0E8"/>
          <w:left w:val="single" w:sz="5" w:space="0" w:color="D8E0E8"/>
          <w:bottom w:val="single" w:sz="5" w:space="0" w:color="D8E0E8"/>
          <w:right w:val="single" w:sz="5" w:space="0" w:color="D8E0E8"/>
          <w:insideH w:val="single" w:sz="5" w:space="0" w:color="D8E0E8"/>
          <w:insideV w:val="single" w:sz="5" w:space="0" w:color="D8E0E8"/>
        </w:tblBorders>
      </w:tblPr>
      <w:tblGrid>
        <w:gridCol w:w="9360"/>
      </w:tblGrid>
      <w:tr>
        <w:tc>
          <w:tcPr>
            <w:tcW w:type="dxa" w:w="9360"/>
            <w:shd w:fill="F4F6F9"/>
            <w:tcMar>
              <w:top w:w="80" w:type="dxa"/>
              <w:start w:w="120" w:type="dxa"/>
              <w:bottom w:w="80" w:type="dxa"/>
              <w:end w:w="120" w:type="dxa"/>
            </w:tcMar>
            <w:vAlign w:val="center"/>
          </w:tcPr>
          <w:p>
            <w:r>
              <w:rPr>
                <w:rFonts w:ascii="Arial" w:hAnsi="Arial" w:eastAsia="Arial"/>
                <w:b/>
                <w:i w:val="0"/>
                <w:color w:val="16324F"/>
                <w:sz w:val="20"/>
              </w:rPr>
              <w:t xml:space="preserve">Accurate present claim  </w:t>
            </w:r>
            <w:r>
              <w:rPr>
                <w:rFonts w:ascii="Arial" w:hAnsi="Arial" w:eastAsia="Arial"/>
                <w:b w:val="0"/>
                <w:i w:val="0"/>
                <w:color w:val="111111"/>
                <w:sz w:val="20"/>
              </w:rPr>
              <w:t>H2 is a synthesis-addressable hybrid motor candidate that preserves a known kinesin motor segment and attempts to implement WRRA-required state coordination with a 32-aa gate. Repeated forward motion is valid within the model; actual folding and walking remain OPEN.</w:t>
            </w:r>
          </w:p>
        </w:tc>
      </w:tr>
    </w:tbl>
    <w:p>
      <w:pPr>
        <w:spacing w:after="20"/>
      </w:pPr>
    </w:p>
    <w:p>
      <w:pPr>
        <w:keepNext w:val="0"/>
      </w:pPr>
      <w:r>
        <w:br w:type="page"/>
      </w:r>
    </w:p>
    <w:p>
      <w:pPr>
        <w:pStyle w:val="Heading1"/>
      </w:pPr>
      <w:r>
        <w:t>Appendix A. Top H2 Amino-Acid Sequence</w:t>
      </w:r>
    </w:p>
    <w:p>
      <w:pPr>
        <w:jc w:val="both"/>
      </w:pPr>
      <w:r>
        <w:rPr>
          <w:rFonts w:ascii="Arial" w:hAnsi="Arial" w:eastAsia="Arial"/>
          <w:b w:val="0"/>
          <w:i w:val="0"/>
          <w:color w:val="111111"/>
          <w:sz w:val="20"/>
        </w:rPr>
        <w:t>Candidate ID: H2-b2f820d18e | Total: 385 aa | Residues 1-353: INHERITED_KIF5B | Residues 354-385: DESIGNED_GATE</w:t>
      </w:r>
    </w:p>
    <w:p>
      <w:pPr>
        <w:spacing w:after="80"/>
        <w:ind w:left="216" w:right="216"/>
      </w:pPr>
      <w:r>
        <w:rPr>
          <w:rFonts w:ascii="Liberation Mono" w:hAnsi="Liberation Mono" w:eastAsia="Liberation Mono"/>
          <w:b w:val="0"/>
          <w:i w:val="0"/>
          <w:color w:val="111111"/>
          <w:sz w:val="15"/>
        </w:rPr>
        <w:t>MADLAECNIK VMCRFRPLNE SEVNRGDKYI AKFQGEDTVV IASKPYAFDR VFQSSTSQEQ</w:t>
        <w:br/>
        <w:t>VYNDCAKKIV KDVLEGYNGT IFAYGQTSSG KTHTMEGKLH DPEGMGIIPR IVQDIFNYIY</w:t>
        <w:br/>
        <w:t>SMDENLEFHI KVSYFEIYLD KIRDLLDVSK TNLSVHEDKN RVPYVKGCTE RFVCSPDEVM</w:t>
        <w:br/>
        <w:t>DTIDEGKSNR HVAVTNMNEH SSRSHSIFLI NVKQENTQTE QKLSGKLYLV DLAGSEKVSK</w:t>
        <w:br/>
        <w:t>TGAEGAVLDE AKNINKSLSA LGNVISALAE GSTYVPYRDS KMTRILQDSL GGNCRTTIVI</w:t>
        <w:br/>
        <w:t>CCSPSSYNES ETKSTLLFGQ RAKTIKNTVC VNVELTAEQW KKKYEKEKEK NKIVQNIEQK</w:t>
        <w:br/>
        <w:t>IANLKEEGAA ALQQVEQKIQ NLKAE</w:t>
      </w:r>
    </w:p>
    <w:tbl>
      <w:tblPr>
        <w:tblW w:type="dxa" w:w="936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00"/>
        <w:gridCol w:w="1400"/>
        <w:gridCol w:w="5760"/>
      </w:tblGrid>
      <w:tr>
        <w:trPr>
          <w:tblHeader w:val="true"/>
          <w:cantSplit w:val="true"/>
        </w:trPr>
        <w:tc>
          <w:tcPr>
            <w:tcW w:type="dxa" w:w="2200"/>
            <w:shd w:fill="E8EEF5"/>
            <w:tcMar>
              <w:top w:w="80" w:type="dxa"/>
              <w:start w:w="120" w:type="dxa"/>
              <w:bottom w:w="80" w:type="dxa"/>
              <w:end w:w="120" w:type="dxa"/>
            </w:tcMar>
            <w:vAlign w:val="center"/>
          </w:tcPr>
          <w:p>
            <w:pPr>
              <w:jc w:val="center"/>
            </w:pPr>
            <w:r>
              <w:rPr>
                <w:rFonts w:ascii="Arial" w:hAnsi="Arial" w:eastAsia="Arial"/>
                <w:b/>
                <w:i w:val="0"/>
                <w:color w:val="16324F"/>
                <w:sz w:val="17"/>
              </w:rPr>
              <w:t>Region</w:t>
            </w:r>
          </w:p>
        </w:tc>
        <w:tc>
          <w:tcPr>
            <w:tcW w:type="dxa" w:w="1400"/>
            <w:shd w:fill="E8EEF5"/>
            <w:tcMar>
              <w:top w:w="80" w:type="dxa"/>
              <w:start w:w="120" w:type="dxa"/>
              <w:bottom w:w="80" w:type="dxa"/>
              <w:end w:w="120" w:type="dxa"/>
            </w:tcMar>
            <w:vAlign w:val="center"/>
          </w:tcPr>
          <w:p>
            <w:pPr>
              <w:jc w:val="center"/>
            </w:pPr>
            <w:r>
              <w:rPr>
                <w:rFonts w:ascii="Arial" w:hAnsi="Arial" w:eastAsia="Arial"/>
                <w:b/>
                <w:i w:val="0"/>
                <w:color w:val="16324F"/>
                <w:sz w:val="17"/>
              </w:rPr>
              <w:t>Length</w:t>
            </w:r>
          </w:p>
        </w:tc>
        <w:tc>
          <w:tcPr>
            <w:tcW w:type="dxa" w:w="5760"/>
            <w:shd w:fill="E8EEF5"/>
            <w:tcMar>
              <w:top w:w="80" w:type="dxa"/>
              <w:start w:w="120" w:type="dxa"/>
              <w:bottom w:w="80" w:type="dxa"/>
              <w:end w:w="120" w:type="dxa"/>
            </w:tcMar>
            <w:vAlign w:val="center"/>
          </w:tcPr>
          <w:p>
            <w:pPr>
              <w:jc w:val="center"/>
            </w:pPr>
            <w:r>
              <w:rPr>
                <w:rFonts w:ascii="Arial" w:hAnsi="Arial" w:eastAsia="Arial"/>
                <w:b/>
                <w:i w:val="0"/>
                <w:color w:val="16324F"/>
                <w:sz w:val="17"/>
              </w:rPr>
              <w:t>Sequence / note</w:t>
            </w:r>
          </w:p>
        </w:tc>
      </w:tr>
      <w:tr>
        <w:trPr>
          <w:cantSplit w:val="true"/>
        </w:trPr>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Inherited core</w:t>
            </w:r>
          </w:p>
        </w:tc>
        <w:tc>
          <w:tcPr>
            <w:tcW w:type="dxa" w:w="1400"/>
            <w:tcMar>
              <w:top w:w="80" w:type="dxa"/>
              <w:start w:w="120" w:type="dxa"/>
              <w:bottom w:w="80" w:type="dxa"/>
              <w:end w:w="120" w:type="dxa"/>
            </w:tcMar>
            <w:vAlign w:val="center"/>
          </w:tcPr>
          <w:p>
            <w:pPr>
              <w:jc w:val="left"/>
            </w:pPr>
            <w:r>
              <w:rPr>
                <w:rFonts w:ascii="Arial" w:hAnsi="Arial" w:eastAsia="Arial"/>
                <w:b w:val="0"/>
                <w:i w:val="0"/>
                <w:color w:val="111111"/>
                <w:sz w:val="17"/>
              </w:rPr>
              <w:t>353 aa</w:t>
            </w:r>
          </w:p>
        </w:tc>
        <w:tc>
          <w:tcPr>
            <w:tcW w:type="dxa" w:w="5760"/>
            <w:tcMar>
              <w:top w:w="80" w:type="dxa"/>
              <w:start w:w="120" w:type="dxa"/>
              <w:bottom w:w="80" w:type="dxa"/>
              <w:end w:w="120" w:type="dxa"/>
            </w:tcMar>
            <w:vAlign w:val="center"/>
          </w:tcPr>
          <w:p>
            <w:pPr>
              <w:jc w:val="left"/>
            </w:pPr>
            <w:r>
              <w:rPr>
                <w:rFonts w:ascii="Arial" w:hAnsi="Arial" w:eastAsia="Arial"/>
                <w:b w:val="0"/>
                <w:i w:val="0"/>
                <w:color w:val="111111"/>
                <w:sz w:val="17"/>
              </w:rPr>
              <w:t>Exact first 353 residues shown above</w:t>
            </w:r>
          </w:p>
        </w:tc>
      </w:tr>
      <w:tr>
        <w:trPr>
          <w:cantSplit w:val="true"/>
        </w:trPr>
        <w:tc>
          <w:tcPr>
            <w:tcW w:type="dxa" w:w="2200"/>
            <w:tcMar>
              <w:top w:w="80" w:type="dxa"/>
              <w:start w:w="120" w:type="dxa"/>
              <w:bottom w:w="80" w:type="dxa"/>
              <w:end w:w="120" w:type="dxa"/>
            </w:tcMar>
            <w:vAlign w:val="center"/>
          </w:tcPr>
          <w:p>
            <w:pPr>
              <w:jc w:val="left"/>
            </w:pPr>
            <w:r>
              <w:rPr>
                <w:rFonts w:ascii="Arial" w:hAnsi="Arial" w:eastAsia="Arial"/>
                <w:b w:val="0"/>
                <w:i w:val="0"/>
                <w:color w:val="111111"/>
                <w:sz w:val="17"/>
              </w:rPr>
              <w:t>Designed gate</w:t>
            </w:r>
          </w:p>
        </w:tc>
        <w:tc>
          <w:tcPr>
            <w:tcW w:type="dxa" w:w="1400"/>
            <w:tcMar>
              <w:top w:w="80" w:type="dxa"/>
              <w:start w:w="120" w:type="dxa"/>
              <w:bottom w:w="80" w:type="dxa"/>
              <w:end w:w="120" w:type="dxa"/>
            </w:tcMar>
            <w:vAlign w:val="center"/>
          </w:tcPr>
          <w:p>
            <w:pPr>
              <w:jc w:val="left"/>
            </w:pPr>
            <w:r>
              <w:rPr>
                <w:rFonts w:ascii="Arial" w:hAnsi="Arial" w:eastAsia="Arial"/>
                <w:b w:val="0"/>
                <w:i w:val="0"/>
                <w:color w:val="111111"/>
                <w:sz w:val="17"/>
              </w:rPr>
              <w:t>32 aa</w:t>
            </w:r>
          </w:p>
        </w:tc>
        <w:tc>
          <w:tcPr>
            <w:tcW w:type="dxa" w:w="5760"/>
            <w:tcMar>
              <w:top w:w="80" w:type="dxa"/>
              <w:start w:w="120" w:type="dxa"/>
              <w:bottom w:w="80" w:type="dxa"/>
              <w:end w:w="120" w:type="dxa"/>
            </w:tcMar>
            <w:vAlign w:val="center"/>
          </w:tcPr>
          <w:p>
            <w:pPr>
              <w:jc w:val="left"/>
            </w:pPr>
            <w:r>
              <w:rPr>
                <w:rFonts w:ascii="Arial" w:hAnsi="Arial" w:eastAsia="Arial"/>
                <w:b w:val="0"/>
                <w:i w:val="0"/>
                <w:color w:val="111111"/>
                <w:sz w:val="17"/>
              </w:rPr>
              <w:t>VQNIEQKIANLKEEGAAALQQVEQKIQNLKAE</w:t>
            </w:r>
          </w:p>
        </w:tc>
      </w:tr>
    </w:tbl>
    <w:p>
      <w:pPr>
        <w:spacing w:after="20"/>
      </w:pPr>
    </w:p>
    <w:p>
      <w:pPr>
        <w:jc w:val="both"/>
      </w:pPr>
      <w:r>
        <w:rPr>
          <w:rFonts w:ascii="Arial" w:hAnsi="Arial" w:eastAsia="Arial"/>
          <w:b w:val="0"/>
          <w:i w:val="0"/>
          <w:color w:val="111111"/>
          <w:sz w:val="20"/>
        </w:rPr>
        <w:t>Sequence integrity check: 385 aa; alphabet valid = True.</w:t>
      </w:r>
    </w:p>
    <w:p>
      <w:pPr>
        <w:keepNext w:val="0"/>
      </w:pPr>
      <w:r>
        <w:br w:type="page"/>
      </w:r>
    </w:p>
    <w:p>
      <w:pPr>
        <w:pStyle w:val="Heading1"/>
      </w:pPr>
      <w:r>
        <w:t>Appendix B. Candidate Coding DNA Sequence</w:t>
      </w:r>
    </w:p>
    <w:p>
      <w:pPr>
        <w:jc w:val="both"/>
      </w:pPr>
      <w:r>
        <w:rPr>
          <w:rFonts w:ascii="Arial" w:hAnsi="Arial" w:eastAsia="Arial"/>
          <w:b w:val="0"/>
          <w:i w:val="0"/>
          <w:color w:val="111111"/>
          <w:sz w:val="20"/>
        </w:rPr>
        <w:t>Status: PREDICTED_NOT_SYNTHESIS_READY | Generic human-cell reverse translation | Stop codon included</w:t>
      </w:r>
    </w:p>
    <w:p>
      <w:pPr>
        <w:spacing w:after="80"/>
        <w:ind w:left="216" w:right="216"/>
      </w:pPr>
      <w:r>
        <w:rPr>
          <w:rFonts w:ascii="Liberation Mono" w:hAnsi="Liberation Mono" w:eastAsia="Liberation Mono"/>
          <w:b w:val="0"/>
          <w:i w:val="0"/>
          <w:color w:val="111111"/>
          <w:sz w:val="14"/>
        </w:rPr>
        <w:t>ATGGCAGACC TCGCAGAATG CAACATCAAG GTCATGTGCC GCTTCCGCCC CTTGAACGAG</w:t>
        <w:br/>
        <w:t>AGCGAGGTCA ACCGCGGAGA TAAGTACATC GCCAAGTTCC AGGGCGAGGA CACCGTCGTC</w:t>
        <w:br/>
        <w:t>ATCGCAAGCA AGCCTTACGC CTTCGACAGA GTCTTCCAGA GCAGCACCAG CCAGGAGCAA</w:t>
        <w:br/>
        <w:t>GTCTACAACG ACTGCGCCAA GAAGATCGTC AAGGACGTCC TCGAGGGCTA CAACGGCACC</w:t>
        <w:br/>
        <w:t>ATCTTCGCCT ACGGCCAGAC AAGCAGCGGA AAGACCCACA CCATGGAGGG AAAGCTCCAC</w:t>
        <w:br/>
        <w:t>GACCCTGAAG GAATGGGAAT CATCCCCAGA ATCGTCCAGG ACATCTTCAA CTACATCTAC</w:t>
        <w:br/>
        <w:t>AGCATGGACG AGAACCTCGA GTTCCACATC AAGGTCAGCT ACTTCGAGAT CTACCTCGAC</w:t>
        <w:br/>
        <w:t>AAGATCCGCG ACCTCCTCGA CGTCAGCAAG ACCAACCTCA GCGTCCACGA GGACAAGAAC</w:t>
        <w:br/>
        <w:t>CGCGTCCCCT ACGTCAAGGG CTGCACCGAG CGCTTCGTCT GCAGCCCCGA CGAGGTCATG</w:t>
        <w:br/>
        <w:t>GACACCATCG ACGAGGGCAA GAGCAACCGC CACGTCGCCG TCACAAACAT GAACGAGCAC</w:t>
        <w:br/>
        <w:t>AGCAGCCGCA GCCACTCTAT CTTCCTCATC AACGTCAAGC AGGAGAACAC CCAGACCGAG</w:t>
        <w:br/>
        <w:t>CAGAAGCTCA GCGGCAAGCT CTACCTCGTC GACCTCGCCG GAAGCGAGAA GGTCAGCAAG</w:t>
        <w:br/>
        <w:t>ACCGGAGCAG AGGGAGCAGT TCTCGATGAG GCAAAGAACA TCAACAAGAG CCTCAGCGCC</w:t>
        <w:br/>
        <w:t>CTCGGCAACG TCATCAGCGC CTTGGCAGAG GGATCTACCT ACGTCCCTTA CCGCGATAGC</w:t>
        <w:br/>
        <w:t>AAGATGACCC GCATCCTCCA GGACAGCCTC GGAGGAAACT GCAGAACCAC CATCGTCATC</w:t>
        <w:br/>
        <w:t>TGCTGCAGCC CTAGCTCTTA CAACGAGAGC GAGACCAAGA GCACCCTCCT CTTCGGCCAG</w:t>
        <w:br/>
        <w:t>AGAGCAAAGA CCATCAAGAA CACCGTCTGC GTCAACGTCG AGCTCACCGC CGAGCAGTGG</w:t>
        <w:br/>
        <w:t>AAGAAGAAGT ACGAGAAGGA GAAGGAGAAG AACAAGATCG TCCAGAACAT CGAGCAGAAG</w:t>
        <w:br/>
        <w:t>ATCGCCAACC TCAAGGAGGA GGGCGCCGCC GCCCTCCAGC AGGTCGAGCA GAAGATCCAG</w:t>
        <w:br/>
        <w:t>AACCTCAAGG CCGAGTAA</w:t>
      </w:r>
    </w:p>
    <w:p>
      <w:pPr>
        <w:jc w:val="both"/>
      </w:pPr>
      <w:r>
        <w:rPr>
          <w:rFonts w:ascii="Arial" w:hAnsi="Arial" w:eastAsia="Arial"/>
          <w:b w:val="0"/>
          <w:i w:val="0"/>
          <w:color w:val="111111"/>
          <w:sz w:val="20"/>
        </w:rPr>
        <w:t>DNA integrity check: 1158 nt including stop | Encoded amino acids: 385 | GC: 57.69% | Terminal codon: TAA.</w:t>
      </w:r>
    </w:p>
    <w:p>
      <w:pPr>
        <w:keepNext w:val="0"/>
      </w:pPr>
      <w:r>
        <w:br w:type="page"/>
      </w:r>
    </w:p>
    <w:p>
      <w:pPr>
        <w:pStyle w:val="Heading1"/>
      </w:pPr>
      <w:r>
        <w:t>Appendix C. Reference and Evidence Notes</w:t>
      </w:r>
    </w:p>
    <w:p>
      <w:pPr>
        <w:ind w:left="230" w:hanging="230"/>
      </w:pPr>
      <w:r>
        <w:rPr>
          <w:rFonts w:ascii="Arial" w:hAnsi="Arial" w:eastAsia="Arial"/>
          <w:b w:val="0"/>
          <w:i w:val="0"/>
          <w:color w:val="111111"/>
          <w:sz w:val="18"/>
        </w:rPr>
        <w:t>1. Hua W et al. Coordinated movement of kinesin motor domains determined by single-molecule imaging. Nature (1997).</w:t>
      </w:r>
    </w:p>
    <w:p>
      <w:pPr>
        <w:ind w:left="230" w:hanging="230"/>
      </w:pPr>
      <w:r>
        <w:rPr>
          <w:rFonts w:ascii="Arial" w:hAnsi="Arial" w:eastAsia="Arial"/>
          <w:b w:val="0"/>
          <w:i w:val="0"/>
          <w:color w:val="111111"/>
          <w:sz w:val="18"/>
        </w:rPr>
        <w:t>2. Coy DL et al. Kinesin's tail domain is an inhibitory regulator of the motor domain. Journal of Biological Chemistry (1999).</w:t>
      </w:r>
    </w:p>
    <w:p>
      <w:pPr>
        <w:ind w:left="230" w:hanging="230"/>
      </w:pPr>
      <w:r>
        <w:rPr>
          <w:rFonts w:ascii="Arial" w:hAnsi="Arial" w:eastAsia="Arial"/>
          <w:b w:val="0"/>
          <w:i w:val="0"/>
          <w:color w:val="111111"/>
          <w:sz w:val="18"/>
        </w:rPr>
        <w:t>3. Dogan MY et al. Kinesin's front head is gated by the backward orientation of its neck linker. Cell Reports (2015).</w:t>
      </w:r>
    </w:p>
    <w:p>
      <w:pPr>
        <w:ind w:left="230" w:hanging="230"/>
      </w:pPr>
      <w:r>
        <w:rPr>
          <w:rFonts w:ascii="Arial" w:hAnsi="Arial" w:eastAsia="Arial"/>
          <w:b w:val="0"/>
          <w:i w:val="0"/>
          <w:color w:val="111111"/>
          <w:sz w:val="18"/>
        </w:rPr>
        <w:t>4. Budaitis BG et al. Neck linker docking is critical for kinesin-1 force generation in cells but at most speed in vitro. eLife (2019).</w:t>
      </w:r>
    </w:p>
    <w:p>
      <w:pPr>
        <w:ind w:left="230" w:hanging="230"/>
      </w:pPr>
      <w:r>
        <w:rPr>
          <w:rFonts w:ascii="Arial" w:hAnsi="Arial" w:eastAsia="Arial"/>
          <w:b w:val="0"/>
          <w:i w:val="0"/>
          <w:color w:val="111111"/>
          <w:sz w:val="18"/>
        </w:rPr>
        <w:t>5. Burute M et al. Local changes in microtubule network organization drive kinesin-dependent cargo transport. Science Advances (2022).</w:t>
      </w:r>
    </w:p>
    <w:p>
      <w:pPr>
        <w:ind w:left="230" w:hanging="230"/>
      </w:pPr>
      <w:r>
        <w:rPr>
          <w:rFonts w:ascii="Arial" w:hAnsi="Arial" w:eastAsia="Arial"/>
          <w:b w:val="0"/>
          <w:i w:val="0"/>
          <w:color w:val="111111"/>
          <w:sz w:val="18"/>
        </w:rPr>
        <w:t>6. Dauparas J et al. Robust deep learning-based protein sequence design using ProteinMPNN. Science (2022).</w:t>
      </w:r>
    </w:p>
    <w:p>
      <w:pPr>
        <w:ind w:left="230" w:hanging="230"/>
      </w:pPr>
      <w:r>
        <w:rPr>
          <w:rFonts w:ascii="Arial" w:hAnsi="Arial" w:eastAsia="Arial"/>
          <w:b w:val="0"/>
          <w:i w:val="0"/>
          <w:color w:val="111111"/>
          <w:sz w:val="18"/>
        </w:rPr>
        <w:t>7. Cross JA et al. Computational design of a de novo motor protein. Nature Chemical Biology (2024). DOI: 10.1038/s41589-024-01640-2.</w:t>
      </w:r>
    </w:p>
    <w:p>
      <w:pPr>
        <w:ind w:left="230" w:hanging="230"/>
      </w:pPr>
      <w:r>
        <w:rPr>
          <w:rFonts w:ascii="Arial" w:hAnsi="Arial" w:eastAsia="Arial"/>
          <w:b w:val="0"/>
          <w:i w:val="0"/>
          <w:color w:val="111111"/>
          <w:sz w:val="18"/>
        </w:rPr>
        <w:t>8. Nilsson P et al. A synthetic molecular motor moves on a DNA track. Nature Nanotechnology (2026). DOI: 10.1038/s41565-026-02211-3.</w:t>
      </w:r>
    </w:p>
    <w:p>
      <w:pPr>
        <w:ind w:left="230" w:hanging="230"/>
      </w:pPr>
      <w:r>
        <w:rPr>
          <w:rFonts w:ascii="Arial" w:hAnsi="Arial" w:eastAsia="Arial"/>
          <w:b w:val="0"/>
          <w:i w:val="0"/>
          <w:color w:val="111111"/>
          <w:sz w:val="18"/>
        </w:rPr>
        <w:t>9. UniProt P33176: Kinesin-1 heavy chain KIF5B, Homo sapiens.</w:t>
      </w:r>
    </w:p>
    <w:p>
      <w:pPr>
        <w:ind w:left="230" w:hanging="230"/>
      </w:pPr>
      <w:r>
        <w:rPr>
          <w:rFonts w:ascii="Arial" w:hAnsi="Arial" w:eastAsia="Arial"/>
          <w:b w:val="0"/>
          <w:i w:val="0"/>
          <w:color w:val="111111"/>
          <w:sz w:val="18"/>
        </w:rPr>
        <w:t>10. RCSB Protein Data Bank entry 1MKJ: kinesin motor-domain structural reference.</w:t>
      </w:r>
    </w:p>
    <w:p>
      <w:pPr>
        <w:ind w:left="230" w:hanging="230"/>
      </w:pPr>
      <w:r>
        <w:rPr>
          <w:rFonts w:ascii="Arial" w:hAnsi="Arial" w:eastAsia="Arial"/>
          <w:b w:val="0"/>
          <w:i w:val="0"/>
          <w:color w:val="111111"/>
          <w:sz w:val="18"/>
        </w:rPr>
        <w:t>11. Addgene plasmid #193714: KIF5B motor construct reference.</w:t>
      </w:r>
    </w:p>
    <w:p>
      <w:pPr>
        <w:jc w:val="both"/>
      </w:pPr>
      <w:r>
        <w:rPr>
          <w:rFonts w:ascii="Arial" w:hAnsi="Arial" w:eastAsia="Arial"/>
          <w:b w:val="0"/>
          <w:i w:val="0"/>
          <w:color w:val="111111"/>
          <w:sz w:val="20"/>
        </w:rPr>
        <w:t>Reference note: the cited literature provides context for kinesin mechanism, structural modeling, and molecular motor design. It does not constitute validation of H2. H2-specific claims must be supported by H2-specific computational and experimental evidence.</w:t>
      </w:r>
    </w:p>
    <w:sectPr w:rsidR="00FC693F" w:rsidRPr="0006063C" w:rsidSect="00034616">
      <w:headerReference w:type="default" r:id="rId9"/>
      <w:footerReference w:type="default" r:id="rId10"/>
      <w:pgSz w:w="12240" w:h="15840"/>
      <w:pgMar w:top="1267" w:right="1238" w:bottom="1224" w:left="1238"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5F6B76"/>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Arial"/>
        <w:b w:val="0"/>
        <w:i w:val="0"/>
        <w:color w:val="5F6B76"/>
        <w:sz w:val="17"/>
      </w:rPr>
      <w:t>WRRA-Motor H2 | Integrated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83" w:lineRule="auto"/>
    </w:pPr>
    <w:rPr>
      <w:rFonts w:ascii="Arial" w:hAnsi="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WRRA-Motor H2 Integrated Research Report - English Edition</dc:title>
  <dc:subject>WRRA functional architecture, hybrid protein candidate, DNA candidate, and validation boundaries</dc:subject>
  <dc:creator>Wonsik Choi</dc:creator>
  <cp:keywords/>
  <dc:description>English edition generated from the Korean integrated report; claim grades and sequence data preserved.</dc:description>
  <cp:lastModifiedBy/>
  <cp:revision>1</cp:revision>
  <dcterms:created xsi:type="dcterms:W3CDTF">2013-12-23T23:15:00Z</dcterms:created>
  <dcterms:modified xsi:type="dcterms:W3CDTF">2013-12-23T23:15:00Z</dcterms:modified>
  <cp:category/>
</cp:coreProperties>
</file>