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 Parts Assembly Order and Nucleon Readouts</w:t>
      </w:r>
    </w:p>
    <w:p>
      <w:pPr>
        <w:pStyle w:val="Subtitle"/>
      </w:pPr>
      <w:r>
        <w:t>A finite WRRA case study of integer address 105</w:t>
      </w:r>
    </w:p>
    <w:p>
      <w:pPr>
        <w:spacing w:after="60"/>
      </w:pPr>
      <w:r>
        <w:rPr>
          <w:sz w:val="18"/>
        </w:rPr>
        <w:t>Wonsik Choi | Independent Researcher, Seoul | Sole author</w:t>
      </w:r>
    </w:p>
    <w:p>
      <w:pPr>
        <w:spacing w:after="60"/>
      </w:pPr>
      <w:r>
        <w:rPr>
          <w:sz w:val="18"/>
        </w:rPr>
        <w:t>janefather@gmail.com | ORCID 0009-0001-4263-9772 | October 4, 2026</w:t>
      </w:r>
    </w:p>
    <w:p>
      <w:pPr>
        <w:spacing w:after="60"/>
      </w:pPr>
      <w:r>
        <w:rPr>
          <w:sz w:val="18"/>
        </w:rPr>
        <w:t>Paper DOI 10.5281/zenodo.23137504 | Dataset DOI 10.5281/zenodo.23137540</w:t>
      </w:r>
    </w:p>
    <w:p>
      <w:pPr>
        <w:pStyle w:val="Heading1"/>
      </w:pPr>
      <w:r>
        <w:t>Abstract and assessment path</w:t>
      </w:r>
    </w:p>
    <w:p>
      <w:r>
        <w:rPr>
          <w:b/>
        </w:rPr>
        <w:t xml:space="preserve">Verified inputs </w:t>
      </w:r>
      <w:r>
        <w:t>The published assembler and recorded nucleon/electron rest energies are inherited. Address 105, the first 15 primes, two traversal orders and the readout assignment are fixed configuration choices.</w:t>
      </w:r>
    </w:p>
    <w:p>
      <w:r>
        <w:rPr>
          <w:b/>
        </w:rPr>
        <w:t xml:space="preserve">WRRA transformation </w:t>
      </w:r>
      <w:r>
        <w:t>Assemble the address from prime-labelled components, retain their identities during nucleon readout, and compare both assignments under a common source budget including unused components and energy differences.</w:t>
      </w:r>
    </w:p>
    <w:p>
      <w:r>
        <w:rPr>
          <w:b/>
        </w:rPr>
        <w:t xml:space="preserve">Outputs </w:t>
      </w:r>
      <w:r>
        <w:t>Small-first gives 11 components, read as 1 neutron n and 10 D; large-first gives 4, read as 1 n and 3 D. D is a proton/electron/electron-antineutrino bundle. Both retain B=11 and energy 10335.21964134 MeV.</w:t>
      </w:r>
    </w:p>
    <w:p>
      <w:r>
        <w:rPr>
          <w:b/>
        </w:rPr>
        <w:t xml:space="preserve">Falsifiers </w:t>
      </w:r>
      <w:r>
        <w:t>A different result under the fixed rules, or failure of the address identity, charge, baryon, lepton or total-energy balance, falsifies this executed construction.</w:t>
      </w:r>
    </w:p>
    <w:p>
      <w:pPr>
        <w:pStyle w:val="Heading1"/>
      </w:pPr>
      <w:r>
        <w:t>1 Finite assembly rule</w:t>
      </w:r>
    </w:p>
    <w:p>
      <w:r>
        <w:t>This case presents the assembly-to-nucleon connection of the WRRA prime-parts series [1]. A prime is a component label; an integer address is their additive sum plus any residue. The pool contains the first 15 primes.</w:t>
      </w:r>
    </w:p>
    <w:p>
      <w:pPr>
        <w:keepLines/>
        <w:spacing w:before="60" w:after="100"/>
        <w:jc w:val="center"/>
      </w:pPr>
      <m:oMath>
        <m:r>
          <m:rPr>
            <m:nor/>
          </m:rPr>
          <m:t>2, 3, 5, 7, 11, 13, 17, 19, 23, 29, 31, 37, 41, 43, 47</m:t>
        </m:r>
      </m:oMath>
    </w:p>
    <w:p>
      <w:r>
        <w:t>Start with remainder 105. Visit each prime once in the chosen order; if it fits, select one component and subtract its label. After a full traversal, repeat the order while the remainder is at least 2. Stop at residue 0 or 1.</w:t>
      </w:r>
    </w:p>
    <w:p>
      <w:pPr>
        <w:pStyle w:val="Heading1"/>
      </w:pPr>
      <w:r>
        <w:t>2 Two assemblies of the same address</w:t>
      </w:r>
    </w:p>
    <w:p>
      <w:pPr>
        <w:keepLines/>
        <w:spacing w:before="60" w:after="100"/>
        <w:jc w:val="center"/>
      </w:pPr>
      <m:oMath>
        <m:r>
          <m:rPr>
            <m:nor/>
          </m:rPr>
          <m:t>105 = 2 + 3 + 5 + 7 + 11 + 13 + 17 + 19 + 23 + 2 + 3</m:t>
        </m:r>
      </m:oMath>
    </w:p>
    <w:p>
      <w:pPr>
        <w:keepLines/>
        <w:spacing w:before="60" w:after="100"/>
        <w:jc w:val="center"/>
      </w:pPr>
      <m:oMath>
        <m:r>
          <m:rPr>
            <m:nor/>
          </m:rPr>
          <m:t>105 = 47 + 43 + 13 + 2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600"/>
            <w:vAlign w:val="center"/>
            <w:shd w:fill="E7EDF3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3240"/>
            <w:vAlign w:val="center"/>
            <w:shd w:fill="E7EDF3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Small-first</w:t>
            </w:r>
          </w:p>
        </w:tc>
        <w:tc>
          <w:tcPr>
            <w:tcW w:type="dxa" w:w="3240"/>
            <w:vAlign w:val="center"/>
            <w:shd w:fill="E7EDF3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Large-first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Active components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Neutron component label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47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Nucleon readout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 n + 10 D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 n + 3 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Unused source baryons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Address residue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20"/>
      </w:pPr>
      <w:r/>
    </w:p>
    <w:p>
      <w:r>
        <w:t>Small-first consumes 100 in its first traversal and then selects 2 and 3. Large-first selects 47 and 43, then the fitting 13 and 2. Different active configurations therefore correspond to the same additive address.</w:t>
      </w:r>
    </w:p>
    <w:p>
      <w:pPr>
        <w:pStyle w:val="Heading1"/>
        <w:pageBreakBefore/>
      </w:pPr>
      <w:r>
        <w:t>3 Nucleon readout and a shared source budget</w:t>
      </w:r>
    </w:p>
    <w:p>
      <w:r>
        <w:t>Labels 5 and 47 read as neutron n; other selected labels read as a complete D bundle of proton, electron and electron antineutrino. Each component has charge Q=0, baryon number B=1 and lepton number L=0. Electron and antineutrino lepton numbers cancel. Prime labels and occurrence indices are retained.</w:t>
      </w:r>
    </w:p>
    <w:p>
      <w:r>
        <w:t>The common source contains 11 neutral B=1 components. The seven unused in large-first retain neutron-like energy shells as inactive reserves. This is a preparation choice, not an observed free neutron rendered stable.</w:t>
      </w:r>
    </w:p>
    <w:p>
      <w:r>
        <w:t>Recorded rest energies are 939.56542194 MeV (neutron), 938.27208943 MeV (proton) and 0.51099895069 MeV (electron). Proton-plus-electron rest energy is 938.78308838069 MeV per D. The remaining 0.78233355931 MeV is an unresolved antineutrino/kinetic/recoil budget. Individual spectra and photon production are not computed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600"/>
            <w:vAlign w:val="center"/>
            <w:shd w:fill="E7EDF3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Energy term in MeV</w:t>
            </w:r>
          </w:p>
        </w:tc>
        <w:tc>
          <w:tcPr>
            <w:tcW w:type="dxa" w:w="3240"/>
            <w:vAlign w:val="center"/>
            <w:shd w:fill="E7EDF3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Small-first</w:t>
            </w:r>
          </w:p>
        </w:tc>
        <w:tc>
          <w:tcPr>
            <w:tcW w:type="dxa" w:w="3240"/>
            <w:vAlign w:val="center"/>
            <w:shd w:fill="E7EDF3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Large-first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Active particle rest energy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10327.39630574690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3755.91468708207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D nonrest energy budget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7.82333559310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2.34700067793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Unused source energy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6576.95795358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Total and common source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10335.21964134000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10335.21964134000</w:t>
            </w:r>
          </w:p>
        </w:tc>
      </w:tr>
    </w:tbl>
    <w:p>
      <w:pPr>
        <w:spacing w:after="20"/>
      </w:pPr>
      <w:r/>
    </w:p>
    <w:p>
      <w:r>
        <w:t>Address 105 is an additive label. Both address residues are zero; the large-first source reserve still holds seven baryons. Address and physical-resource balances are separate.</w:t>
      </w:r>
    </w:p>
    <w:p>
      <w:pPr>
        <w:pStyle w:val="Heading1"/>
      </w:pPr>
      <w:r>
        <w:t>4 Interpretation and external review</w:t>
      </w:r>
    </w:p>
    <w:p>
      <w:r>
        <w:t>The calculation executes a WRRA connection from assembly order to active nucleon configuration. Known rest energies and complete source accounting support the reality-consistency of this chosen construction. These are two assignments with common total budgets. Dynamics that produces both from the same microscopic state remains a question for review.</w:t>
      </w:r>
    </w:p>
    <w:p>
      <w:r>
        <w:t>Review should examine how prime-dependent readouts and inactive reserves can be physically prepared, and which changes persist when pool, order and assignment vary. This dataset executes static assembly, readout and source accounting.</w:t>
      </w:r>
    </w:p>
    <w:p>
      <w:pPr>
        <w:pStyle w:val="Heading1"/>
      </w:pPr>
      <w:r>
        <w:t>5 Separate dataset and reproduction</w:t>
      </w:r>
    </w:p>
    <w:p>
      <w:r>
        <w:t>Dataset [2] contains input JSON, 45 traversal visits, 15 selected components, 30 per-prime records, two ledgers, results and a standard-library Python reproducer. Its 28 checks and 13 upstream comparisons pass; these are implementation/conservation checks. Run python reproduce.py --check for reference-byte comparison.</w:t>
      </w:r>
    </w:p>
    <w:p>
      <w:pPr>
        <w:pStyle w:val="Heading1"/>
      </w:pPr>
      <w:r>
        <w:t>Data and references</w:t>
      </w:r>
    </w:p>
    <w:p>
      <w:pPr>
        <w:spacing w:after="60"/>
      </w:pPr>
      <w:r>
        <w:rPr>
          <w:sz w:val="18"/>
        </w:rPr>
        <w:t>[1] Wonsik Choi. WRRA Prime Parts Reviewed Collection 0.1–0.12. DOI 10.5281/zenodo.23134716.</w:t>
      </w:r>
    </w:p>
    <w:p>
      <w:pPr>
        <w:spacing w:after="60"/>
      </w:pPr>
      <w:r>
        <w:rPr>
          <w:sz w:val="18"/>
        </w:rPr>
        <w:t>[2] Wonsik Choi. WRRA Address 105 Prime Parts Case Study Dataset, 1.0.0. DOI 10.5281/zenodo.23137540.</w:t>
      </w:r>
    </w:p>
    <w:p>
      <w:pPr>
        <w:spacing w:after="60"/>
      </w:pPr>
      <w:hyperlink r:id="rId10">
        <w:r>
          <w:rPr>
            <w:sz w:val="19"/>
          </w:rPr>
          <w:t>GitHub case paper and dataset</w:t>
        </w:r>
      </w:hyperlink>
    </w:p>
    <w:sectPr w:rsidR="00FC693F" w:rsidRPr="0006063C" w:rsidSect="00034616">
      <w:footerReference w:type="default" r:id="rId9"/>
      <w:pgSz w:w="12240" w:h="15840"/>
      <w:pgMar w:top="893" w:right="1080" w:bottom="893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WRRA Case 105 | 1.0.0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DejaVu Serif" w:hAnsi="DejaVu Serif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DejaVu Serif" w:hAnsi="DejaVu Serif" w:eastAsia="NanumGothi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DejaVu Serif" w:hAnsi="DejaVu Serif" w:eastAsia="Nanum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DejaVu Serif" w:hAnsi="DejaVu Serif" w:eastAsia="NanumGothic"/>
      <w:color w:val="000000"/>
      <w:spacing w:val="5"/>
      <w:kern w:val="28"/>
      <w:sz w:val="3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DejaVu Serif" w:hAnsi="DejaVu Serif" w:eastAsia="NanumGothi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Wonsik-Choi-janefather/wrra-prime-parts-rendering/tree/main/case_studies/address_105/v1_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WRRA Prime Parts Address 105 Case Study EN</dc:title>
  <dc:subject>Finite prime-parts assembly of address 105 with a shared baryon and energy ledger</dc:subject>
  <dc:creator>Wonsik Choi</dc:creator>
  <cp:keywords>WRRA, prime parts, address 105, finite assembly, nucleon readout, common source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